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EB687B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EB687B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EB687B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EB687B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EB687B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EB687B">
              <w:rPr>
                <w:rFonts w:ascii="Verdana" w:hAnsi="Verdana"/>
                <w:rtl/>
              </w:rPr>
              <w:t xml:space="preserve">الإضافة </w:t>
            </w:r>
            <w:r w:rsidRPr="00EB687B">
              <w:rPr>
                <w:rFonts w:ascii="Verdana" w:hAnsi="Verdana"/>
              </w:rPr>
              <w:t>2</w:t>
            </w:r>
            <w:r w:rsidRPr="00EB687B">
              <w:rPr>
                <w:rFonts w:ascii="Verdana" w:hAnsi="Verdana"/>
              </w:rPr>
              <w:br/>
            </w:r>
            <w:r w:rsidRPr="00EB687B">
              <w:rPr>
                <w:rFonts w:ascii="Verdana" w:hAnsi="Verdana"/>
                <w:rtl/>
              </w:rPr>
              <w:t xml:space="preserve">للوثيقة </w:t>
            </w:r>
            <w:r w:rsidRPr="00EB687B">
              <w:rPr>
                <w:rFonts w:ascii="Verdana" w:hAnsi="Verdana"/>
              </w:rPr>
              <w:t>25(Add.19)-</w:t>
            </w:r>
            <w:r w:rsidR="00EB687B" w:rsidRPr="00EB687B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EB687B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EB687B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EB687B">
              <w:rPr>
                <w:rFonts w:ascii="Verdana" w:eastAsia="SimSun" w:hAnsi="Verdana"/>
              </w:rPr>
              <w:t>10</w:t>
            </w:r>
            <w:r w:rsidRPr="00EB687B">
              <w:rPr>
                <w:rFonts w:ascii="Verdana" w:eastAsia="SimSun" w:hAnsi="Verdana"/>
                <w:rtl/>
              </w:rPr>
              <w:t xml:space="preserve"> سبتمبر </w:t>
            </w:r>
            <w:r w:rsidRPr="00EB687B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EB687B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EB687B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EB687B">
              <w:rPr>
                <w:rFonts w:ascii="Verdana" w:eastAsia="SimSun" w:hAnsi="Verdana"/>
                <w:rtl/>
              </w:rPr>
              <w:t>الأصل: بالعربية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B687B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الدول العربية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EB687B" w:rsidP="002501D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مقترحات بشأن </w:t>
            </w:r>
            <w:r w:rsidR="002501D3">
              <w:rPr>
                <w:rFonts w:hint="cs"/>
                <w:rtl/>
              </w:rPr>
              <w:t>أ</w:t>
            </w:r>
            <w:r>
              <w:rPr>
                <w:rFonts w:hint="cs"/>
                <w:rtl/>
              </w:rPr>
              <w:t>عمال ال</w:t>
            </w:r>
            <w:r w:rsidR="00223EC6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223EC6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EB687B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EB687B">
              <w:t>(B)7</w:t>
            </w:r>
            <w:r w:rsidR="00EB687B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من جدول الأعمال</w:t>
            </w:r>
          </w:p>
        </w:tc>
      </w:tr>
    </w:tbl>
    <w:p w:rsidR="001D597A" w:rsidRPr="00033478" w:rsidRDefault="00AA5FD6" w:rsidP="000135DB">
      <w:pPr>
        <w:rPr>
          <w:rStyle w:val="NormalaftertitleChar"/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</w:r>
      <w:r w:rsidRPr="00033478">
        <w:rPr>
          <w:rStyle w:val="NormalaftertitleChar"/>
          <w:rFonts w:eastAsia="SimSun" w:hint="cs"/>
          <w:rtl/>
        </w:rPr>
        <w:t xml:space="preserve">النظر في أي تغييرات قد يلزم إجراؤها، وفي خيارات أخرى، تطبيقاً للقرار </w:t>
      </w:r>
      <w:r w:rsidRPr="00033478">
        <w:rPr>
          <w:rStyle w:val="NormalaftertitleChar"/>
          <w:rFonts w:eastAsia="SimSun"/>
        </w:rPr>
        <w:t>86</w:t>
      </w:r>
      <w:r w:rsidRPr="00033478">
        <w:rPr>
          <w:rStyle w:val="NormalaftertitleChar"/>
          <w:rFonts w:eastAsia="SimSun" w:hint="cs"/>
          <w:rtl/>
        </w:rPr>
        <w:t xml:space="preserve"> (المراج</w:t>
      </w:r>
      <w:r w:rsidR="00600060">
        <w:rPr>
          <w:rStyle w:val="NormalaftertitleChar"/>
          <w:rFonts w:eastAsia="SimSun" w:hint="cs"/>
          <w:rtl/>
        </w:rPr>
        <w:t>َ</w:t>
      </w:r>
      <w:r w:rsidRPr="00033478">
        <w:rPr>
          <w:rStyle w:val="NormalaftertitleChar"/>
          <w:rFonts w:eastAsia="SimSun" w:hint="cs"/>
          <w:rtl/>
        </w:rPr>
        <w:t>ع في مراكش،</w:t>
      </w:r>
      <w:r w:rsidR="000135DB">
        <w:rPr>
          <w:rStyle w:val="NormalaftertitleChar"/>
          <w:rFonts w:eastAsia="SimSun" w:hint="eastAsia"/>
          <w:rtl/>
        </w:rPr>
        <w:t> </w:t>
      </w:r>
      <w:r w:rsidRPr="00033478">
        <w:rPr>
          <w:rStyle w:val="NormalaftertitleChar"/>
          <w:rFonts w:eastAsia="SimSun"/>
        </w:rPr>
        <w:t>(2002</w:t>
      </w:r>
      <w:r w:rsidRPr="00033478">
        <w:rPr>
          <w:rStyle w:val="NormalaftertitleChar"/>
          <w:rFonts w:eastAsia="SimSun" w:hint="cs"/>
          <w:rtl/>
        </w:rPr>
        <w:t xml:space="preserve"> لمؤتمر المندوبين المفوضين، بشأن "إجراءات النشر المسبق والتنسيق والتبليغ والتسجيل لتخصيصات التردد للشبكات الساتلية"، وفقاً للقرار</w:t>
      </w:r>
      <w:r w:rsidR="00EB687B" w:rsidRPr="00033478">
        <w:rPr>
          <w:rStyle w:val="NormalaftertitleChar"/>
          <w:rFonts w:eastAsia="SimSun" w:hint="eastAsia"/>
          <w:rtl/>
        </w:rPr>
        <w:t> </w:t>
      </w:r>
      <w:r w:rsidRPr="00033478">
        <w:rPr>
          <w:rStyle w:val="NormalaftertitleChar"/>
          <w:rFonts w:eastAsia="SimSun"/>
        </w:rPr>
        <w:t>86 (Rev.WRC</w:t>
      </w:r>
      <w:r w:rsidRPr="00033478">
        <w:rPr>
          <w:rStyle w:val="NormalaftertitleChar"/>
          <w:rFonts w:eastAsia="SimSun"/>
        </w:rPr>
        <w:noBreakHyphen/>
        <w:t>07)</w:t>
      </w:r>
      <w:r w:rsidRPr="00033478">
        <w:rPr>
          <w:rStyle w:val="NormalaftertitleChar"/>
          <w:rFonts w:eastAsia="SimSun" w:hint="cs"/>
          <w:rtl/>
        </w:rPr>
        <w:t xml:space="preserve"> تيسيراً للاستخدام الرشيد والفع</w:t>
      </w:r>
      <w:r w:rsidR="00600060">
        <w:rPr>
          <w:rStyle w:val="NormalaftertitleChar"/>
          <w:rFonts w:eastAsia="SimSun" w:hint="cs"/>
          <w:rtl/>
        </w:rPr>
        <w:t>ّ</w:t>
      </w:r>
      <w:r w:rsidRPr="00033478">
        <w:rPr>
          <w:rStyle w:val="NormalaftertitleChar"/>
          <w:rFonts w:eastAsia="SimSun" w:hint="cs"/>
          <w:rtl/>
        </w:rPr>
        <w:t>ال والاقتصادي للترددات الراديوية وأي مدارات مرتبطة</w:t>
      </w:r>
      <w:r w:rsidR="000135DB">
        <w:rPr>
          <w:rStyle w:val="NormalaftertitleChar"/>
          <w:rFonts w:eastAsia="SimSun" w:hint="eastAsia"/>
          <w:rtl/>
        </w:rPr>
        <w:t> </w:t>
      </w:r>
      <w:r w:rsidRPr="00033478">
        <w:rPr>
          <w:rStyle w:val="NormalaftertitleChar"/>
          <w:rFonts w:eastAsia="SimSun" w:hint="cs"/>
          <w:rtl/>
        </w:rPr>
        <w:t>بها، بما</w:t>
      </w:r>
      <w:r w:rsidR="000135DB">
        <w:rPr>
          <w:rStyle w:val="NormalaftertitleChar"/>
          <w:rFonts w:eastAsia="SimSun" w:hint="eastAsia"/>
          <w:rtl/>
        </w:rPr>
        <w:t> </w:t>
      </w:r>
      <w:r w:rsidRPr="00033478">
        <w:rPr>
          <w:rStyle w:val="NormalaftertitleChar"/>
          <w:rFonts w:eastAsia="SimSun" w:hint="cs"/>
          <w:rtl/>
        </w:rPr>
        <w:t>فيها مدار السواتل المستقرة بالنسبة إلى الأرض؛</w:t>
      </w:r>
    </w:p>
    <w:p w:rsidR="00286158" w:rsidRPr="00431196" w:rsidRDefault="00AA5FD6" w:rsidP="00EB687B">
      <w:pPr>
        <w:rPr>
          <w:rFonts w:eastAsia="SimSun"/>
        </w:rPr>
      </w:pPr>
      <w:r w:rsidRPr="00431196">
        <w:rPr>
          <w:rFonts w:eastAsia="SimSun"/>
        </w:rPr>
        <w:t>(B)7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</w:rPr>
        <w:t>المسألة</w:t>
      </w:r>
      <w:r w:rsidR="00EB687B">
        <w:rPr>
          <w:rFonts w:eastAsia="SimSun" w:hint="eastAsia"/>
          <w:rtl/>
        </w:rPr>
        <w:t> </w:t>
      </w:r>
      <w:r w:rsidRPr="00431196">
        <w:rPr>
          <w:rFonts w:eastAsia="SimSun"/>
        </w:rPr>
        <w:t>B</w:t>
      </w:r>
      <w:r w:rsidRPr="00431196">
        <w:rPr>
          <w:rFonts w:eastAsia="SimSun" w:hint="cs"/>
          <w:rtl/>
        </w:rPr>
        <w:t xml:space="preserve"> - نشر معلومات في الموقع الإلكتروني للاتحاد بشأن وضع الشبكات الساتلية في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الخدمة</w:t>
      </w:r>
    </w:p>
    <w:p w:rsidR="009631BF" w:rsidRDefault="009631BF" w:rsidP="009631BF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EB687B" w:rsidRPr="00EB687B" w:rsidRDefault="00EB687B" w:rsidP="000135DB">
      <w:pPr>
        <w:rPr>
          <w:rtl/>
        </w:rPr>
      </w:pPr>
      <w:r w:rsidRPr="00EB687B">
        <w:rPr>
          <w:rFonts w:hint="cs"/>
          <w:rtl/>
          <w:lang w:bidi="ar-OM"/>
        </w:rPr>
        <w:t>بناء</w:t>
      </w:r>
      <w:r w:rsidR="009631BF">
        <w:rPr>
          <w:rFonts w:hint="cs"/>
          <w:rtl/>
          <w:lang w:bidi="ar-OM"/>
        </w:rPr>
        <w:t>ً</w:t>
      </w:r>
      <w:r w:rsidRPr="00EB687B">
        <w:rPr>
          <w:rFonts w:hint="cs"/>
          <w:rtl/>
          <w:lang w:bidi="ar-OM"/>
        </w:rPr>
        <w:t xml:space="preserve"> على نتائج دراسات قطاع الاتصالات الراديوية بشأن</w:t>
      </w:r>
      <w:r w:rsidRPr="00EB687B">
        <w:rPr>
          <w:rFonts w:hint="cs"/>
          <w:rtl/>
          <w:lang w:bidi="ar"/>
        </w:rPr>
        <w:t xml:space="preserve"> كيفية تحقيق الوضوح الكامل في</w:t>
      </w:r>
      <w:r>
        <w:rPr>
          <w:rFonts w:hint="eastAsia"/>
          <w:rtl/>
          <w:lang w:bidi="ar"/>
        </w:rPr>
        <w:t> </w:t>
      </w:r>
      <w:r w:rsidRPr="00EB687B">
        <w:rPr>
          <w:rFonts w:hint="cs"/>
          <w:rtl/>
          <w:lang w:bidi="ar"/>
        </w:rPr>
        <w:t>إجراءات نشر المعلومات لدى مكتب الاتصالات الراديوية فيما</w:t>
      </w:r>
      <w:r w:rsidR="000135DB">
        <w:rPr>
          <w:rFonts w:hint="eastAsia"/>
          <w:rtl/>
          <w:lang w:bidi="ar"/>
        </w:rPr>
        <w:t> </w:t>
      </w:r>
      <w:r w:rsidRPr="00EB687B">
        <w:rPr>
          <w:rFonts w:hint="cs"/>
          <w:rtl/>
          <w:lang w:bidi="ar"/>
        </w:rPr>
        <w:t xml:space="preserve">يتعلق </w:t>
      </w:r>
      <w:r w:rsidRPr="00EB687B">
        <w:rPr>
          <w:rFonts w:hint="cs"/>
          <w:rtl/>
        </w:rPr>
        <w:t>بوضع</w:t>
      </w:r>
      <w:r w:rsidRPr="00EB687B">
        <w:rPr>
          <w:rFonts w:hint="cs"/>
          <w:rtl/>
          <w:lang w:bidi="ar"/>
        </w:rPr>
        <w:t xml:space="preserve"> تخصيصات التردد للشبكات الساتلية في الخدمة وتعليق استخدامها، فإن إدارات الدول العربية</w:t>
      </w:r>
      <w:r w:rsidRPr="00EB687B">
        <w:rPr>
          <w:rtl/>
          <w:lang w:bidi="ar"/>
        </w:rPr>
        <w:t xml:space="preserve"> </w:t>
      </w:r>
      <w:r w:rsidRPr="00EB687B">
        <w:rPr>
          <w:rFonts w:hint="cs"/>
          <w:rtl/>
          <w:lang w:bidi="ar"/>
        </w:rPr>
        <w:t xml:space="preserve">تقترح </w:t>
      </w:r>
      <w:r w:rsidRPr="00EB687B">
        <w:rPr>
          <w:rFonts w:hint="cs"/>
          <w:rtl/>
        </w:rPr>
        <w:t>تحديد تلك الإجراءات المطلوبة من مكتب الاتصالات الراديوية، بالإضافة إلى الإجراءات</w:t>
      </w:r>
      <w:r w:rsidRPr="00EB687B">
        <w:rPr>
          <w:rFonts w:hint="eastAsia"/>
          <w:rtl/>
        </w:rPr>
        <w:t> </w:t>
      </w:r>
      <w:r w:rsidRPr="00EB687B">
        <w:rPr>
          <w:rFonts w:hint="cs"/>
          <w:rtl/>
        </w:rPr>
        <w:t>الحالية، وإدراج تعليمات محددة لمكتب الاتصالات الراديوية بتنفيذ تلك الإجراءات الإضافية المطلوبة في</w:t>
      </w:r>
      <w:r w:rsidRPr="00EB687B">
        <w:rPr>
          <w:rFonts w:hint="eastAsia"/>
          <w:rtl/>
        </w:rPr>
        <w:t> </w:t>
      </w:r>
      <w:r w:rsidRPr="00EB687B">
        <w:rPr>
          <w:rFonts w:hint="cs"/>
          <w:rtl/>
        </w:rPr>
        <w:t>محضر أحد الجلسات العامة للمؤتمر العالمي للاتصالات الراديوية. وميزة مسار العمل هذا أنه لن</w:t>
      </w:r>
      <w:r w:rsidR="002501D3">
        <w:rPr>
          <w:rFonts w:hint="eastAsia"/>
          <w:rtl/>
        </w:rPr>
        <w:t> </w:t>
      </w:r>
      <w:r w:rsidRPr="00EB687B">
        <w:rPr>
          <w:rFonts w:hint="cs"/>
          <w:rtl/>
        </w:rPr>
        <w:t>يتطلب إجراء تغييرات معينة في</w:t>
      </w:r>
      <w:r w:rsidRPr="00EB687B">
        <w:rPr>
          <w:rFonts w:hint="eastAsia"/>
          <w:rtl/>
        </w:rPr>
        <w:t> </w:t>
      </w:r>
      <w:r w:rsidRPr="00EB687B">
        <w:rPr>
          <w:rFonts w:hint="cs"/>
          <w:rtl/>
        </w:rPr>
        <w:t>لوائح</w:t>
      </w:r>
      <w:r w:rsidRPr="00EB687B">
        <w:rPr>
          <w:rFonts w:hint="eastAsia"/>
          <w:rtl/>
        </w:rPr>
        <w:t> </w:t>
      </w:r>
      <w:r w:rsidRPr="00EB687B">
        <w:rPr>
          <w:rFonts w:hint="cs"/>
          <w:rtl/>
        </w:rPr>
        <w:t>الراديو ولكن سيكون له نفس التأثير كما لو أُدخلت تغييرات في</w:t>
      </w:r>
      <w:r w:rsidR="000135DB">
        <w:rPr>
          <w:rFonts w:hint="eastAsia"/>
          <w:rtl/>
        </w:rPr>
        <w:t> </w:t>
      </w:r>
      <w:r w:rsidRPr="00EB687B">
        <w:rPr>
          <w:rFonts w:hint="cs"/>
          <w:rtl/>
        </w:rPr>
        <w:t>لوائح</w:t>
      </w:r>
      <w:r w:rsidR="000135DB">
        <w:rPr>
          <w:rFonts w:hint="eastAsia"/>
          <w:rtl/>
        </w:rPr>
        <w:t> </w:t>
      </w:r>
      <w:r w:rsidR="00E2285E">
        <w:rPr>
          <w:rFonts w:hint="cs"/>
          <w:rtl/>
        </w:rPr>
        <w:t>الراديو.</w:t>
      </w:r>
      <w:bookmarkStart w:id="1" w:name="_GoBack"/>
      <w:bookmarkEnd w:id="1"/>
    </w:p>
    <w:p w:rsidR="00EB687B" w:rsidRPr="00EB687B" w:rsidRDefault="00EB687B" w:rsidP="00EB687B">
      <w:pPr>
        <w:rPr>
          <w:rtl/>
        </w:rPr>
      </w:pPr>
      <w:r w:rsidRPr="00EB687B">
        <w:rPr>
          <w:rFonts w:hint="cs"/>
          <w:rtl/>
        </w:rPr>
        <w:t>الجدير بالذكر أن هذه الممارسة استخدمت خلال</w:t>
      </w:r>
      <w:r w:rsidRPr="00EB687B">
        <w:rPr>
          <w:rFonts w:hint="eastAsia"/>
          <w:rtl/>
        </w:rPr>
        <w:t> </w:t>
      </w:r>
      <w:r w:rsidRPr="00EB687B">
        <w:rPr>
          <w:rFonts w:hint="cs"/>
          <w:rtl/>
        </w:rPr>
        <w:t>المؤتمرات العالمية السابقة للاتصالات الراديوية، من</w:t>
      </w:r>
      <w:r>
        <w:rPr>
          <w:rFonts w:hint="eastAsia"/>
          <w:rtl/>
        </w:rPr>
        <w:t> </w:t>
      </w:r>
      <w:r w:rsidRPr="00EB687B">
        <w:rPr>
          <w:rFonts w:hint="cs"/>
          <w:rtl/>
        </w:rPr>
        <w:t xml:space="preserve">بينها المؤتمر العالمي للاتصالات الراديوية لعام </w:t>
      </w:r>
      <w:r w:rsidRPr="00EB687B">
        <w:t>2012</w:t>
      </w:r>
      <w:r w:rsidRPr="00EB687B">
        <w:rPr>
          <w:rFonts w:hint="cs"/>
          <w:rtl/>
        </w:rPr>
        <w:t>، التي جرى خلالها توزيع نتائج قرارات الجلسات العامة من خلال رسائل معممة. علاوةً</w:t>
      </w:r>
      <w:r>
        <w:rPr>
          <w:rFonts w:hint="eastAsia"/>
          <w:rtl/>
        </w:rPr>
        <w:t> </w:t>
      </w:r>
      <w:r w:rsidRPr="00EB687B">
        <w:rPr>
          <w:rFonts w:hint="cs"/>
          <w:rtl/>
        </w:rPr>
        <w:t>على</w:t>
      </w:r>
      <w:r>
        <w:rPr>
          <w:rFonts w:hint="eastAsia"/>
          <w:rtl/>
        </w:rPr>
        <w:t> </w:t>
      </w:r>
      <w:r w:rsidRPr="00EB687B">
        <w:rPr>
          <w:rFonts w:hint="cs"/>
          <w:rtl/>
        </w:rPr>
        <w:t>ذلك، نظراً لعبء العمل الثقيل أثناء المؤتمرات العالمية للاتصالات الراديوية، ولا</w:t>
      </w:r>
      <w:r w:rsidRPr="00EB687B">
        <w:rPr>
          <w:rFonts w:hint="eastAsia"/>
          <w:rtl/>
        </w:rPr>
        <w:t> </w:t>
      </w:r>
      <w:r w:rsidRPr="00EB687B">
        <w:rPr>
          <w:rFonts w:hint="cs"/>
          <w:rtl/>
        </w:rPr>
        <w:t>سيما المؤتمر العالمي لعام</w:t>
      </w:r>
      <w:r>
        <w:rPr>
          <w:rFonts w:hint="eastAsia"/>
          <w:rtl/>
        </w:rPr>
        <w:t> </w:t>
      </w:r>
      <w:r w:rsidRPr="00EB687B">
        <w:t>2015</w:t>
      </w:r>
      <w:r w:rsidRPr="00EB687B">
        <w:rPr>
          <w:rFonts w:hint="cs"/>
          <w:rtl/>
        </w:rPr>
        <w:t>، ينبغي بذل جميع الجهود لاقتراح حلول لا</w:t>
      </w:r>
      <w:r>
        <w:rPr>
          <w:rFonts w:hint="eastAsia"/>
          <w:rtl/>
        </w:rPr>
        <w:t> </w:t>
      </w:r>
      <w:r w:rsidRPr="00EB687B">
        <w:rPr>
          <w:rFonts w:hint="cs"/>
          <w:rtl/>
        </w:rPr>
        <w:t>ينشأ عنها مناقشات غير</w:t>
      </w:r>
      <w:r w:rsidRPr="00EB687B">
        <w:rPr>
          <w:rFonts w:hint="eastAsia"/>
          <w:rtl/>
        </w:rPr>
        <w:t> </w:t>
      </w:r>
      <w:r w:rsidRPr="00EB687B">
        <w:rPr>
          <w:rFonts w:hint="cs"/>
          <w:rtl/>
        </w:rPr>
        <w:t>ضرورية خلال المؤتمرات ومن ثم تسمح للمؤتمر بالتعامل مع المواضيع الهامة التي تتطلب مداولات ومناقشات إضافية أو مستفيضة.</w:t>
      </w:r>
    </w:p>
    <w:p w:rsidR="00EB687B" w:rsidRDefault="00EB687B" w:rsidP="002501D3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</w:t>
      </w:r>
    </w:p>
    <w:p w:rsidR="00C05803" w:rsidRDefault="00AA5FD6">
      <w:pPr>
        <w:pStyle w:val="Proposal"/>
      </w:pPr>
      <w:r>
        <w:rPr>
          <w:u w:val="single"/>
        </w:rPr>
        <w:t>NOC</w:t>
      </w:r>
      <w:r>
        <w:tab/>
        <w:t>ARB/25A19A2/1</w:t>
      </w:r>
    </w:p>
    <w:p w:rsidR="009F37C9" w:rsidRPr="00620278" w:rsidRDefault="00AA5FD6" w:rsidP="00EB687B">
      <w:pPr>
        <w:pStyle w:val="ArtNo"/>
        <w:rPr>
          <w:rtl/>
        </w:rPr>
      </w:pPr>
      <w:r w:rsidRPr="00620278">
        <w:rPr>
          <w:rtl/>
        </w:rPr>
        <w:t>المـادة</w:t>
      </w:r>
      <w:r w:rsidR="00EB687B">
        <w:rPr>
          <w:rFonts w:hint="cs"/>
          <w:rtl/>
        </w:rPr>
        <w:t> </w:t>
      </w:r>
      <w:r w:rsidRPr="00476D6B">
        <w:rPr>
          <w:rStyle w:val="href"/>
        </w:rPr>
        <w:t>11</w:t>
      </w:r>
    </w:p>
    <w:p w:rsidR="009F37C9" w:rsidRDefault="00AA5FD6" w:rsidP="00EB687B">
      <w:pPr>
        <w:pStyle w:val="Arttitle"/>
        <w:rPr>
          <w:b w:val="0"/>
          <w:bCs w:val="0"/>
          <w:sz w:val="18"/>
          <w:rtl/>
          <w:lang w:bidi="ar-SA"/>
        </w:rPr>
      </w:pPr>
      <w:bookmarkStart w:id="2" w:name="_Toc331055745"/>
      <w:r w:rsidRPr="00620278">
        <w:rPr>
          <w:rtl/>
        </w:rPr>
        <w:t>التبليغ عن تخصيصات التردد وتسجيلها</w:t>
      </w:r>
      <w:r w:rsidRPr="002501D3">
        <w:rPr>
          <w:rStyle w:val="FootnoteReference"/>
          <w:bCs w:val="0"/>
          <w:rtl/>
        </w:rPr>
        <w:t>1</w:t>
      </w:r>
      <w:r w:rsidRPr="002501D3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2501D3">
        <w:rPr>
          <w:rFonts w:hint="cs"/>
          <w:bCs w:val="0"/>
          <w:position w:val="6"/>
          <w:sz w:val="18"/>
          <w:szCs w:val="24"/>
          <w:rtl/>
        </w:rPr>
        <w:t xml:space="preserve"> </w:t>
      </w:r>
      <w:r w:rsidRPr="002501D3">
        <w:rPr>
          <w:rStyle w:val="FootnoteReference"/>
          <w:bCs w:val="0"/>
          <w:rtl/>
        </w:rPr>
        <w:t>2</w:t>
      </w:r>
      <w:r w:rsidRPr="002501D3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2501D3">
        <w:rPr>
          <w:rFonts w:hint="cs"/>
          <w:bCs w:val="0"/>
          <w:position w:val="6"/>
          <w:sz w:val="18"/>
          <w:szCs w:val="24"/>
          <w:rtl/>
        </w:rPr>
        <w:t xml:space="preserve"> </w:t>
      </w:r>
      <w:r w:rsidRPr="002501D3">
        <w:rPr>
          <w:rStyle w:val="FootnoteReference"/>
          <w:bCs w:val="0"/>
          <w:rtl/>
        </w:rPr>
        <w:t>3</w:t>
      </w:r>
      <w:r w:rsidRPr="002501D3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2501D3">
        <w:rPr>
          <w:rFonts w:hint="cs"/>
          <w:bCs w:val="0"/>
          <w:position w:val="6"/>
          <w:sz w:val="18"/>
          <w:szCs w:val="24"/>
          <w:rtl/>
        </w:rPr>
        <w:t xml:space="preserve"> </w:t>
      </w:r>
      <w:r w:rsidRPr="002501D3">
        <w:rPr>
          <w:rStyle w:val="FootnoteReference"/>
          <w:bCs w:val="0"/>
          <w:rtl/>
        </w:rPr>
        <w:t>4</w:t>
      </w:r>
      <w:r w:rsidRPr="002501D3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2501D3">
        <w:rPr>
          <w:bCs w:val="0"/>
          <w:position w:val="6"/>
          <w:sz w:val="18"/>
          <w:szCs w:val="24"/>
          <w:rtl/>
        </w:rPr>
        <w:t xml:space="preserve"> </w:t>
      </w:r>
      <w:r w:rsidRPr="002501D3">
        <w:rPr>
          <w:rStyle w:val="FootnoteReference"/>
          <w:bCs w:val="0"/>
          <w:rtl/>
        </w:rPr>
        <w:t>5</w:t>
      </w:r>
      <w:r w:rsidRPr="002501D3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2501D3">
        <w:rPr>
          <w:bCs w:val="0"/>
          <w:position w:val="6"/>
          <w:sz w:val="18"/>
          <w:szCs w:val="24"/>
          <w:rtl/>
        </w:rPr>
        <w:t xml:space="preserve"> </w:t>
      </w:r>
      <w:r w:rsidRPr="002501D3">
        <w:rPr>
          <w:rStyle w:val="FootnoteReference"/>
          <w:bCs w:val="0"/>
          <w:rtl/>
        </w:rPr>
        <w:t>6</w:t>
      </w:r>
      <w:r w:rsidRPr="002501D3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2501D3">
        <w:rPr>
          <w:rFonts w:hint="cs"/>
          <w:bCs w:val="0"/>
          <w:position w:val="6"/>
          <w:sz w:val="18"/>
          <w:szCs w:val="24"/>
          <w:rtl/>
        </w:rPr>
        <w:t xml:space="preserve"> </w:t>
      </w:r>
      <w:r w:rsidRPr="002501D3">
        <w:rPr>
          <w:rStyle w:val="FootnoteReference"/>
          <w:bCs w:val="0"/>
          <w:rtl/>
        </w:rPr>
        <w:t>7</w:t>
      </w:r>
      <w:r w:rsidRPr="002501D3">
        <w:rPr>
          <w:rFonts w:hint="cs"/>
          <w:bCs w:val="0"/>
          <w:position w:val="-4"/>
          <w:szCs w:val="28"/>
          <w:vertAlign w:val="superscript"/>
          <w:rtl/>
        </w:rPr>
        <w:t xml:space="preserve">، </w:t>
      </w:r>
      <w:r w:rsidRPr="002501D3">
        <w:rPr>
          <w:rStyle w:val="FootnoteReference"/>
          <w:bCs w:val="0"/>
          <w:rtl/>
        </w:rPr>
        <w:t>7</w:t>
      </w:r>
      <w:r w:rsidRPr="002501D3">
        <w:rPr>
          <w:rStyle w:val="FootnoteReference"/>
          <w:rFonts w:ascii="Times New Roman Bold" w:hAnsi="Times New Roman Bold" w:cs="Traditional Arabic"/>
          <w:bCs w:val="0"/>
          <w:i/>
          <w:iCs/>
          <w:sz w:val="24"/>
          <w:szCs w:val="24"/>
          <w:rtl/>
        </w:rPr>
        <w:t>مكرراً</w:t>
      </w:r>
      <w:r w:rsidRPr="002501D3">
        <w:rPr>
          <w:rFonts w:hint="cs"/>
          <w:bCs w:val="0"/>
          <w:i/>
          <w:iCs/>
          <w:position w:val="6"/>
          <w:sz w:val="24"/>
          <w:szCs w:val="30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2"/>
      <w:r w:rsidRPr="00F62046">
        <w:rPr>
          <w:b w:val="0"/>
          <w:bCs w:val="0"/>
          <w:sz w:val="18"/>
          <w:lang w:bidi="ar-SA"/>
        </w:rPr>
        <w:t>    </w:t>
      </w:r>
    </w:p>
    <w:p w:rsidR="002501D3" w:rsidRDefault="002501D3" w:rsidP="002501D3">
      <w:pPr>
        <w:pStyle w:val="Reasons"/>
        <w:rPr>
          <w:rtl/>
        </w:rPr>
      </w:pPr>
    </w:p>
    <w:p w:rsidR="00EB687B" w:rsidRPr="00620278" w:rsidRDefault="00EB687B" w:rsidP="00EB687B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EB687B" w:rsidRPr="00620278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EB687B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E2285E">
      <w:rPr>
        <w:noProof/>
        <w:lang w:val="es-ES"/>
      </w:rPr>
      <w:t>P:\ARA\ITU-R\CONF-R\CMR15\000\025ADD19ADD02A.docx</w:t>
    </w:r>
    <w:r w:rsidRPr="00CB4300">
      <w:fldChar w:fldCharType="end"/>
    </w:r>
    <w:r w:rsidRPr="00CB4300">
      <w:rPr>
        <w:lang w:val="es-ES"/>
      </w:rPr>
      <w:t xml:space="preserve">  (</w:t>
    </w:r>
    <w:r w:rsidR="00EB687B">
      <w:rPr>
        <w:rFonts w:hint="cs"/>
        <w:rtl/>
        <w:lang w:val="es-ES"/>
      </w:rPr>
      <w:t>386938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E2285E">
      <w:rPr>
        <w:noProof/>
      </w:rPr>
      <w:t>15.10.15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E2285E">
      <w:rPr>
        <w:noProof/>
      </w:rPr>
      <w:t>15.10.15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EB687B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E2285E">
      <w:rPr>
        <w:noProof/>
        <w:lang w:val="es-ES"/>
      </w:rPr>
      <w:t>P:\ARA\ITU-R\CONF-R\CMR15\000\025ADD19ADD02A.docx</w:t>
    </w:r>
    <w:r>
      <w:fldChar w:fldCharType="end"/>
    </w:r>
    <w:r w:rsidRPr="00CB4300">
      <w:rPr>
        <w:lang w:val="es-ES"/>
      </w:rPr>
      <w:t xml:space="preserve">   (</w:t>
    </w:r>
    <w:r w:rsidR="00EB687B">
      <w:rPr>
        <w:rFonts w:hint="cs"/>
        <w:rtl/>
        <w:lang w:val="es-ES"/>
      </w:rPr>
      <w:t>386938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2285E">
      <w:rPr>
        <w:noProof/>
      </w:rPr>
      <w:t>15.10.15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E2285E">
      <w:rPr>
        <w:noProof/>
      </w:rPr>
      <w:t>15.10.15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E2285E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25(Add.19)(Add.2)-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OM" w:vendorID="64" w:dllVersion="131078" w:nlCheck="1" w:checkStyle="0"/>
  <w:activeWritingStyle w:appName="MSWord" w:lang="ar-SY" w:vendorID="64" w:dllVersion="131078" w:nlCheck="1" w:checkStyle="0"/>
  <w:activeWritingStyle w:appName="MSWord" w:lang="es-ES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135DB"/>
    <w:rsid w:val="00033478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23EC6"/>
    <w:rsid w:val="002333A0"/>
    <w:rsid w:val="002501D3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00060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24FA"/>
    <w:rsid w:val="008D4F14"/>
    <w:rsid w:val="008D6ACC"/>
    <w:rsid w:val="008D7AF0"/>
    <w:rsid w:val="008E32DD"/>
    <w:rsid w:val="008F4626"/>
    <w:rsid w:val="009004DF"/>
    <w:rsid w:val="00904AA5"/>
    <w:rsid w:val="00905D21"/>
    <w:rsid w:val="00936DD6"/>
    <w:rsid w:val="00951718"/>
    <w:rsid w:val="00954CCB"/>
    <w:rsid w:val="00960962"/>
    <w:rsid w:val="009631BF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A5FD6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0580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285E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B687B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5FECE3FD-E0D9-45BB-94CE-6861F8F2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R15-WRC15-C-0025!A19-A2!MSW-A</DPM_x0020_File_x0020_name>
    <DPM_x0020_Author xmlns="32a1a8c5-2265-4ebc-b7a0-2071e2c5c9bb" xsi:nil="false">Documents Proposals Manager (DPM)</DPM_x0020_Author>
    <DPM_x0020_Version xmlns="32a1a8c5-2265-4ebc-b7a0-2071e2c5c9bb" xsi:nil="false">DPM_v5.2015.10.14_prod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93E762-5979-4126-8DC8-B1A68159B453}">
  <ds:schemaRefs>
    <ds:schemaRef ds:uri="996b2e75-67fd-4955-a3b0-5ab9934cb50b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32a1a8c5-2265-4ebc-b7a0-2071e2c5c9b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AED47EF0-4E90-4260-AF5C-978D8947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301</Words>
  <Characters>1713</Characters>
  <Application>Microsoft Office Word</Application>
  <DocSecurity>0</DocSecurity>
  <Lines>42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R15-WRC15-C-0025!A19-A2!MSW-A</vt:lpstr>
    </vt:vector>
  </TitlesOfParts>
  <Manager>General Secretariat - Pool</Manager>
  <Company>International Telecommunication Union (ITU)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R15-WRC15-C-0025!A19-A2!MSW-A</dc:title>
  <dc:creator>Documents Proposals Manager (DPM)</dc:creator>
  <cp:keywords>DPM_v5.2015.10.14_prod</cp:keywords>
  <cp:lastModifiedBy>Awad, Samy</cp:lastModifiedBy>
  <cp:revision>11</cp:revision>
  <cp:lastPrinted>2015-10-15T14:26:00Z</cp:lastPrinted>
  <dcterms:created xsi:type="dcterms:W3CDTF">2015-10-14T17:32:00Z</dcterms:created>
  <dcterms:modified xsi:type="dcterms:W3CDTF">2015-10-15T14:27:00Z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