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1B36EF">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1B36EF">
            <w:pPr>
              <w:spacing w:before="0"/>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1B36EF">
            <w:pPr>
              <w:spacing w:before="0" w:after="48"/>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1B36EF">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1B36EF">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1B36EF">
            <w:pPr>
              <w:spacing w:before="0"/>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1B36EF">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F240D1" w:rsidRDefault="006D4724" w:rsidP="001B36EF">
            <w:pPr>
              <w:spacing w:before="0"/>
              <w:rPr>
                <w:rFonts w:ascii="Verdana" w:hAnsi="Verdana"/>
                <w:sz w:val="20"/>
                <w:lang w:val="fr-CH"/>
              </w:rPr>
            </w:pPr>
            <w:r w:rsidRPr="00F240D1">
              <w:rPr>
                <w:rFonts w:ascii="Verdana" w:eastAsia="SimSun" w:hAnsi="Verdana" w:cs="Traditional Arabic"/>
                <w:b/>
                <w:sz w:val="20"/>
                <w:lang w:val="fr-CH"/>
              </w:rPr>
              <w:t>Addendum 12 au</w:t>
            </w:r>
            <w:r w:rsidRPr="00F240D1">
              <w:rPr>
                <w:rFonts w:ascii="Verdana" w:eastAsia="SimSun" w:hAnsi="Verdana" w:cs="Traditional Arabic"/>
                <w:b/>
                <w:sz w:val="20"/>
                <w:lang w:val="fr-CH"/>
              </w:rPr>
              <w:br/>
              <w:t>Document 25(Add.19)</w:t>
            </w:r>
            <w:r w:rsidR="00BB1D82" w:rsidRPr="00F240D1">
              <w:rPr>
                <w:rFonts w:ascii="Verdana" w:hAnsi="Verdana"/>
                <w:b/>
                <w:sz w:val="20"/>
                <w:lang w:val="fr-CH"/>
              </w:rPr>
              <w:t>-</w:t>
            </w:r>
            <w:r w:rsidRPr="00F240D1">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F240D1" w:rsidRDefault="00690C7B" w:rsidP="001B36EF">
            <w:pPr>
              <w:spacing w:before="0"/>
              <w:rPr>
                <w:rFonts w:ascii="Verdana" w:hAnsi="Verdana"/>
                <w:b/>
                <w:sz w:val="20"/>
                <w:lang w:val="fr-CH"/>
              </w:rPr>
            </w:pPr>
          </w:p>
        </w:tc>
        <w:tc>
          <w:tcPr>
            <w:tcW w:w="3120" w:type="dxa"/>
            <w:shd w:val="clear" w:color="auto" w:fill="auto"/>
          </w:tcPr>
          <w:p w:rsidR="00690C7B" w:rsidRPr="002A6F8F" w:rsidRDefault="00690C7B" w:rsidP="001B36EF">
            <w:pPr>
              <w:spacing w:before="0"/>
              <w:rPr>
                <w:rFonts w:ascii="Verdana" w:hAnsi="Verdana"/>
                <w:b/>
                <w:sz w:val="20"/>
                <w:lang w:val="en-US"/>
              </w:rPr>
            </w:pPr>
            <w:r w:rsidRPr="002A6F8F">
              <w:rPr>
                <w:rFonts w:ascii="Verdana" w:hAnsi="Verdana"/>
                <w:b/>
                <w:sz w:val="20"/>
                <w:lang w:val="en-US"/>
              </w:rPr>
              <w:t>10 septembre 2015</w:t>
            </w:r>
          </w:p>
        </w:tc>
      </w:tr>
      <w:tr w:rsidR="00690C7B" w:rsidRPr="002A6F8F" w:rsidTr="00BB1D82">
        <w:trPr>
          <w:cantSplit/>
        </w:trPr>
        <w:tc>
          <w:tcPr>
            <w:tcW w:w="6911" w:type="dxa"/>
          </w:tcPr>
          <w:p w:rsidR="00690C7B" w:rsidRPr="002A6F8F" w:rsidRDefault="00690C7B" w:rsidP="001B36EF">
            <w:pPr>
              <w:spacing w:before="0" w:after="48"/>
              <w:rPr>
                <w:rFonts w:ascii="Verdana" w:hAnsi="Verdana"/>
                <w:b/>
                <w:smallCaps/>
                <w:sz w:val="20"/>
                <w:lang w:val="en-US"/>
              </w:rPr>
            </w:pPr>
          </w:p>
        </w:tc>
        <w:tc>
          <w:tcPr>
            <w:tcW w:w="3120" w:type="dxa"/>
          </w:tcPr>
          <w:p w:rsidR="00690C7B" w:rsidRPr="002A6F8F" w:rsidRDefault="00690C7B" w:rsidP="001B36EF">
            <w:pPr>
              <w:spacing w:before="0"/>
              <w:rPr>
                <w:rFonts w:ascii="Verdana" w:hAnsi="Verdana"/>
                <w:b/>
                <w:sz w:val="20"/>
                <w:lang w:val="en-US"/>
              </w:rPr>
            </w:pPr>
            <w:r w:rsidRPr="002A6F8F">
              <w:rPr>
                <w:rFonts w:ascii="Verdana" w:hAnsi="Verdana"/>
                <w:b/>
                <w:sz w:val="20"/>
                <w:lang w:val="en-US"/>
              </w:rPr>
              <w:t>Original: arabe</w:t>
            </w:r>
          </w:p>
        </w:tc>
      </w:tr>
      <w:tr w:rsidR="00690C7B" w:rsidRPr="002A6F8F" w:rsidTr="00C11970">
        <w:trPr>
          <w:cantSplit/>
        </w:trPr>
        <w:tc>
          <w:tcPr>
            <w:tcW w:w="10031" w:type="dxa"/>
            <w:gridSpan w:val="2"/>
          </w:tcPr>
          <w:p w:rsidR="00690C7B" w:rsidRPr="002A6F8F" w:rsidRDefault="00690C7B" w:rsidP="001B36EF">
            <w:pPr>
              <w:spacing w:before="0"/>
              <w:rPr>
                <w:rFonts w:ascii="Verdana" w:hAnsi="Verdana"/>
                <w:b/>
                <w:sz w:val="20"/>
                <w:lang w:val="en-US"/>
              </w:rPr>
            </w:pPr>
          </w:p>
        </w:tc>
      </w:tr>
      <w:tr w:rsidR="00690C7B" w:rsidRPr="002A6F8F" w:rsidTr="0050008E">
        <w:trPr>
          <w:cantSplit/>
        </w:trPr>
        <w:tc>
          <w:tcPr>
            <w:tcW w:w="10031" w:type="dxa"/>
            <w:gridSpan w:val="2"/>
          </w:tcPr>
          <w:p w:rsidR="00690C7B" w:rsidRPr="00F240D1" w:rsidRDefault="00690C7B" w:rsidP="001B36EF">
            <w:pPr>
              <w:pStyle w:val="Source"/>
              <w:rPr>
                <w:lang w:val="fr-CH"/>
              </w:rPr>
            </w:pPr>
            <w:bookmarkStart w:id="2" w:name="dsource" w:colFirst="0" w:colLast="0"/>
            <w:r w:rsidRPr="00F240D1">
              <w:rPr>
                <w:lang w:val="fr-CH"/>
              </w:rPr>
              <w:t>Propositions communes des Etats arabes</w:t>
            </w:r>
          </w:p>
        </w:tc>
      </w:tr>
      <w:tr w:rsidR="00690C7B" w:rsidRPr="00F240D1" w:rsidTr="0050008E">
        <w:trPr>
          <w:cantSplit/>
        </w:trPr>
        <w:tc>
          <w:tcPr>
            <w:tcW w:w="10031" w:type="dxa"/>
            <w:gridSpan w:val="2"/>
          </w:tcPr>
          <w:p w:rsidR="00690C7B" w:rsidRPr="00F240D1" w:rsidRDefault="00F240D1" w:rsidP="001B36EF">
            <w:pPr>
              <w:pStyle w:val="Title1"/>
              <w:rPr>
                <w:lang w:val="fr-CH"/>
              </w:rPr>
            </w:pPr>
            <w:bookmarkStart w:id="3" w:name="dtitle1" w:colFirst="0" w:colLast="0"/>
            <w:bookmarkEnd w:id="2"/>
            <w:r w:rsidRPr="00F240D1">
              <w:rPr>
                <w:lang w:val="fr-CH"/>
              </w:rPr>
              <w:t xml:space="preserve">ProposITIONS POUR LES TRAVAUX DE LA </w:t>
            </w:r>
            <w:r w:rsidR="00690C7B" w:rsidRPr="00F240D1">
              <w:rPr>
                <w:lang w:val="fr-CH"/>
              </w:rPr>
              <w:t>conf</w:t>
            </w:r>
            <w:r w:rsidRPr="00F240D1">
              <w:rPr>
                <w:lang w:val="fr-CH"/>
              </w:rPr>
              <w:t>É</w:t>
            </w:r>
            <w:r w:rsidR="00690C7B" w:rsidRPr="00F240D1">
              <w:rPr>
                <w:lang w:val="fr-CH"/>
              </w:rPr>
              <w:t>rence</w:t>
            </w:r>
          </w:p>
        </w:tc>
      </w:tr>
      <w:tr w:rsidR="00690C7B" w:rsidRPr="00F240D1" w:rsidTr="0050008E">
        <w:trPr>
          <w:cantSplit/>
        </w:trPr>
        <w:tc>
          <w:tcPr>
            <w:tcW w:w="10031" w:type="dxa"/>
            <w:gridSpan w:val="2"/>
          </w:tcPr>
          <w:p w:rsidR="00690C7B" w:rsidRPr="00F240D1" w:rsidRDefault="00690C7B" w:rsidP="001B36EF">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1B36EF">
            <w:pPr>
              <w:pStyle w:val="Agendaitem"/>
            </w:pPr>
            <w:bookmarkStart w:id="5" w:name="dtitle3" w:colFirst="0" w:colLast="0"/>
            <w:bookmarkEnd w:id="4"/>
            <w:r w:rsidRPr="006D4724">
              <w:t>Point 7(L) de l'ordre du jour</w:t>
            </w:r>
          </w:p>
        </w:tc>
      </w:tr>
    </w:tbl>
    <w:bookmarkEnd w:id="5"/>
    <w:p w:rsidR="001C0E40" w:rsidRPr="00EC691D" w:rsidRDefault="00496AA1" w:rsidP="001B36EF">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bookmarkStart w:id="6" w:name="_GoBack"/>
      <w:bookmarkEnd w:id="6"/>
    </w:p>
    <w:p w:rsidR="001053EB" w:rsidRPr="00C27664" w:rsidRDefault="00FC29DC" w:rsidP="001B36EF">
      <w:pPr>
        <w:rPr>
          <w:lang w:val="fr-CH"/>
        </w:rPr>
      </w:pPr>
      <w:r>
        <w:rPr>
          <w:lang w:val="fr-CH"/>
        </w:rPr>
        <w:t>F(L)</w:t>
      </w:r>
      <w:r w:rsidR="00496AA1">
        <w:rPr>
          <w:lang w:val="fr-CH"/>
        </w:rPr>
        <w:tab/>
      </w:r>
      <w:r w:rsidR="00496AA1" w:rsidRPr="005532B0">
        <w:rPr>
          <w:lang w:val="fr-CH"/>
        </w:rPr>
        <w:t xml:space="preserve">Question L – Modification de certaines dispositions de l'Article 4 des Appendices </w:t>
      </w:r>
      <w:r w:rsidR="00496AA1" w:rsidRPr="004A40FE">
        <w:rPr>
          <w:b/>
          <w:bCs/>
          <w:lang w:val="fr-CH"/>
        </w:rPr>
        <w:t>30</w:t>
      </w:r>
      <w:r w:rsidR="00496AA1" w:rsidRPr="005532B0">
        <w:rPr>
          <w:lang w:val="fr-CH"/>
        </w:rPr>
        <w:t xml:space="preserve"> et </w:t>
      </w:r>
      <w:r w:rsidR="00496AA1" w:rsidRPr="004A40FE">
        <w:rPr>
          <w:b/>
          <w:bCs/>
          <w:lang w:val="fr-CH"/>
        </w:rPr>
        <w:t>30A</w:t>
      </w:r>
      <w:r w:rsidR="00496AA1" w:rsidRPr="005532B0">
        <w:rPr>
          <w:lang w:val="fr-CH"/>
        </w:rPr>
        <w:t xml:space="preserve"> du RR relatives aux Régions 1 et 3, à savoir le remplacement de l'accord tacite par l'accord exprès, ou alignement desdites dispositions des Appendices </w:t>
      </w:r>
      <w:r w:rsidR="00496AA1" w:rsidRPr="004A40FE">
        <w:rPr>
          <w:b/>
          <w:bCs/>
          <w:lang w:val="fr-CH"/>
        </w:rPr>
        <w:t>30</w:t>
      </w:r>
      <w:r w:rsidR="00496AA1" w:rsidRPr="00C27664">
        <w:rPr>
          <w:lang w:val="fr-CH"/>
        </w:rPr>
        <w:t xml:space="preserve"> et </w:t>
      </w:r>
      <w:r w:rsidR="00496AA1" w:rsidRPr="004A40FE">
        <w:rPr>
          <w:b/>
          <w:bCs/>
          <w:lang w:val="fr-CH"/>
        </w:rPr>
        <w:t>30A</w:t>
      </w:r>
      <w:r w:rsidR="00496AA1" w:rsidRPr="00C27664">
        <w:rPr>
          <w:lang w:val="fr-CH"/>
        </w:rPr>
        <w:t xml:space="preserve"> du RR relatives aux Régions 1 et 3 avec celles de l'Appendice </w:t>
      </w:r>
      <w:r w:rsidR="00496AA1" w:rsidRPr="004A40FE">
        <w:rPr>
          <w:b/>
          <w:bCs/>
          <w:lang w:val="fr-CH"/>
        </w:rPr>
        <w:t>30B</w:t>
      </w:r>
      <w:r w:rsidR="00496AA1">
        <w:rPr>
          <w:lang w:val="fr-CH"/>
        </w:rPr>
        <w:t>.</w:t>
      </w:r>
    </w:p>
    <w:p w:rsidR="00F240D1" w:rsidRPr="00FC29DC" w:rsidRDefault="00F240D1" w:rsidP="001B36EF">
      <w:pPr>
        <w:pStyle w:val="Headingb"/>
        <w:rPr>
          <w:lang w:val="fr-CH"/>
        </w:rPr>
      </w:pPr>
      <w:r w:rsidRPr="00FC29DC">
        <w:rPr>
          <w:lang w:val="fr-CH"/>
        </w:rPr>
        <w:t>Introduction</w:t>
      </w:r>
    </w:p>
    <w:p w:rsidR="00F240D1" w:rsidRPr="001B36EF" w:rsidRDefault="00724163" w:rsidP="00FC29DC">
      <w:pPr>
        <w:rPr>
          <w:lang w:val="fr-CH"/>
        </w:rPr>
      </w:pPr>
      <w:r w:rsidRPr="001B36EF">
        <w:rPr>
          <w:lang w:val="fr-CH"/>
        </w:rPr>
        <w:t xml:space="preserve">Les </w:t>
      </w:r>
      <w:r w:rsidR="00A11B98" w:rsidRPr="001B36EF">
        <w:rPr>
          <w:lang w:val="fr-CH"/>
        </w:rPr>
        <w:t xml:space="preserve">administrations </w:t>
      </w:r>
      <w:r w:rsidRPr="001B36EF">
        <w:rPr>
          <w:lang w:val="fr-CH"/>
        </w:rPr>
        <w:t xml:space="preserve">des </w:t>
      </w:r>
      <w:r w:rsidR="00FC29DC">
        <w:rPr>
          <w:lang w:val="fr-CH"/>
        </w:rPr>
        <w:t>E</w:t>
      </w:r>
      <w:r w:rsidRPr="001B36EF">
        <w:rPr>
          <w:lang w:val="fr-CH"/>
        </w:rPr>
        <w:t xml:space="preserve">tats arabes sont d'avis que </w:t>
      </w:r>
      <w:r w:rsidR="00A11B98" w:rsidRPr="001B36EF">
        <w:rPr>
          <w:lang w:val="fr-CH"/>
        </w:rPr>
        <w:t>les dispositions pertinentes de l'Article 4 des Appendices 30 et 30A du Règlement des radiocommunications adoptées à ce jour n'ont pas permis de résoudre le problème de la réduction de la marge de protection équivalente. Par conséquent, de nombreuses assignations présentent des marges de protection équivalente largement négatives en raison de l'absence de réponse à la demande de coordination au titre des Plans des Appendices 30 et 30A pour les Régions 1 et 3.</w:t>
      </w:r>
    </w:p>
    <w:p w:rsidR="00A11B98" w:rsidRPr="00724163" w:rsidRDefault="00A11B98" w:rsidP="001B36EF">
      <w:pPr>
        <w:rPr>
          <w:shd w:val="pct15" w:color="auto" w:fill="FFFFFF"/>
          <w:lang w:val="fr-CH"/>
        </w:rPr>
      </w:pPr>
      <w:r w:rsidRPr="001B36EF">
        <w:rPr>
          <w:lang w:val="fr-CH"/>
        </w:rPr>
        <w:t>L'alignement de certaines dispositions de l'Article 4 des Appendices 30 et 30A avec les dispositions correspondantes pour les bandes/services non planifiés ou avec celles de l'Article 6 de l'Appendice 30B, ou la simplification et la rationalisation de ces dispositions, pourraient, dans une certaine mesure, résoudre le problème et éviter les conséquences de l'absence de réponse pour les administrations notificatrices.</w:t>
      </w:r>
    </w:p>
    <w:p w:rsidR="00A11B98" w:rsidRPr="00724163" w:rsidRDefault="00724163" w:rsidP="001B36EF">
      <w:pPr>
        <w:rPr>
          <w:lang w:val="fr-CH"/>
        </w:rPr>
      </w:pPr>
      <w:r w:rsidRPr="00724163">
        <w:rPr>
          <w:lang w:val="fr-CH"/>
        </w:rPr>
        <w:t>En conséquence</w:t>
      </w:r>
      <w:r w:rsidR="00A11B98" w:rsidRPr="00724163">
        <w:rPr>
          <w:lang w:val="fr-CH"/>
        </w:rPr>
        <w:t xml:space="preserve">, </w:t>
      </w:r>
      <w:r w:rsidR="001B36EF">
        <w:rPr>
          <w:lang w:val="fr-CH"/>
        </w:rPr>
        <w:t>les</w:t>
      </w:r>
      <w:r w:rsidRPr="00724163">
        <w:rPr>
          <w:lang w:val="fr-CH"/>
        </w:rPr>
        <w:t xml:space="preserve"> administrations</w:t>
      </w:r>
      <w:r w:rsidR="001B36EF">
        <w:rPr>
          <w:lang w:val="fr-CH"/>
        </w:rPr>
        <w:t xml:space="preserve"> des Etats arabes</w:t>
      </w:r>
      <w:r w:rsidRPr="00724163">
        <w:rPr>
          <w:lang w:val="fr-CH"/>
        </w:rPr>
        <w:t xml:space="preserve"> proposent que </w:t>
      </w:r>
      <w:r w:rsidR="00A11B98" w:rsidRPr="00724163">
        <w:rPr>
          <w:lang w:val="fr-CH"/>
        </w:rPr>
        <w:t>certain</w:t>
      </w:r>
      <w:r w:rsidRPr="00724163">
        <w:rPr>
          <w:lang w:val="fr-CH"/>
        </w:rPr>
        <w:t>es dispositions de l'</w:t>
      </w:r>
      <w:r w:rsidR="00A11B98" w:rsidRPr="00724163">
        <w:rPr>
          <w:lang w:val="fr-CH"/>
        </w:rPr>
        <w:t xml:space="preserve">Article 4 </w:t>
      </w:r>
      <w:r>
        <w:rPr>
          <w:lang w:val="fr-CH"/>
        </w:rPr>
        <w:t xml:space="preserve">des </w:t>
      </w:r>
      <w:r w:rsidR="00A11B98" w:rsidRPr="00724163">
        <w:rPr>
          <w:lang w:val="fr-CH"/>
        </w:rPr>
        <w:t xml:space="preserve">Appendices 30 </w:t>
      </w:r>
      <w:r>
        <w:rPr>
          <w:lang w:val="fr-CH"/>
        </w:rPr>
        <w:t xml:space="preserve">et </w:t>
      </w:r>
      <w:r w:rsidR="00A11B98" w:rsidRPr="00724163">
        <w:rPr>
          <w:lang w:val="fr-CH"/>
        </w:rPr>
        <w:t xml:space="preserve">30A </w:t>
      </w:r>
      <w:r>
        <w:rPr>
          <w:lang w:val="fr-CH"/>
        </w:rPr>
        <w:t xml:space="preserve">du Règlement des radiocommunications </w:t>
      </w:r>
      <w:r w:rsidR="001B36EF">
        <w:rPr>
          <w:lang w:val="fr-CH"/>
        </w:rPr>
        <w:t>soient alignées</w:t>
      </w:r>
      <w:r w:rsidR="00A11B98" w:rsidRPr="00724163">
        <w:rPr>
          <w:lang w:val="fr-CH"/>
        </w:rPr>
        <w:t xml:space="preserve"> </w:t>
      </w:r>
      <w:r>
        <w:rPr>
          <w:lang w:val="fr-CH"/>
        </w:rPr>
        <w:t>avec les dispositions correspondantes de l'</w:t>
      </w:r>
      <w:r w:rsidR="00A11B98" w:rsidRPr="00724163">
        <w:rPr>
          <w:lang w:val="fr-CH"/>
        </w:rPr>
        <w:t xml:space="preserve">Article 6 </w:t>
      </w:r>
      <w:r>
        <w:rPr>
          <w:lang w:val="fr-CH"/>
        </w:rPr>
        <w:t>de l'Appendice</w:t>
      </w:r>
      <w:r w:rsidR="00A11B98" w:rsidRPr="00724163">
        <w:rPr>
          <w:lang w:val="fr-CH"/>
        </w:rPr>
        <w:t xml:space="preserve"> 30B </w:t>
      </w:r>
      <w:r>
        <w:rPr>
          <w:lang w:val="fr-CH"/>
        </w:rPr>
        <w:t>afin de résoudre ce problème</w:t>
      </w:r>
      <w:r w:rsidR="00A11B98" w:rsidRPr="00724163">
        <w:rPr>
          <w:lang w:val="fr-CH"/>
        </w:rPr>
        <w:t>.</w:t>
      </w:r>
    </w:p>
    <w:p w:rsidR="00F240D1" w:rsidRDefault="00F240D1" w:rsidP="001B36EF">
      <w:pPr>
        <w:pStyle w:val="Headingb"/>
      </w:pPr>
      <w:r>
        <w:lastRenderedPageBreak/>
        <w:t>Propositions</w:t>
      </w:r>
    </w:p>
    <w:p w:rsidR="0015203F" w:rsidRDefault="0015203F" w:rsidP="001B36EF">
      <w:pPr>
        <w:tabs>
          <w:tab w:val="clear" w:pos="1134"/>
          <w:tab w:val="clear" w:pos="1871"/>
          <w:tab w:val="clear" w:pos="2268"/>
        </w:tabs>
        <w:overflowPunct/>
        <w:autoSpaceDE/>
        <w:autoSpaceDN/>
        <w:adjustRightInd/>
        <w:spacing w:before="0"/>
        <w:textAlignment w:val="auto"/>
      </w:pPr>
    </w:p>
    <w:p w:rsidR="00AC28E0" w:rsidRPr="00892D55" w:rsidRDefault="00496AA1" w:rsidP="001B36EF">
      <w:pPr>
        <w:pStyle w:val="AppendixNo"/>
      </w:pPr>
      <w:r w:rsidRPr="00686985">
        <w:t>APPENDICE</w:t>
      </w:r>
      <w:r w:rsidRPr="00892D55">
        <w:t xml:space="preserve"> </w:t>
      </w:r>
      <w:r w:rsidRPr="00892D55">
        <w:rPr>
          <w:rStyle w:val="href"/>
        </w:rPr>
        <w:t>30</w:t>
      </w:r>
      <w:r w:rsidRPr="00892D55">
        <w:t xml:space="preserve"> (R</w:t>
      </w:r>
      <w:r w:rsidRPr="005905D6">
        <w:rPr>
          <w:caps w:val="0"/>
          <w:lang w:val="fr-CH"/>
        </w:rPr>
        <w:t>ÉV</w:t>
      </w:r>
      <w:r w:rsidRPr="00892D55">
        <w:t>.CMR</w:t>
      </w:r>
      <w:r w:rsidRPr="00892D55">
        <w:noBreakHyphen/>
      </w:r>
      <w:r>
        <w:t>12</w:t>
      </w:r>
      <w:r w:rsidRPr="00892D55">
        <w:t>)</w:t>
      </w:r>
      <w:r w:rsidR="007E6EB0" w:rsidRPr="007E6EB0">
        <w:rPr>
          <w:vertAlign w:val="superscript"/>
        </w:rPr>
        <w:t>*</w:t>
      </w:r>
    </w:p>
    <w:p w:rsidR="00AC28E0" w:rsidRPr="003F7C6E" w:rsidRDefault="00496AA1" w:rsidP="001B36EF">
      <w:pPr>
        <w:pStyle w:val="Appendixtitle"/>
        <w:rPr>
          <w:rFonts w:asciiTheme="majorBidi" w:hAnsiTheme="majorBidi" w:cstheme="majorBidi"/>
        </w:rPr>
      </w:pPr>
      <w:r>
        <w:rPr>
          <w:lang w:val="fr-CH"/>
        </w:rPr>
        <w:t xml:space="preserve">Dispositions applicables à tous les </w:t>
      </w:r>
      <w:r w:rsidRPr="00686985">
        <w:t>services</w:t>
      </w:r>
      <w:r>
        <w:rPr>
          <w:lang w:val="fr-CH"/>
        </w:rPr>
        <w:t xml:space="preserve"> et Plans et Liste</w:t>
      </w:r>
      <w:r w:rsidR="007E6EB0" w:rsidRPr="007E6EB0">
        <w:rPr>
          <w:b w:val="0"/>
          <w:bCs/>
          <w:color w:val="000000"/>
          <w:vertAlign w:val="superscript"/>
          <w:lang w:val="fr-CH"/>
        </w:rPr>
        <w:t>1</w:t>
      </w:r>
      <w:r>
        <w:rPr>
          <w:lang w:val="fr-CH"/>
        </w:rPr>
        <w:t xml:space="preserv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cstheme="majorBidi"/>
          <w:b w:val="0"/>
          <w:sz w:val="16"/>
          <w:lang w:val="fr-CH"/>
        </w:rPr>
        <w:t>(CMR</w:t>
      </w:r>
      <w:r w:rsidRPr="003F7C6E">
        <w:rPr>
          <w:rFonts w:asciiTheme="majorBidi" w:hAnsiTheme="majorBidi" w:cstheme="majorBidi"/>
          <w:b w:val="0"/>
          <w:sz w:val="16"/>
          <w:lang w:val="fr-CH"/>
        </w:rPr>
        <w:noBreakHyphen/>
        <w:t>03)</w:t>
      </w:r>
    </w:p>
    <w:p w:rsidR="00AC28E0" w:rsidRDefault="00496AA1" w:rsidP="001B36EF">
      <w:pPr>
        <w:pStyle w:val="AppArtNo"/>
      </w:pPr>
      <w:r>
        <w:rPr>
          <w:lang w:val="fr-CH"/>
        </w:rPr>
        <w:t>              ARTICLE 4</w:t>
      </w:r>
      <w:r>
        <w:rPr>
          <w:sz w:val="16"/>
          <w:lang w:val="fr-CH"/>
        </w:rPr>
        <w:t>     (Rév.CMR</w:t>
      </w:r>
      <w:r>
        <w:rPr>
          <w:sz w:val="16"/>
          <w:lang w:val="fr-CH"/>
        </w:rPr>
        <w:noBreakHyphen/>
        <w:t>03)</w:t>
      </w:r>
    </w:p>
    <w:p w:rsidR="00AC28E0" w:rsidRDefault="00496AA1" w:rsidP="001B36EF">
      <w:pPr>
        <w:pStyle w:val="AppArttitle"/>
      </w:pPr>
      <w:r>
        <w:t>Procédures relatives aux modifications apportées au Plan de la Région 2 et aux utilisations additionnelles dans les Régions 1 et 3</w:t>
      </w:r>
      <w:r w:rsidR="007E6EB0" w:rsidRPr="007E6EB0">
        <w:rPr>
          <w:b w:val="0"/>
          <w:bCs/>
          <w:vertAlign w:val="superscript"/>
        </w:rPr>
        <w:t>3</w:t>
      </w:r>
    </w:p>
    <w:p w:rsidR="00C47D72" w:rsidRDefault="00496AA1" w:rsidP="001B36EF">
      <w:pPr>
        <w:pStyle w:val="Proposal"/>
      </w:pPr>
      <w:r>
        <w:t>MOD</w:t>
      </w:r>
      <w:r>
        <w:tab/>
        <w:t>ARB/25A19A12/1</w:t>
      </w:r>
    </w:p>
    <w:p w:rsidR="00AC28E0" w:rsidRPr="00F240D1" w:rsidRDefault="00496AA1" w:rsidP="001B36EF">
      <w:pPr>
        <w:rPr>
          <w:lang w:val="fr-CH"/>
        </w:rPr>
      </w:pPr>
      <w:r w:rsidRPr="00F240D1">
        <w:rPr>
          <w:lang w:val="fr-CH"/>
        </w:rPr>
        <w:t>4.1.10</w:t>
      </w:r>
      <w:r w:rsidRPr="00F240D1">
        <w:rPr>
          <w:lang w:val="fr-CH"/>
        </w:rPr>
        <w:tab/>
        <w:t xml:space="preserve">Toute administration qui, soit directement, soit par l'intermédiaire du Bureau, n'a pas </w:t>
      </w:r>
      <w:del w:id="7" w:author="Bachler, Mathilde" w:date="2015-10-16T15:30:00Z">
        <w:r w:rsidRPr="00F240D1" w:rsidDel="00724163">
          <w:rPr>
            <w:lang w:val="fr-CH"/>
          </w:rPr>
          <w:delText xml:space="preserve">adressé ses </w:delText>
        </w:r>
      </w:del>
      <w:del w:id="8" w:author="Bachler, Mathilde" w:date="2015-10-16T15:31:00Z">
        <w:r w:rsidRPr="00F240D1" w:rsidDel="00724163">
          <w:rPr>
            <w:lang w:val="fr-CH"/>
          </w:rPr>
          <w:delText>observations</w:delText>
        </w:r>
      </w:del>
      <w:ins w:id="9" w:author="Bachler, Mathilde" w:date="2015-10-16T15:31:00Z">
        <w:r w:rsidR="00724163">
          <w:rPr>
            <w:lang w:val="fr-CH"/>
          </w:rPr>
          <w:t xml:space="preserve">notifié son accord </w:t>
        </w:r>
      </w:ins>
      <w:r w:rsidRPr="00F240D1">
        <w:rPr>
          <w:lang w:val="fr-CH"/>
        </w:rPr>
        <w:t xml:space="preserve">à l'administration qui recherche un accord, dans un délai de quatre mois après la date de la Circulaire BR IFIC mentionnée au § 4.1.5, est réputée </w:t>
      </w:r>
      <w:ins w:id="10" w:author="Bachler, Mathilde" w:date="2015-10-16T15:31:00Z">
        <w:r w:rsidR="00724163">
          <w:rPr>
            <w:lang w:val="fr-CH"/>
          </w:rPr>
          <w:t xml:space="preserve">ne pas </w:t>
        </w:r>
      </w:ins>
      <w:r w:rsidRPr="00F240D1">
        <w:rPr>
          <w:lang w:val="fr-CH"/>
        </w:rPr>
        <w:t>avoir donné son accord à l'assignation proposée</w:t>
      </w:r>
      <w:ins w:id="11" w:author="Bachler, Mathilde" w:date="2015-10-16T15:32:00Z">
        <w:r w:rsidR="00724163">
          <w:rPr>
            <w:lang w:val="fr-CH"/>
          </w:rPr>
          <w:t>, à moins que ne s'appliquent les dispositions des § 4.1.10a à 4.1.10d et du § 4.1.21</w:t>
        </w:r>
      </w:ins>
      <w:r w:rsidRPr="00F240D1">
        <w:rPr>
          <w:lang w:val="fr-CH"/>
        </w:rPr>
        <w:t>. Ce délai peut être prorogé:</w:t>
      </w:r>
    </w:p>
    <w:p w:rsidR="00AC28E0" w:rsidRPr="00F240D1" w:rsidRDefault="00496AA1" w:rsidP="001B36EF">
      <w:pPr>
        <w:pStyle w:val="enumlev1"/>
        <w:rPr>
          <w:lang w:val="fr-CH"/>
        </w:rPr>
      </w:pPr>
      <w:r w:rsidRPr="00F240D1">
        <w:rPr>
          <w:lang w:val="fr-CH"/>
        </w:rPr>
        <w:t>–</w:t>
      </w:r>
      <w:r w:rsidRPr="00F240D1">
        <w:rPr>
          <w:lang w:val="fr-CH"/>
        </w:rPr>
        <w:tab/>
        <w:t xml:space="preserve">pour une administration qui a demandé des renseignements supplémentaires conformément au § 4.1.8, d'un maximum de trois mois; </w:t>
      </w:r>
      <w:r w:rsidRPr="00F240D1">
        <w:rPr>
          <w:i/>
          <w:iCs/>
          <w:lang w:val="fr-CH"/>
        </w:rPr>
        <w:t>ou</w:t>
      </w:r>
    </w:p>
    <w:p w:rsidR="00AC28E0" w:rsidRDefault="00496AA1" w:rsidP="001B36EF">
      <w:pPr>
        <w:pStyle w:val="enumlev1"/>
        <w:rPr>
          <w:lang w:val="fr-CH"/>
        </w:rPr>
      </w:pPr>
      <w:r w:rsidRPr="00F240D1">
        <w:rPr>
          <w:lang w:val="fr-CH"/>
        </w:rPr>
        <w:t>–</w:t>
      </w:r>
      <w:r w:rsidRPr="00F240D1">
        <w:rPr>
          <w:lang w:val="fr-CH"/>
        </w:rPr>
        <w:tab/>
        <w:t>pour une administration qui a demandé l'assistance du Bureau conformément au § 4.1.21, d'un maximum de trois mois après la date à laquelle le Bureau a communiqué la suite qu'il a donnée à cette demande.</w:t>
      </w:r>
    </w:p>
    <w:p w:rsidR="00C47D72" w:rsidRDefault="00C47D72" w:rsidP="001B36EF">
      <w:pPr>
        <w:pStyle w:val="Reasons"/>
      </w:pPr>
    </w:p>
    <w:p w:rsidR="00C47D72" w:rsidRPr="00724163" w:rsidRDefault="00496AA1" w:rsidP="001B36EF">
      <w:pPr>
        <w:pStyle w:val="Proposal"/>
        <w:rPr>
          <w:lang w:val="fr-CH"/>
        </w:rPr>
      </w:pPr>
      <w:r w:rsidRPr="00724163">
        <w:rPr>
          <w:lang w:val="fr-CH"/>
        </w:rPr>
        <w:t>ADD</w:t>
      </w:r>
      <w:r w:rsidRPr="00724163">
        <w:rPr>
          <w:lang w:val="fr-CH"/>
        </w:rPr>
        <w:tab/>
        <w:t>ARB/25A19A12/2</w:t>
      </w:r>
    </w:p>
    <w:p w:rsidR="00C47D72" w:rsidRPr="00785583" w:rsidRDefault="00785583" w:rsidP="001B36EF">
      <w:pPr>
        <w:rPr>
          <w:lang w:val="fr-CH"/>
        </w:rPr>
      </w:pPr>
      <w:r w:rsidRPr="002573D5">
        <w:rPr>
          <w:lang w:val="fr-CH"/>
        </w:rPr>
        <w:t>4.1.10a</w:t>
      </w:r>
      <w:r w:rsidRPr="00D02E2C">
        <w:rPr>
          <w:lang w:val="fr-CH"/>
        </w:rPr>
        <w:tab/>
        <w:t>Après l'expiration du délai indiqué au § 4.1.5, l'administration notificatrice peut, conformément au § 4.1.21, demander l'assistance du Bureau en ce qui concerne une administration qui n'a pas répondu dans ce délai.</w:t>
      </w:r>
    </w:p>
    <w:p w:rsidR="00C47D72" w:rsidRPr="00785583" w:rsidRDefault="00C47D72" w:rsidP="001B36EF">
      <w:pPr>
        <w:pStyle w:val="Reasons"/>
        <w:rPr>
          <w:lang w:val="fr-CH"/>
        </w:rPr>
      </w:pPr>
    </w:p>
    <w:p w:rsidR="00C47D72" w:rsidRPr="00724163" w:rsidRDefault="00496AA1" w:rsidP="001B36EF">
      <w:pPr>
        <w:pStyle w:val="Proposal"/>
        <w:rPr>
          <w:lang w:val="fr-CH"/>
        </w:rPr>
      </w:pPr>
      <w:r w:rsidRPr="00724163">
        <w:rPr>
          <w:lang w:val="fr-CH"/>
        </w:rPr>
        <w:t>ADD</w:t>
      </w:r>
      <w:r w:rsidRPr="00724163">
        <w:rPr>
          <w:lang w:val="fr-CH"/>
        </w:rPr>
        <w:tab/>
        <w:t>ARB/25A19A12/3</w:t>
      </w:r>
    </w:p>
    <w:p w:rsidR="00785583" w:rsidRPr="00D02E2C" w:rsidRDefault="00785583" w:rsidP="001B36EF">
      <w:pPr>
        <w:rPr>
          <w:lang w:val="fr-CH"/>
        </w:rPr>
      </w:pPr>
      <w:r w:rsidRPr="002573D5">
        <w:rPr>
          <w:lang w:val="fr-CH"/>
        </w:rPr>
        <w:t>4.1.10b</w:t>
      </w:r>
      <w:r w:rsidRPr="00D02E2C">
        <w:rPr>
          <w:lang w:val="fr-CH"/>
        </w:rPr>
        <w:tab/>
      </w:r>
      <w:r>
        <w:rPr>
          <w:lang w:val="fr-CH"/>
        </w:rPr>
        <w:t>Le</w:t>
      </w:r>
      <w:r w:rsidRPr="00D02E2C">
        <w:rPr>
          <w:lang w:val="fr-CH"/>
        </w:rPr>
        <w:t xml:space="preserve"> Bureau </w:t>
      </w:r>
      <w:r w:rsidR="001B36EF">
        <w:rPr>
          <w:lang w:val="fr-CH"/>
        </w:rPr>
        <w:t>agissant</w:t>
      </w:r>
      <w:r w:rsidRPr="002573D5">
        <w:rPr>
          <w:lang w:val="fr-CH"/>
        </w:rPr>
        <w:t xml:space="preserve"> conformément au </w:t>
      </w:r>
      <w:r w:rsidRPr="00D02E2C">
        <w:rPr>
          <w:lang w:val="fr-CH"/>
        </w:rPr>
        <w:t>§</w:t>
      </w:r>
      <w:r w:rsidRPr="002573D5">
        <w:rPr>
          <w:lang w:val="fr-CH"/>
        </w:rPr>
        <w:t xml:space="preserve"> 4.1.10a,</w:t>
      </w:r>
      <w:r w:rsidRPr="00D02E2C">
        <w:rPr>
          <w:lang w:val="fr-CH"/>
        </w:rPr>
        <w:t xml:space="preserve"> </w:t>
      </w:r>
      <w:r w:rsidR="001B36EF">
        <w:rPr>
          <w:lang w:val="fr-CH"/>
        </w:rPr>
        <w:t xml:space="preserve">envoi </w:t>
      </w:r>
      <w:r w:rsidRPr="00D02E2C">
        <w:rPr>
          <w:lang w:val="fr-CH"/>
        </w:rPr>
        <w:t xml:space="preserve">un </w:t>
      </w:r>
      <w:r>
        <w:rPr>
          <w:lang w:val="fr-CH"/>
        </w:rPr>
        <w:t>rappel</w:t>
      </w:r>
      <w:r w:rsidRPr="00D02E2C">
        <w:rPr>
          <w:lang w:val="fr-CH"/>
        </w:rPr>
        <w:t xml:space="preserve"> à l'administration qui n'a pas répondu, lui demandant de </w:t>
      </w:r>
      <w:r w:rsidR="001B36EF">
        <w:rPr>
          <w:lang w:val="fr-CH"/>
        </w:rPr>
        <w:t xml:space="preserve">prendre une </w:t>
      </w:r>
      <w:r w:rsidRPr="00D02E2C">
        <w:rPr>
          <w:lang w:val="fr-CH"/>
        </w:rPr>
        <w:t>décision.</w:t>
      </w:r>
    </w:p>
    <w:p w:rsidR="00C47D72" w:rsidRPr="00785583" w:rsidRDefault="00C47D72" w:rsidP="001B36EF">
      <w:pPr>
        <w:pStyle w:val="Reasons"/>
        <w:rPr>
          <w:lang w:val="fr-CH"/>
        </w:rPr>
      </w:pPr>
    </w:p>
    <w:p w:rsidR="00C47D72" w:rsidRPr="00785583" w:rsidRDefault="00496AA1" w:rsidP="001B36EF">
      <w:pPr>
        <w:pStyle w:val="Proposal"/>
        <w:rPr>
          <w:lang w:val="fr-CH"/>
        </w:rPr>
      </w:pPr>
      <w:r w:rsidRPr="00785583">
        <w:rPr>
          <w:lang w:val="fr-CH"/>
        </w:rPr>
        <w:t>ADD</w:t>
      </w:r>
      <w:r w:rsidRPr="00785583">
        <w:rPr>
          <w:lang w:val="fr-CH"/>
        </w:rPr>
        <w:tab/>
        <w:t>ARB/25A19A12/4</w:t>
      </w:r>
    </w:p>
    <w:p w:rsidR="00785583" w:rsidRPr="002573D5" w:rsidRDefault="00785583" w:rsidP="001B36EF">
      <w:pPr>
        <w:rPr>
          <w:lang w:val="fr-CH"/>
        </w:rPr>
      </w:pPr>
      <w:r w:rsidRPr="002573D5">
        <w:rPr>
          <w:lang w:val="fr-CH"/>
        </w:rPr>
        <w:t>4.1.10c</w:t>
      </w:r>
      <w:r w:rsidRPr="002573D5">
        <w:rPr>
          <w:lang w:val="fr-CH"/>
        </w:rPr>
        <w:tab/>
      </w:r>
      <w:r w:rsidRPr="00D02E2C">
        <w:rPr>
          <w:lang w:val="fr-CH"/>
        </w:rPr>
        <w:t>Quinze jours avant l'expiration du délai de trente jours d</w:t>
      </w:r>
      <w:r>
        <w:rPr>
          <w:lang w:val="fr-CH"/>
        </w:rPr>
        <w:t>ont il est question au </w:t>
      </w:r>
      <w:r w:rsidRPr="00D02E2C">
        <w:rPr>
          <w:lang w:val="fr-CH"/>
        </w:rPr>
        <w:t>§ 4.1.10</w:t>
      </w:r>
      <w:r>
        <w:rPr>
          <w:lang w:val="fr-CH"/>
        </w:rPr>
        <w:t>d</w:t>
      </w:r>
      <w:r w:rsidRPr="00D02E2C">
        <w:rPr>
          <w:lang w:val="fr-CH"/>
        </w:rPr>
        <w:t>, le Bureau envoie un rappel à l'administration susmentionnée pour attirer son attention sur les conséquences d'une absence de réponse.</w:t>
      </w:r>
    </w:p>
    <w:p w:rsidR="00C47D72" w:rsidRPr="00785583" w:rsidRDefault="00C47D72" w:rsidP="001B36EF">
      <w:pPr>
        <w:pStyle w:val="Reasons"/>
        <w:rPr>
          <w:lang w:val="fr-CH"/>
        </w:rPr>
      </w:pPr>
    </w:p>
    <w:p w:rsidR="00C47D72" w:rsidRPr="00785583" w:rsidRDefault="00496AA1" w:rsidP="001B36EF">
      <w:pPr>
        <w:pStyle w:val="Proposal"/>
        <w:rPr>
          <w:lang w:val="fr-CH"/>
        </w:rPr>
      </w:pPr>
      <w:r w:rsidRPr="00785583">
        <w:rPr>
          <w:lang w:val="fr-CH"/>
        </w:rPr>
        <w:lastRenderedPageBreak/>
        <w:t>ADD</w:t>
      </w:r>
      <w:r w:rsidRPr="00785583">
        <w:rPr>
          <w:lang w:val="fr-CH"/>
        </w:rPr>
        <w:tab/>
        <w:t>ARB/25A19A12/5</w:t>
      </w:r>
    </w:p>
    <w:p w:rsidR="00785583" w:rsidRDefault="00785583" w:rsidP="001B36EF">
      <w:pPr>
        <w:rPr>
          <w:lang w:val="fr-CH"/>
        </w:rPr>
      </w:pPr>
      <w:r w:rsidRPr="002573D5">
        <w:rPr>
          <w:lang w:val="fr-CH"/>
        </w:rPr>
        <w:t>4.1.10d</w:t>
      </w:r>
      <w:r w:rsidRPr="002573D5">
        <w:rPr>
          <w:lang w:val="fr-CH"/>
        </w:rPr>
        <w:tab/>
        <w:t>Si aucune décision n'est communiquée au Bureau dans les trente jours suivant la date d'envoi du rappel en application du § 4.1.10b, l'administration qui n'a pas communiqué de décision est réputée avoir donné son accord à l'assignation proposée.</w:t>
      </w:r>
    </w:p>
    <w:p w:rsidR="00C47D72" w:rsidRPr="00785583" w:rsidRDefault="00C47D72" w:rsidP="001B36EF">
      <w:pPr>
        <w:pStyle w:val="Reasons"/>
        <w:rPr>
          <w:lang w:val="fr-CH"/>
        </w:rPr>
      </w:pPr>
    </w:p>
    <w:p w:rsidR="00992DC2" w:rsidRDefault="00496AA1" w:rsidP="001B36EF">
      <w:pPr>
        <w:pStyle w:val="AppendixNo"/>
        <w:rPr>
          <w:lang w:val="fr-CH"/>
        </w:rPr>
      </w:pPr>
      <w:r w:rsidRPr="001D6DCB">
        <w:t>APPENDICE</w:t>
      </w:r>
      <w:r>
        <w:rPr>
          <w:lang w:val="fr-CH"/>
        </w:rPr>
        <w:t xml:space="preserve"> </w:t>
      </w:r>
      <w:r>
        <w:rPr>
          <w:rStyle w:val="href"/>
          <w:color w:val="000000"/>
          <w:lang w:val="fr-CH"/>
        </w:rPr>
        <w:t>30A  </w:t>
      </w:r>
      <w:r>
        <w:rPr>
          <w:lang w:val="fr-CH"/>
        </w:rPr>
        <w:t>(R</w:t>
      </w:r>
      <w:r>
        <w:rPr>
          <w:caps w:val="0"/>
          <w:lang w:val="fr-CH"/>
        </w:rPr>
        <w:t>ÉV</w:t>
      </w:r>
      <w:r>
        <w:rPr>
          <w:lang w:val="fr-CH"/>
        </w:rPr>
        <w:t>.CMR-12)</w:t>
      </w:r>
      <w:r w:rsidR="007E6EB0">
        <w:t>*</w:t>
      </w:r>
    </w:p>
    <w:p w:rsidR="00992DC2" w:rsidRDefault="00496AA1" w:rsidP="001B36EF">
      <w:pPr>
        <w:pStyle w:val="Appendixtitle"/>
        <w:rPr>
          <w:b w:val="0"/>
          <w:color w:val="000000"/>
          <w:sz w:val="16"/>
          <w:lang w:val="fr-CH"/>
        </w:rPr>
      </w:pPr>
      <w:r>
        <w:rPr>
          <w:color w:val="000000"/>
          <w:lang w:val="fr-CH"/>
        </w:rPr>
        <w:t>Dispositions et Plans et Liste</w:t>
      </w:r>
      <w:r w:rsidR="007E6EB0" w:rsidRPr="007E6EB0">
        <w:rPr>
          <w:color w:val="000000"/>
          <w:vertAlign w:val="superscript"/>
          <w:lang w:val="fr-CH"/>
        </w:rPr>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sidR="007E6EB0" w:rsidRPr="007E6EB0">
        <w:rPr>
          <w:color w:val="000000"/>
          <w:vertAlign w:val="superscript"/>
          <w:lang w:val="fr-CH"/>
        </w:rPr>
        <w:t>2</w:t>
      </w:r>
      <w:r>
        <w:rPr>
          <w:b w:val="0"/>
          <w:color w:val="000000"/>
          <w:vertAlign w:val="superscript"/>
          <w:lang w:val="fr-CH"/>
        </w:rPr>
        <w:br/>
      </w:r>
      <w:r>
        <w:rPr>
          <w:color w:val="000000"/>
          <w:lang w:val="fr-CH"/>
        </w:rPr>
        <w:t>et 17,3-18,1 GHz en Régions 1 et 3 et 17,3-17,8 GHz en Région 2</w:t>
      </w:r>
      <w:r>
        <w:rPr>
          <w:b w:val="0"/>
          <w:color w:val="000000"/>
          <w:sz w:val="16"/>
          <w:lang w:val="fr-CH"/>
        </w:rPr>
        <w:t>     (CMR</w:t>
      </w:r>
      <w:r>
        <w:rPr>
          <w:b w:val="0"/>
          <w:color w:val="000000"/>
          <w:sz w:val="16"/>
          <w:lang w:val="fr-CH"/>
        </w:rPr>
        <w:noBreakHyphen/>
        <w:t>03)</w:t>
      </w:r>
    </w:p>
    <w:p w:rsidR="00992DC2" w:rsidRPr="000161F6" w:rsidRDefault="00496AA1" w:rsidP="001B36EF">
      <w:pPr>
        <w:pStyle w:val="AppArtNo"/>
      </w:pPr>
      <w:r>
        <w:t>ARTICLE</w:t>
      </w:r>
      <w:r w:rsidRPr="000161F6">
        <w:t xml:space="preserve"> 4</w:t>
      </w:r>
      <w:r w:rsidRPr="000161F6">
        <w:rPr>
          <w:sz w:val="16"/>
          <w:szCs w:val="16"/>
        </w:rPr>
        <w:t>     (R</w:t>
      </w:r>
      <w:r w:rsidRPr="00363EF0">
        <w:rPr>
          <w:sz w:val="16"/>
          <w:szCs w:val="16"/>
        </w:rPr>
        <w:t>É</w:t>
      </w:r>
      <w:r w:rsidRPr="000161F6">
        <w:rPr>
          <w:sz w:val="16"/>
          <w:szCs w:val="16"/>
        </w:rPr>
        <w:t>v.CMR-03)</w:t>
      </w:r>
    </w:p>
    <w:p w:rsidR="00992DC2" w:rsidRDefault="00496AA1" w:rsidP="001B36EF">
      <w:pPr>
        <w:pStyle w:val="AppArttitle"/>
      </w:pPr>
      <w:r w:rsidRPr="00830B8C">
        <w:t>Procédures</w:t>
      </w:r>
      <w:r>
        <w:t xml:space="preserve"> relatives aux modifications apportées au Plan des liaisons</w:t>
      </w:r>
      <w:r>
        <w:br/>
        <w:t>de connexion de la Région 2 et aux utilisations additionnelles</w:t>
      </w:r>
      <w:r>
        <w:br/>
        <w:t>dans les Régions 1 et 3</w:t>
      </w:r>
    </w:p>
    <w:p w:rsidR="00C47D72" w:rsidRDefault="00496AA1" w:rsidP="001B36EF">
      <w:pPr>
        <w:pStyle w:val="Proposal"/>
      </w:pPr>
      <w:r>
        <w:t>MOD</w:t>
      </w:r>
      <w:r>
        <w:tab/>
        <w:t>ARB/25A19A12/6</w:t>
      </w:r>
    </w:p>
    <w:p w:rsidR="00336FFC" w:rsidRDefault="00336FFC" w:rsidP="001B36EF">
      <w:pPr>
        <w:rPr>
          <w:lang w:val="fr-CH"/>
        </w:rPr>
      </w:pPr>
      <w:r w:rsidRPr="00551740">
        <w:t>4.1.10</w:t>
      </w:r>
      <w:r>
        <w:rPr>
          <w:lang w:val="fr-CH"/>
        </w:rPr>
        <w:tab/>
        <w:t xml:space="preserve">Toute administration qui, soit directement, soit par l'intermédiaire du Bureau, n'a pas </w:t>
      </w:r>
      <w:del w:id="12" w:author="Manouvrier, Yves" w:date="2015-04-01T02:13:00Z">
        <w:r w:rsidDel="007409A3">
          <w:rPr>
            <w:lang w:val="fr-CH"/>
          </w:rPr>
          <w:delText>adressé ses observations</w:delText>
        </w:r>
      </w:del>
      <w:ins w:id="13" w:author="Manouvrier, Yves" w:date="2015-04-01T02:13:00Z">
        <w:r>
          <w:rPr>
            <w:lang w:val="fr-CH"/>
          </w:rPr>
          <w:t xml:space="preserve">notifié son accord </w:t>
        </w:r>
      </w:ins>
      <w:r>
        <w:rPr>
          <w:lang w:val="fr-CH"/>
        </w:rPr>
        <w:t xml:space="preserve">à l'administration qui recherche un accord, dans un délai de quatre mois après la date de la Circulaire BR IFIC mentionnée au § 4.1.5, est réputée </w:t>
      </w:r>
      <w:ins w:id="14" w:author="Manouvrier, Yves" w:date="2015-04-01T02:03:00Z">
        <w:r>
          <w:rPr>
            <w:lang w:val="fr-CH"/>
          </w:rPr>
          <w:t xml:space="preserve">ne pas </w:t>
        </w:r>
      </w:ins>
      <w:r>
        <w:rPr>
          <w:lang w:val="fr-CH"/>
        </w:rPr>
        <w:t>avoir donné son accord à l'assignation proposée</w:t>
      </w:r>
      <w:ins w:id="15" w:author="Manouvrier, Yves" w:date="2015-04-01T02:14:00Z">
        <w:r>
          <w:rPr>
            <w:lang w:val="fr-CH"/>
          </w:rPr>
          <w:t xml:space="preserve">, à moins que </w:t>
        </w:r>
      </w:ins>
      <w:ins w:id="16" w:author="Manouvrier, Yves" w:date="2015-04-01T02:16:00Z">
        <w:r>
          <w:rPr>
            <w:lang w:val="fr-CH"/>
          </w:rPr>
          <w:t xml:space="preserve">ne s'appliquent </w:t>
        </w:r>
      </w:ins>
      <w:ins w:id="17" w:author="Manouvrier, Yves" w:date="2015-04-01T02:14:00Z">
        <w:r>
          <w:rPr>
            <w:lang w:val="fr-CH"/>
          </w:rPr>
          <w:t xml:space="preserve">les dispositions </w:t>
        </w:r>
      </w:ins>
      <w:ins w:id="18" w:author="Manouvrier, Yves" w:date="2015-04-01T02:16:00Z">
        <w:r>
          <w:rPr>
            <w:lang w:val="fr-CH"/>
          </w:rPr>
          <w:t>des</w:t>
        </w:r>
      </w:ins>
      <w:ins w:id="19" w:author="Deschamps, Marie" w:date="2015-04-01T03:45:00Z">
        <w:r>
          <w:rPr>
            <w:lang w:val="fr-CH"/>
          </w:rPr>
          <w:t> </w:t>
        </w:r>
      </w:ins>
      <w:ins w:id="20" w:author="Manouvrier, Yves" w:date="2015-04-01T02:16:00Z">
        <w:r>
          <w:rPr>
            <w:lang w:val="fr-CH"/>
          </w:rPr>
          <w:t>§ </w:t>
        </w:r>
      </w:ins>
      <w:ins w:id="21" w:author="Manouvrier, Yves" w:date="2015-04-01T02:14:00Z">
        <w:r>
          <w:rPr>
            <w:lang w:val="fr-CH"/>
          </w:rPr>
          <w:t xml:space="preserve">4.1.10a à 4.1.10d et </w:t>
        </w:r>
      </w:ins>
      <w:ins w:id="22" w:author="Manouvrier, Yves" w:date="2015-04-01T02:16:00Z">
        <w:r>
          <w:rPr>
            <w:lang w:val="fr-CH"/>
          </w:rPr>
          <w:t>du § </w:t>
        </w:r>
      </w:ins>
      <w:ins w:id="23" w:author="Manouvrier, Yves" w:date="2015-04-01T02:14:00Z">
        <w:r>
          <w:rPr>
            <w:lang w:val="fr-CH"/>
          </w:rPr>
          <w:t>4.1.21</w:t>
        </w:r>
      </w:ins>
      <w:r>
        <w:rPr>
          <w:lang w:val="fr-CH"/>
        </w:rPr>
        <w:t>. Ce délai peut être prorogé:</w:t>
      </w:r>
    </w:p>
    <w:p w:rsidR="00992DC2" w:rsidRPr="00785583" w:rsidRDefault="00496AA1" w:rsidP="001B36EF">
      <w:pPr>
        <w:pStyle w:val="enumlev1"/>
      </w:pPr>
      <w:r w:rsidRPr="00785583">
        <w:t>–</w:t>
      </w:r>
      <w:r w:rsidRPr="00785583">
        <w:tab/>
        <w:t xml:space="preserve">pour une administration qui a demandé des renseignements supplémentaires conformément au § 4.1.8, d'un maximum de trois mois; </w:t>
      </w:r>
      <w:r w:rsidRPr="00785583">
        <w:rPr>
          <w:i/>
          <w:iCs/>
        </w:rPr>
        <w:t>ou</w:t>
      </w:r>
    </w:p>
    <w:p w:rsidR="00992DC2" w:rsidRPr="00C83229" w:rsidRDefault="00496AA1" w:rsidP="001B36EF">
      <w:pPr>
        <w:pStyle w:val="enumlev1"/>
      </w:pPr>
      <w:r w:rsidRPr="00785583">
        <w:t>–</w:t>
      </w:r>
      <w:r w:rsidRPr="00785583">
        <w:tab/>
        <w:t>pour une administration qui a demandé l'assistance du Bureau conformément au § 4.1.21, d'un maximum de trois mois après la date à laquelle le Bureau a communiqué la suite qu'il a donnée à cette demande.</w:t>
      </w:r>
    </w:p>
    <w:p w:rsidR="00C47D72" w:rsidRPr="00724163" w:rsidRDefault="00C47D72" w:rsidP="001B36EF">
      <w:pPr>
        <w:pStyle w:val="Reasons"/>
        <w:rPr>
          <w:lang w:val="fr-CH"/>
        </w:rPr>
      </w:pPr>
    </w:p>
    <w:p w:rsidR="00C47D72" w:rsidRPr="002054BC" w:rsidRDefault="00496AA1" w:rsidP="001B36EF">
      <w:pPr>
        <w:pStyle w:val="Proposal"/>
        <w:rPr>
          <w:lang w:val="fr-CH"/>
        </w:rPr>
      </w:pPr>
      <w:r w:rsidRPr="002054BC">
        <w:rPr>
          <w:lang w:val="fr-CH"/>
        </w:rPr>
        <w:t>ADD</w:t>
      </w:r>
      <w:r w:rsidRPr="002054BC">
        <w:rPr>
          <w:lang w:val="fr-CH"/>
        </w:rPr>
        <w:tab/>
        <w:t>ARB/25A19A12/7</w:t>
      </w:r>
    </w:p>
    <w:p w:rsidR="002054BC" w:rsidRPr="00D02E2C" w:rsidRDefault="002054BC" w:rsidP="001B36EF">
      <w:pPr>
        <w:rPr>
          <w:lang w:val="fr-CH"/>
        </w:rPr>
      </w:pPr>
      <w:r w:rsidRPr="002573D5">
        <w:rPr>
          <w:lang w:val="fr-CH"/>
        </w:rPr>
        <w:t>4.1.10a</w:t>
      </w:r>
      <w:r w:rsidRPr="00D02E2C">
        <w:rPr>
          <w:lang w:val="fr-CH"/>
        </w:rPr>
        <w:tab/>
        <w:t>Après l'expiration du délai indiqué au § 4.1.5, l'administration notificatrice peut, conformément au § 4.1.21, demander l'assistance du Bureau en ce qui concerne une administration qui n'a pas répondu dans ce délai.</w:t>
      </w:r>
    </w:p>
    <w:p w:rsidR="00C47D72" w:rsidRPr="002054BC" w:rsidRDefault="00C47D72" w:rsidP="001B36EF">
      <w:pPr>
        <w:pStyle w:val="Reasons"/>
        <w:rPr>
          <w:lang w:val="fr-CH"/>
        </w:rPr>
      </w:pPr>
    </w:p>
    <w:p w:rsidR="00C47D72" w:rsidRPr="002054BC" w:rsidRDefault="00496AA1" w:rsidP="001B36EF">
      <w:pPr>
        <w:pStyle w:val="Proposal"/>
        <w:rPr>
          <w:lang w:val="fr-CH"/>
        </w:rPr>
      </w:pPr>
      <w:r w:rsidRPr="002054BC">
        <w:rPr>
          <w:lang w:val="fr-CH"/>
        </w:rPr>
        <w:t>ADD</w:t>
      </w:r>
      <w:r w:rsidRPr="002054BC">
        <w:rPr>
          <w:lang w:val="fr-CH"/>
        </w:rPr>
        <w:tab/>
        <w:t>ARB/25A19A12/8</w:t>
      </w:r>
    </w:p>
    <w:p w:rsidR="002054BC" w:rsidRPr="00D02E2C" w:rsidRDefault="002054BC" w:rsidP="001B36EF">
      <w:pPr>
        <w:rPr>
          <w:lang w:val="fr-CH"/>
        </w:rPr>
      </w:pPr>
      <w:r w:rsidRPr="002573D5">
        <w:rPr>
          <w:lang w:val="fr-CH"/>
        </w:rPr>
        <w:t>4.1.10b</w:t>
      </w:r>
      <w:r w:rsidRPr="00D02E2C">
        <w:rPr>
          <w:lang w:val="fr-CH"/>
        </w:rPr>
        <w:tab/>
      </w:r>
      <w:r>
        <w:rPr>
          <w:lang w:val="fr-CH"/>
        </w:rPr>
        <w:t>Le</w:t>
      </w:r>
      <w:r w:rsidRPr="00D02E2C">
        <w:rPr>
          <w:lang w:val="fr-CH"/>
        </w:rPr>
        <w:t xml:space="preserve"> Bureau </w:t>
      </w:r>
      <w:r w:rsidR="001B36EF">
        <w:rPr>
          <w:lang w:val="fr-CH"/>
        </w:rPr>
        <w:t>agissant</w:t>
      </w:r>
      <w:r w:rsidRPr="002573D5">
        <w:rPr>
          <w:lang w:val="fr-CH"/>
        </w:rPr>
        <w:t xml:space="preserve"> conformément au </w:t>
      </w:r>
      <w:r w:rsidRPr="00D02E2C">
        <w:rPr>
          <w:lang w:val="fr-CH"/>
        </w:rPr>
        <w:t>§</w:t>
      </w:r>
      <w:r w:rsidRPr="002573D5">
        <w:rPr>
          <w:lang w:val="fr-CH"/>
        </w:rPr>
        <w:t xml:space="preserve"> 4.1.10a,</w:t>
      </w:r>
      <w:r w:rsidRPr="00D02E2C">
        <w:rPr>
          <w:lang w:val="fr-CH"/>
        </w:rPr>
        <w:t xml:space="preserve"> </w:t>
      </w:r>
      <w:r w:rsidR="001B36EF">
        <w:rPr>
          <w:lang w:val="fr-CH"/>
        </w:rPr>
        <w:t xml:space="preserve">envoie </w:t>
      </w:r>
      <w:r w:rsidRPr="00D02E2C">
        <w:rPr>
          <w:lang w:val="fr-CH"/>
        </w:rPr>
        <w:t xml:space="preserve">un </w:t>
      </w:r>
      <w:r>
        <w:rPr>
          <w:lang w:val="fr-CH"/>
        </w:rPr>
        <w:t>rappel</w:t>
      </w:r>
      <w:r w:rsidRPr="00D02E2C">
        <w:rPr>
          <w:lang w:val="fr-CH"/>
        </w:rPr>
        <w:t xml:space="preserve"> à l'administration qui n'a pas répondu, lui demandant de </w:t>
      </w:r>
      <w:r w:rsidR="001B36EF">
        <w:rPr>
          <w:lang w:val="fr-CH"/>
        </w:rPr>
        <w:t xml:space="preserve">prendre une </w:t>
      </w:r>
      <w:r w:rsidRPr="00D02E2C">
        <w:rPr>
          <w:lang w:val="fr-CH"/>
        </w:rPr>
        <w:t>décision.</w:t>
      </w:r>
    </w:p>
    <w:p w:rsidR="00C47D72" w:rsidRPr="002054BC" w:rsidRDefault="00C47D72" w:rsidP="001B36EF">
      <w:pPr>
        <w:pStyle w:val="Reasons"/>
        <w:rPr>
          <w:lang w:val="fr-CH"/>
        </w:rPr>
      </w:pPr>
    </w:p>
    <w:p w:rsidR="00C47D72" w:rsidRPr="002054BC" w:rsidRDefault="00496AA1" w:rsidP="001B36EF">
      <w:pPr>
        <w:pStyle w:val="Proposal"/>
        <w:rPr>
          <w:lang w:val="fr-CH"/>
        </w:rPr>
      </w:pPr>
      <w:r w:rsidRPr="002054BC">
        <w:rPr>
          <w:lang w:val="fr-CH"/>
        </w:rPr>
        <w:lastRenderedPageBreak/>
        <w:t>ADD</w:t>
      </w:r>
      <w:r w:rsidRPr="002054BC">
        <w:rPr>
          <w:lang w:val="fr-CH"/>
        </w:rPr>
        <w:tab/>
        <w:t>ARB/25A19A12/9</w:t>
      </w:r>
    </w:p>
    <w:p w:rsidR="002054BC" w:rsidRPr="002573D5" w:rsidRDefault="002054BC" w:rsidP="001B36EF">
      <w:pPr>
        <w:rPr>
          <w:lang w:val="fr-CH"/>
        </w:rPr>
      </w:pPr>
      <w:r w:rsidRPr="002573D5">
        <w:rPr>
          <w:lang w:val="fr-CH"/>
        </w:rPr>
        <w:t>4.1.10c</w:t>
      </w:r>
      <w:r w:rsidRPr="002573D5">
        <w:rPr>
          <w:lang w:val="fr-CH"/>
        </w:rPr>
        <w:tab/>
      </w:r>
      <w:r w:rsidRPr="00D02E2C">
        <w:rPr>
          <w:lang w:val="fr-CH"/>
        </w:rPr>
        <w:t>Quinze jours avant l'expiration du délai de trente jours d</w:t>
      </w:r>
      <w:r>
        <w:rPr>
          <w:lang w:val="fr-CH"/>
        </w:rPr>
        <w:t>ont il est question au </w:t>
      </w:r>
      <w:r w:rsidRPr="00D02E2C">
        <w:rPr>
          <w:lang w:val="fr-CH"/>
        </w:rPr>
        <w:t>§ 4.1.10</w:t>
      </w:r>
      <w:r>
        <w:rPr>
          <w:lang w:val="fr-CH"/>
        </w:rPr>
        <w:t>d</w:t>
      </w:r>
      <w:r w:rsidRPr="00D02E2C">
        <w:rPr>
          <w:lang w:val="fr-CH"/>
        </w:rPr>
        <w:t>, le Bureau envoie un rappel à l'administration susmentionnée pour attirer son attention sur les conséquences d'une absence de réponse.</w:t>
      </w:r>
    </w:p>
    <w:p w:rsidR="00C47D72" w:rsidRPr="002054BC" w:rsidRDefault="00C47D72" w:rsidP="001B36EF">
      <w:pPr>
        <w:pStyle w:val="Reasons"/>
        <w:rPr>
          <w:lang w:val="fr-CH"/>
        </w:rPr>
      </w:pPr>
    </w:p>
    <w:p w:rsidR="00C47D72" w:rsidRPr="002054BC" w:rsidRDefault="00496AA1" w:rsidP="001B36EF">
      <w:pPr>
        <w:pStyle w:val="Proposal"/>
        <w:rPr>
          <w:lang w:val="fr-CH"/>
        </w:rPr>
      </w:pPr>
      <w:r w:rsidRPr="002054BC">
        <w:rPr>
          <w:lang w:val="fr-CH"/>
        </w:rPr>
        <w:t>ADD</w:t>
      </w:r>
      <w:r w:rsidRPr="002054BC">
        <w:rPr>
          <w:lang w:val="fr-CH"/>
        </w:rPr>
        <w:tab/>
        <w:t>ARB/25A19A12/10</w:t>
      </w:r>
    </w:p>
    <w:p w:rsidR="002054BC" w:rsidRDefault="002054BC" w:rsidP="001B36EF">
      <w:pPr>
        <w:rPr>
          <w:lang w:val="fr-CH"/>
        </w:rPr>
      </w:pPr>
      <w:r w:rsidRPr="002573D5">
        <w:rPr>
          <w:lang w:val="fr-CH"/>
        </w:rPr>
        <w:t>4.1.10d</w:t>
      </w:r>
      <w:r w:rsidRPr="002573D5">
        <w:rPr>
          <w:lang w:val="fr-CH"/>
        </w:rPr>
        <w:tab/>
        <w:t>Si aucune décision n'est communiquée au Bureau dans les trente jours suivant la date d'envoi du rappel en application du § 4.1.10b, l'administration qui n'a pas communiqué de décision est réputée avoir donné son accord à l'assignation proposée.</w:t>
      </w:r>
    </w:p>
    <w:p w:rsidR="002054BC" w:rsidRDefault="002054BC" w:rsidP="001B36EF">
      <w:pPr>
        <w:pStyle w:val="Reasons"/>
      </w:pPr>
    </w:p>
    <w:p w:rsidR="002054BC" w:rsidRDefault="002054BC" w:rsidP="001B36EF">
      <w:pPr>
        <w:jc w:val="center"/>
      </w:pPr>
      <w:r>
        <w:t>______________</w:t>
      </w:r>
    </w:p>
    <w:p w:rsidR="00C47D72" w:rsidRPr="002054BC" w:rsidRDefault="00C47D72" w:rsidP="001B36EF">
      <w:pPr>
        <w:pStyle w:val="Reasons"/>
        <w:rPr>
          <w:lang w:val="fr-CH"/>
        </w:rPr>
      </w:pPr>
    </w:p>
    <w:sectPr w:rsidR="00C47D72" w:rsidRPr="002054BC">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C29DC" w:rsidRDefault="00936D25">
    <w:pPr>
      <w:rPr>
        <w:lang w:val="de-CH"/>
      </w:rPr>
    </w:pPr>
    <w:r>
      <w:fldChar w:fldCharType="begin"/>
    </w:r>
    <w:r w:rsidRPr="00FC29DC">
      <w:rPr>
        <w:lang w:val="de-CH"/>
      </w:rPr>
      <w:instrText xml:space="preserve"> FILENAME \p  \* MERGEFORMAT </w:instrText>
    </w:r>
    <w:r>
      <w:fldChar w:fldCharType="separate"/>
    </w:r>
    <w:r w:rsidR="00407AE1">
      <w:rPr>
        <w:noProof/>
        <w:lang w:val="de-CH"/>
      </w:rPr>
      <w:t>P:\FRA\ITU-R\CONF-R\CMR15\000\025ADD19ADD12F.docx</w:t>
    </w:r>
    <w:r>
      <w:fldChar w:fldCharType="end"/>
    </w:r>
    <w:r w:rsidRPr="00FC29DC">
      <w:rPr>
        <w:lang w:val="de-CH"/>
      </w:rPr>
      <w:tab/>
    </w:r>
    <w:r>
      <w:fldChar w:fldCharType="begin"/>
    </w:r>
    <w:r>
      <w:instrText xml:space="preserve"> SAVEDATE \@ DD.MM.YY </w:instrText>
    </w:r>
    <w:r>
      <w:fldChar w:fldCharType="separate"/>
    </w:r>
    <w:r w:rsidR="00407AE1">
      <w:rPr>
        <w:noProof/>
      </w:rPr>
      <w:t>22.10.15</w:t>
    </w:r>
    <w:r>
      <w:fldChar w:fldCharType="end"/>
    </w:r>
    <w:r w:rsidRPr="00FC29DC">
      <w:rPr>
        <w:lang w:val="de-CH"/>
      </w:rPr>
      <w:tab/>
    </w:r>
    <w:r>
      <w:fldChar w:fldCharType="begin"/>
    </w:r>
    <w:r>
      <w:instrText xml:space="preserve"> PRINTDATE \@ DD.MM.YY </w:instrText>
    </w:r>
    <w:r>
      <w:fldChar w:fldCharType="separate"/>
    </w:r>
    <w:r w:rsidR="00407AE1">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A1" w:rsidRDefault="00496AA1">
    <w:pPr>
      <w:pStyle w:val="Footer"/>
    </w:pPr>
  </w:p>
  <w:p w:rsidR="00936D25" w:rsidRPr="001B36EF" w:rsidRDefault="00936D25">
    <w:pPr>
      <w:pStyle w:val="Footer"/>
    </w:pPr>
    <w:r>
      <w:fldChar w:fldCharType="begin"/>
    </w:r>
    <w:r w:rsidRPr="001B36EF">
      <w:instrText xml:space="preserve"> FILENAME \p  \* MERGEFORMAT </w:instrText>
    </w:r>
    <w:r>
      <w:fldChar w:fldCharType="separate"/>
    </w:r>
    <w:r w:rsidR="00407AE1">
      <w:t>P:\FRA\ITU-R\CONF-R\CMR15\000\025ADD19ADD12F.docx</w:t>
    </w:r>
    <w:r>
      <w:fldChar w:fldCharType="end"/>
    </w:r>
    <w:r w:rsidR="00496AA1" w:rsidRPr="001B36EF">
      <w:t xml:space="preserve"> (386949)</w:t>
    </w:r>
    <w:r w:rsidRPr="001B36EF">
      <w:tab/>
    </w:r>
    <w:r>
      <w:fldChar w:fldCharType="begin"/>
    </w:r>
    <w:r>
      <w:instrText xml:space="preserve"> SAVEDATE \@ DD.MM.YY </w:instrText>
    </w:r>
    <w:r>
      <w:fldChar w:fldCharType="separate"/>
    </w:r>
    <w:r w:rsidR="00407AE1">
      <w:t>22.10.15</w:t>
    </w:r>
    <w:r>
      <w:fldChar w:fldCharType="end"/>
    </w:r>
    <w:r w:rsidRPr="001B36EF">
      <w:tab/>
    </w:r>
    <w:r>
      <w:fldChar w:fldCharType="begin"/>
    </w:r>
    <w:r>
      <w:instrText xml:space="preserve"> PRINTDATE \@ DD.MM.YY </w:instrText>
    </w:r>
    <w:r>
      <w:fldChar w:fldCharType="separate"/>
    </w:r>
    <w:r w:rsidR="00407AE1">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B36EF">
    <w:pPr>
      <w:pStyle w:val="Footer"/>
      <w:rPr>
        <w:lang w:val="en-US"/>
      </w:rPr>
    </w:pPr>
    <w:r>
      <w:fldChar w:fldCharType="begin"/>
    </w:r>
    <w:r>
      <w:rPr>
        <w:lang w:val="en-US"/>
      </w:rPr>
      <w:instrText xml:space="preserve"> FILENAME \p  \* MERGEFORMAT </w:instrText>
    </w:r>
    <w:r>
      <w:fldChar w:fldCharType="separate"/>
    </w:r>
    <w:r w:rsidR="00407AE1">
      <w:rPr>
        <w:lang w:val="en-US"/>
      </w:rPr>
      <w:t>P:\FRA\ITU-R\CONF-R\CMR15\000\025ADD19ADD12F.docx</w:t>
    </w:r>
    <w:r>
      <w:fldChar w:fldCharType="end"/>
    </w:r>
    <w:r w:rsidR="00496AA1" w:rsidRPr="00156AE4">
      <w:rPr>
        <w:lang w:val="en-US"/>
      </w:rPr>
      <w:t xml:space="preserve"> (386949)</w:t>
    </w:r>
    <w:r>
      <w:rPr>
        <w:lang w:val="en-US"/>
      </w:rPr>
      <w:tab/>
    </w:r>
    <w:r>
      <w:fldChar w:fldCharType="begin"/>
    </w:r>
    <w:r>
      <w:instrText xml:space="preserve"> SAVEDATE \@ DD.MM.YY </w:instrText>
    </w:r>
    <w:r>
      <w:fldChar w:fldCharType="separate"/>
    </w:r>
    <w:r w:rsidR="00407AE1">
      <w:t>22.10.15</w:t>
    </w:r>
    <w:r>
      <w:fldChar w:fldCharType="end"/>
    </w:r>
    <w:r>
      <w:rPr>
        <w:lang w:val="en-US"/>
      </w:rPr>
      <w:tab/>
    </w:r>
    <w:r>
      <w:fldChar w:fldCharType="begin"/>
    </w:r>
    <w:r>
      <w:instrText xml:space="preserve"> PRINTDATE \@ DD.MM.YY </w:instrText>
    </w:r>
    <w:r>
      <w:fldChar w:fldCharType="separate"/>
    </w:r>
    <w:r w:rsidR="00407AE1">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07AE1">
      <w:rPr>
        <w:noProof/>
      </w:rPr>
      <w:t>4</w:t>
    </w:r>
    <w:r>
      <w:fldChar w:fldCharType="end"/>
    </w:r>
  </w:p>
  <w:p w:rsidR="004F1F8E" w:rsidRDefault="004F1F8E" w:rsidP="002C28A4">
    <w:pPr>
      <w:pStyle w:val="Header"/>
    </w:pPr>
    <w:r>
      <w:t>CMR1</w:t>
    </w:r>
    <w:r w:rsidR="002C28A4">
      <w:t>5</w:t>
    </w:r>
    <w:r>
      <w:t>/</w:t>
    </w:r>
    <w:r w:rsidR="006A4B45">
      <w:t>25(Add.19)(Add.12)-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ler, Mathilde">
    <w15:presenceInfo w15:providerId="AD" w15:userId="S-1-5-21-8740799-900759487-1415713722-39404"/>
  </w15:person>
  <w15:person w15:author="Manouvrier, Yves">
    <w15:presenceInfo w15:providerId="AD" w15:userId="S-1-5-21-8740799-900759487-1415713722-39539"/>
  </w15:person>
  <w15:person w15:author="Deschamps, Marie">
    <w15:presenceInfo w15:providerId="AD" w15:userId="S-1-5-21-8740799-900759487-1415713722-48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2BED"/>
    <w:rsid w:val="00016648"/>
    <w:rsid w:val="0003522F"/>
    <w:rsid w:val="000407D2"/>
    <w:rsid w:val="00080E2C"/>
    <w:rsid w:val="000A4755"/>
    <w:rsid w:val="000B2E0C"/>
    <w:rsid w:val="000B3D0C"/>
    <w:rsid w:val="00111E7D"/>
    <w:rsid w:val="001167B9"/>
    <w:rsid w:val="001267A0"/>
    <w:rsid w:val="0015203F"/>
    <w:rsid w:val="00156AE4"/>
    <w:rsid w:val="00160C64"/>
    <w:rsid w:val="0018169B"/>
    <w:rsid w:val="0019352B"/>
    <w:rsid w:val="001960D0"/>
    <w:rsid w:val="001B36EF"/>
    <w:rsid w:val="001F17E8"/>
    <w:rsid w:val="00204306"/>
    <w:rsid w:val="002054BC"/>
    <w:rsid w:val="00217125"/>
    <w:rsid w:val="00232FD2"/>
    <w:rsid w:val="0026554E"/>
    <w:rsid w:val="002A4622"/>
    <w:rsid w:val="002A6F8F"/>
    <w:rsid w:val="002B17E5"/>
    <w:rsid w:val="002C0EBF"/>
    <w:rsid w:val="002C28A4"/>
    <w:rsid w:val="00315AFE"/>
    <w:rsid w:val="00336FFC"/>
    <w:rsid w:val="003606A6"/>
    <w:rsid w:val="0036650C"/>
    <w:rsid w:val="00393ACD"/>
    <w:rsid w:val="003A583E"/>
    <w:rsid w:val="003D36AA"/>
    <w:rsid w:val="003E112B"/>
    <w:rsid w:val="003E1D1C"/>
    <w:rsid w:val="003E7B05"/>
    <w:rsid w:val="00407AE1"/>
    <w:rsid w:val="004425F4"/>
    <w:rsid w:val="00466211"/>
    <w:rsid w:val="004834A9"/>
    <w:rsid w:val="00496AA1"/>
    <w:rsid w:val="004D01FC"/>
    <w:rsid w:val="004E28C3"/>
    <w:rsid w:val="004F1F8E"/>
    <w:rsid w:val="00512A32"/>
    <w:rsid w:val="00586CF2"/>
    <w:rsid w:val="005949B9"/>
    <w:rsid w:val="005C3768"/>
    <w:rsid w:val="005C6C3F"/>
    <w:rsid w:val="00613635"/>
    <w:rsid w:val="0062093D"/>
    <w:rsid w:val="00637ECF"/>
    <w:rsid w:val="00647B59"/>
    <w:rsid w:val="00690C7B"/>
    <w:rsid w:val="006A4B45"/>
    <w:rsid w:val="006D4724"/>
    <w:rsid w:val="00701BAE"/>
    <w:rsid w:val="00721F04"/>
    <w:rsid w:val="00724163"/>
    <w:rsid w:val="00730E95"/>
    <w:rsid w:val="007426B9"/>
    <w:rsid w:val="00764342"/>
    <w:rsid w:val="00774362"/>
    <w:rsid w:val="00785583"/>
    <w:rsid w:val="00786598"/>
    <w:rsid w:val="007A04E8"/>
    <w:rsid w:val="007E6EB0"/>
    <w:rsid w:val="00851625"/>
    <w:rsid w:val="00863C0A"/>
    <w:rsid w:val="008A3120"/>
    <w:rsid w:val="008D41BE"/>
    <w:rsid w:val="008D58D3"/>
    <w:rsid w:val="009109C9"/>
    <w:rsid w:val="00923064"/>
    <w:rsid w:val="00930FFD"/>
    <w:rsid w:val="00936D25"/>
    <w:rsid w:val="00941EA5"/>
    <w:rsid w:val="00964700"/>
    <w:rsid w:val="00966C16"/>
    <w:rsid w:val="0098732F"/>
    <w:rsid w:val="009A045F"/>
    <w:rsid w:val="009C7E7C"/>
    <w:rsid w:val="00A00473"/>
    <w:rsid w:val="00A03C9B"/>
    <w:rsid w:val="00A11B98"/>
    <w:rsid w:val="00A224E1"/>
    <w:rsid w:val="00A37105"/>
    <w:rsid w:val="00A606C3"/>
    <w:rsid w:val="00A83B09"/>
    <w:rsid w:val="00A84541"/>
    <w:rsid w:val="00AE36A0"/>
    <w:rsid w:val="00B00294"/>
    <w:rsid w:val="00B64FD0"/>
    <w:rsid w:val="00BA5BD0"/>
    <w:rsid w:val="00BB1D82"/>
    <w:rsid w:val="00BB2E1E"/>
    <w:rsid w:val="00BF26E7"/>
    <w:rsid w:val="00C47D72"/>
    <w:rsid w:val="00C53FCA"/>
    <w:rsid w:val="00C76BAF"/>
    <w:rsid w:val="00C814B9"/>
    <w:rsid w:val="00CD516F"/>
    <w:rsid w:val="00D119A7"/>
    <w:rsid w:val="00D25FBA"/>
    <w:rsid w:val="00D32B28"/>
    <w:rsid w:val="00D42954"/>
    <w:rsid w:val="00D66EAC"/>
    <w:rsid w:val="00D730DF"/>
    <w:rsid w:val="00D772F0"/>
    <w:rsid w:val="00D77BDC"/>
    <w:rsid w:val="00DC402B"/>
    <w:rsid w:val="00DD3774"/>
    <w:rsid w:val="00DE0932"/>
    <w:rsid w:val="00E03A27"/>
    <w:rsid w:val="00E049F1"/>
    <w:rsid w:val="00E37A25"/>
    <w:rsid w:val="00E537FF"/>
    <w:rsid w:val="00E6539B"/>
    <w:rsid w:val="00E70A31"/>
    <w:rsid w:val="00EA3F38"/>
    <w:rsid w:val="00EA5AB6"/>
    <w:rsid w:val="00EC7615"/>
    <w:rsid w:val="00ED16AA"/>
    <w:rsid w:val="00EF662E"/>
    <w:rsid w:val="00F148F1"/>
    <w:rsid w:val="00F240D1"/>
    <w:rsid w:val="00FA3BBF"/>
    <w:rsid w:val="00FC29DC"/>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3DFFA91-5A8C-4D4B-A586-B1198B54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R15-WRC15-C-0025!A19-A12!MSW-F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14C5F-1540-46CF-961D-938D7967EDE6}">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32a1a8c5-2265-4ebc-b7a0-2071e2c5c9bb"/>
    <ds:schemaRef ds:uri="996b2e75-67fd-4955-a3b0-5ab9934cb50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A53B23D8-0B89-421D-86E2-CBEB6D79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1042</Words>
  <Characters>5831</Characters>
  <Application>Microsoft Office Word</Application>
  <DocSecurity>0</DocSecurity>
  <Lines>127</Lines>
  <Paragraphs>49</Paragraphs>
  <ScaleCrop>false</ScaleCrop>
  <HeadingPairs>
    <vt:vector size="2" baseType="variant">
      <vt:variant>
        <vt:lpstr>Title</vt:lpstr>
      </vt:variant>
      <vt:variant>
        <vt:i4>1</vt:i4>
      </vt:variant>
    </vt:vector>
  </HeadingPairs>
  <TitlesOfParts>
    <vt:vector size="1" baseType="lpstr">
      <vt:lpstr>R15-WRC15-C-0025!A19-A12!MSW-F</vt:lpstr>
    </vt:vector>
  </TitlesOfParts>
  <Manager>Secrétariat général - Pool</Manager>
  <Company>Union internationale des télécommunications (UIT)</Company>
  <LinksUpToDate>false</LinksUpToDate>
  <CharactersWithSpaces>6860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R15-WRC15-C-0025!A19-A12!MSW-F</dc:title>
  <dc:subject>Conférence mondiale des radiocommunications - 2015</dc:subject>
  <dc:creator>Documents Proposals Manager (DPM)</dc:creator>
  <cp:keywords>DPM_v5.2015.10.8_prod</cp:keywords>
  <dc:description/>
  <cp:lastModifiedBy>Jones, Jacqueline</cp:lastModifiedBy>
  <cp:revision>5</cp:revision>
  <cp:lastPrinted>2015-10-22T16:28:00Z</cp:lastPrinted>
  <dcterms:created xsi:type="dcterms:W3CDTF">2015-10-19T08:45:00Z</dcterms:created>
  <dcterms:modified xsi:type="dcterms:W3CDTF">2015-10-22T16:28:00Z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