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133258" w:rsidTr="00745015">
        <w:trPr>
          <w:cantSplit/>
        </w:trPr>
        <w:tc>
          <w:tcPr>
            <w:tcW w:w="6771" w:type="dxa"/>
          </w:tcPr>
          <w:p w:rsidR="0090121B" w:rsidRPr="00133258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33258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133258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133258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60" w:type="dxa"/>
          </w:tcPr>
          <w:p w:rsidR="0090121B" w:rsidRPr="00133258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133258">
              <w:rPr>
                <w:noProof/>
                <w:lang w:eastAsia="zh-CN"/>
              </w:rPr>
              <w:drawing>
                <wp:inline distT="0" distB="0" distL="0" distR="0" wp14:anchorId="0149371B" wp14:editId="70D3B81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133258" w:rsidTr="0074501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133258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133258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133258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133258" w:rsidTr="00745015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133258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133258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133258" w:rsidTr="00745015">
        <w:trPr>
          <w:cantSplit/>
        </w:trPr>
        <w:tc>
          <w:tcPr>
            <w:tcW w:w="6771" w:type="dxa"/>
            <w:shd w:val="clear" w:color="auto" w:fill="auto"/>
          </w:tcPr>
          <w:p w:rsidR="0090121B" w:rsidRPr="00133258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33258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133258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133258">
              <w:rPr>
                <w:rFonts w:ascii="Verdana" w:eastAsia="SimSun" w:hAnsi="Verdana" w:cs="Traditional Arabic"/>
                <w:b/>
                <w:sz w:val="20"/>
              </w:rPr>
              <w:t>Addéndum 17 al</w:t>
            </w:r>
            <w:r w:rsidRPr="00133258">
              <w:rPr>
                <w:rFonts w:ascii="Verdana" w:eastAsia="SimSun" w:hAnsi="Verdana" w:cs="Traditional Arabic"/>
                <w:b/>
                <w:sz w:val="20"/>
              </w:rPr>
              <w:br/>
              <w:t>Documento 25</w:t>
            </w:r>
            <w:r w:rsidR="0090121B" w:rsidRPr="00133258">
              <w:rPr>
                <w:rFonts w:ascii="Verdana" w:hAnsi="Verdana"/>
                <w:b/>
                <w:sz w:val="20"/>
              </w:rPr>
              <w:t>-</w:t>
            </w:r>
            <w:r w:rsidRPr="00133258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133258" w:rsidTr="00745015">
        <w:trPr>
          <w:cantSplit/>
        </w:trPr>
        <w:tc>
          <w:tcPr>
            <w:tcW w:w="6771" w:type="dxa"/>
            <w:shd w:val="clear" w:color="auto" w:fill="auto"/>
          </w:tcPr>
          <w:p w:rsidR="000A5B9A" w:rsidRPr="00133258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133258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33258">
              <w:rPr>
                <w:rFonts w:ascii="Verdana" w:hAnsi="Verdana"/>
                <w:b/>
                <w:sz w:val="20"/>
              </w:rPr>
              <w:t>10 de septiembre de 2015</w:t>
            </w:r>
          </w:p>
        </w:tc>
      </w:tr>
      <w:tr w:rsidR="000A5B9A" w:rsidRPr="00133258" w:rsidTr="00745015">
        <w:trPr>
          <w:cantSplit/>
        </w:trPr>
        <w:tc>
          <w:tcPr>
            <w:tcW w:w="6771" w:type="dxa"/>
          </w:tcPr>
          <w:p w:rsidR="000A5B9A" w:rsidRPr="00133258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</w:tcPr>
          <w:p w:rsidR="000A5B9A" w:rsidRPr="00133258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133258">
              <w:rPr>
                <w:rFonts w:ascii="Verdana" w:hAnsi="Verdana"/>
                <w:b/>
                <w:sz w:val="20"/>
              </w:rPr>
              <w:t>Original: árabe</w:t>
            </w:r>
          </w:p>
        </w:tc>
      </w:tr>
      <w:tr w:rsidR="000A5B9A" w:rsidRPr="00133258" w:rsidTr="006744FC">
        <w:trPr>
          <w:cantSplit/>
        </w:trPr>
        <w:tc>
          <w:tcPr>
            <w:tcW w:w="10031" w:type="dxa"/>
            <w:gridSpan w:val="2"/>
          </w:tcPr>
          <w:p w:rsidR="000A5B9A" w:rsidRPr="00133258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133258" w:rsidTr="0050008E">
        <w:trPr>
          <w:cantSplit/>
        </w:trPr>
        <w:tc>
          <w:tcPr>
            <w:tcW w:w="10031" w:type="dxa"/>
            <w:gridSpan w:val="2"/>
          </w:tcPr>
          <w:p w:rsidR="000A5B9A" w:rsidRPr="00133258" w:rsidRDefault="000A5B9A" w:rsidP="000A5B9A">
            <w:pPr>
              <w:pStyle w:val="Source"/>
            </w:pPr>
            <w:bookmarkStart w:id="2" w:name="dsource" w:colFirst="0" w:colLast="0"/>
            <w:r w:rsidRPr="00133258">
              <w:t>Propuestas Comunes de los Estados Árabes</w:t>
            </w:r>
          </w:p>
        </w:tc>
      </w:tr>
      <w:tr w:rsidR="000A5B9A" w:rsidRPr="00133258" w:rsidTr="0050008E">
        <w:trPr>
          <w:cantSplit/>
        </w:trPr>
        <w:tc>
          <w:tcPr>
            <w:tcW w:w="10031" w:type="dxa"/>
            <w:gridSpan w:val="2"/>
          </w:tcPr>
          <w:p w:rsidR="000A5B9A" w:rsidRPr="00133258" w:rsidRDefault="00745015" w:rsidP="000A5B9A">
            <w:pPr>
              <w:pStyle w:val="Title1"/>
            </w:pPr>
            <w:bookmarkStart w:id="3" w:name="dtitle1" w:colFirst="0" w:colLast="0"/>
            <w:bookmarkEnd w:id="2"/>
            <w:r w:rsidRPr="00133258">
              <w:t>PROPUESTAS PARA LOS TRABAJOS DE LA CONFERENCIA</w:t>
            </w:r>
          </w:p>
        </w:tc>
      </w:tr>
      <w:tr w:rsidR="000A5B9A" w:rsidRPr="00133258" w:rsidTr="0050008E">
        <w:trPr>
          <w:cantSplit/>
        </w:trPr>
        <w:tc>
          <w:tcPr>
            <w:tcW w:w="10031" w:type="dxa"/>
            <w:gridSpan w:val="2"/>
          </w:tcPr>
          <w:p w:rsidR="000A5B9A" w:rsidRPr="00133258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133258" w:rsidTr="0050008E">
        <w:trPr>
          <w:cantSplit/>
        </w:trPr>
        <w:tc>
          <w:tcPr>
            <w:tcW w:w="10031" w:type="dxa"/>
            <w:gridSpan w:val="2"/>
          </w:tcPr>
          <w:p w:rsidR="000A5B9A" w:rsidRPr="00133258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133258">
              <w:t>Punto 1.17 del orden del día</w:t>
            </w:r>
          </w:p>
        </w:tc>
      </w:tr>
    </w:tbl>
    <w:bookmarkEnd w:id="5"/>
    <w:p w:rsidR="001C0E40" w:rsidRPr="00133258" w:rsidRDefault="008F028C" w:rsidP="00AD47D7">
      <w:r w:rsidRPr="00133258">
        <w:t>1.17</w:t>
      </w:r>
      <w:r w:rsidRPr="00133258">
        <w:tab/>
        <w:t xml:space="preserve">examinar las posibles necesidades de espectro y medidas reglamentarias, incluidas las atribuciones aeronáuticas adecuadas, para soportar los sistemas aviónicos de comunicaciones inalámbricas internas (WAIC), de conformidad con la Resolución </w:t>
      </w:r>
      <w:r w:rsidRPr="00133258">
        <w:rPr>
          <w:b/>
          <w:bCs/>
        </w:rPr>
        <w:t>423 (CMR-12)</w:t>
      </w:r>
      <w:r w:rsidRPr="00133258">
        <w:t>;</w:t>
      </w:r>
    </w:p>
    <w:p w:rsidR="00363A65" w:rsidRPr="00133258" w:rsidRDefault="00005291" w:rsidP="00005291">
      <w:pPr>
        <w:pStyle w:val="Headingb"/>
      </w:pPr>
      <w:r w:rsidRPr="00133258">
        <w:t>Introducción</w:t>
      </w:r>
    </w:p>
    <w:p w:rsidR="00005291" w:rsidRPr="00133258" w:rsidRDefault="00005291" w:rsidP="00005291">
      <w:r w:rsidRPr="00133258">
        <w:t>El punto 1.17 del orden del día examina las necesidades de espectro y las medidas reglamentarias para soportar los sistemas WAIC, que aparecen descritos en el Informe UIT-R M.2283. Estos sistemas utilizan comunicaciones radioeléctricas entre dos o más estaciones a bordo de una sola aeronave que soportan las operaciones de seguridad de la misma. El Informe llega a la conclusión de que son necesarios 145 MHz de espectro de radiofrecuencia para atender las necesidades de los sistemas WAIC.</w:t>
      </w:r>
    </w:p>
    <w:p w:rsidR="00005291" w:rsidRPr="00133258" w:rsidRDefault="00005291" w:rsidP="00005291">
      <w:r w:rsidRPr="00133258">
        <w:t xml:space="preserve">De acuerdo con la Resolución </w:t>
      </w:r>
      <w:r w:rsidRPr="00133258">
        <w:rPr>
          <w:b/>
          <w:bCs/>
        </w:rPr>
        <w:t>423 (CMR-12)</w:t>
      </w:r>
      <w:r w:rsidRPr="00133258">
        <w:t>, se llevó a cabo una evaluación inicial para analizar la posible compatibilidad entre los sistemas WAIC propuestos y los sistemas que funcionan con una atribución de un servicio existente. Considera todas las bandas aeronáutica</w:t>
      </w:r>
      <w:r w:rsidR="00814013">
        <w:t>s en la gama de frecuencias 960 MHz-15,7 </w:t>
      </w:r>
      <w:bookmarkStart w:id="6" w:name="_GoBack"/>
      <w:bookmarkEnd w:id="6"/>
      <w:r w:rsidRPr="00133258">
        <w:t xml:space="preserve">GHz que contienen atribuciones al servicio móvil aeronáutico (en rutas), al servicio móvil aeronáutico y al servicio </w:t>
      </w:r>
      <w:r w:rsidR="00EE5C6F" w:rsidRPr="00133258">
        <w:t>de radionavegación aeronáutica.</w:t>
      </w:r>
    </w:p>
    <w:p w:rsidR="00005291" w:rsidRPr="00133258" w:rsidRDefault="00005291" w:rsidP="00005291">
      <w:r w:rsidRPr="00133258">
        <w:t>Se realizaron estudios para analizar la posible compatibilidad entre los sistemas WAIC propuestos y los sistemas que funcionan con una atribución a un servicio existente en las bandas de frecuencia 2 700</w:t>
      </w:r>
      <w:r w:rsidRPr="00133258">
        <w:noBreakHyphen/>
        <w:t>2 900 MHz, 4 200-4 400 MHz, 5 350-5 460 MHz, 22,5-22,55 GHz, y 23,55-23,6 GHz. De entre todas las bandas estudiadas, sólo la banda de frecuencias 4 200</w:t>
      </w:r>
      <w:r w:rsidRPr="00133258">
        <w:noBreakHyphen/>
        <w:t>4 400 MHz muestra que es posible la compartición</w:t>
      </w:r>
      <w:r w:rsidRPr="00133258">
        <w:rPr>
          <w:sz w:val="16"/>
          <w:szCs w:val="16"/>
        </w:rPr>
        <w:t>.</w:t>
      </w:r>
    </w:p>
    <w:p w:rsidR="00005291" w:rsidRPr="00133258" w:rsidRDefault="00005291" w:rsidP="00005291">
      <w:pPr>
        <w:pStyle w:val="Headingb"/>
      </w:pPr>
      <w:r w:rsidRPr="00133258">
        <w:t>Propuestas</w:t>
      </w:r>
    </w:p>
    <w:p w:rsidR="00005291" w:rsidRPr="00133258" w:rsidRDefault="003B4142" w:rsidP="007725E4">
      <w:pPr>
        <w:rPr>
          <w:rFonts w:eastAsia="SimSun"/>
        </w:rPr>
      </w:pPr>
      <w:r w:rsidRPr="00133258">
        <w:t>Habida cuenta de lo anterior, las administraciones de los Estados Árabes proponen que se</w:t>
      </w:r>
      <w:r w:rsidR="00005291" w:rsidRPr="00133258">
        <w:t xml:space="preserve"> añad</w:t>
      </w:r>
      <w:r w:rsidRPr="00133258">
        <w:t>a</w:t>
      </w:r>
      <w:r w:rsidR="00005291" w:rsidRPr="00133258">
        <w:t xml:space="preserve"> una nueva atribución al servicio móvil aeronáutico (en rutas) reservada exclusivamente a los sistemas WAIC en </w:t>
      </w:r>
      <w:r w:rsidR="00797F30" w:rsidRPr="00133258">
        <w:t>la banda de frecuencias 4 200-4 400 </w:t>
      </w:r>
      <w:r w:rsidR="00005291" w:rsidRPr="00133258">
        <w:t>MHz, con una Resolución conexa</w:t>
      </w:r>
      <w:r w:rsidR="00005291" w:rsidRPr="00133258">
        <w:rPr>
          <w:rFonts w:eastAsia="SimSun"/>
        </w:rPr>
        <w:t xml:space="preserve">, </w:t>
      </w:r>
      <w:r w:rsidR="00664BDE" w:rsidRPr="00133258">
        <w:rPr>
          <w:rFonts w:eastAsia="SimSun"/>
        </w:rPr>
        <w:t>según se aclara en las siguientes propuestas</w:t>
      </w:r>
      <w:r w:rsidR="00005291" w:rsidRPr="00133258">
        <w:rPr>
          <w:rFonts w:eastAsia="SimSun"/>
        </w:rPr>
        <w:t>.</w:t>
      </w:r>
    </w:p>
    <w:p w:rsidR="008750A8" w:rsidRPr="00133258" w:rsidRDefault="008750A8" w:rsidP="0000529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33258">
        <w:br w:type="page"/>
      </w:r>
    </w:p>
    <w:p w:rsidR="00F008F3" w:rsidRPr="00133258" w:rsidRDefault="008F028C" w:rsidP="00D44B91">
      <w:pPr>
        <w:pStyle w:val="ArtNo"/>
      </w:pPr>
      <w:r w:rsidRPr="00133258">
        <w:lastRenderedPageBreak/>
        <w:t xml:space="preserve">ARTÍCULO </w:t>
      </w:r>
      <w:r w:rsidRPr="00133258">
        <w:rPr>
          <w:rStyle w:val="href"/>
        </w:rPr>
        <w:t>5</w:t>
      </w:r>
    </w:p>
    <w:p w:rsidR="00F008F3" w:rsidRPr="00133258" w:rsidRDefault="008F028C" w:rsidP="00D44B91">
      <w:pPr>
        <w:pStyle w:val="Arttitle"/>
      </w:pPr>
      <w:r w:rsidRPr="00133258">
        <w:t>Atribuciones de frecuencia</w:t>
      </w:r>
    </w:p>
    <w:p w:rsidR="00F008F3" w:rsidRPr="00133258" w:rsidRDefault="008F028C" w:rsidP="00417F4D">
      <w:pPr>
        <w:pStyle w:val="Section1"/>
      </w:pPr>
      <w:r w:rsidRPr="00133258">
        <w:t>Sección IV – Cuadro de atribución de bandas de frecuencias</w:t>
      </w:r>
      <w:r w:rsidRPr="00133258">
        <w:br/>
      </w:r>
      <w:r w:rsidRPr="00133258">
        <w:rPr>
          <w:b w:val="0"/>
          <w:bCs/>
        </w:rPr>
        <w:t>(Véase el número</w:t>
      </w:r>
      <w:r w:rsidRPr="00133258">
        <w:t xml:space="preserve"> </w:t>
      </w:r>
      <w:r w:rsidRPr="00133258">
        <w:rPr>
          <w:rStyle w:val="Artref"/>
        </w:rPr>
        <w:t>2.1</w:t>
      </w:r>
      <w:r w:rsidRPr="00133258">
        <w:rPr>
          <w:b w:val="0"/>
          <w:bCs/>
        </w:rPr>
        <w:t>)</w:t>
      </w:r>
      <w:r w:rsidR="00E96EA9" w:rsidRPr="00133258">
        <w:rPr>
          <w:b w:val="0"/>
          <w:bCs/>
        </w:rPr>
        <w:br/>
      </w:r>
      <w:r w:rsidRPr="00133258">
        <w:br/>
      </w:r>
    </w:p>
    <w:p w:rsidR="0029556F" w:rsidRPr="00133258" w:rsidRDefault="008F028C">
      <w:pPr>
        <w:pStyle w:val="Proposal"/>
      </w:pPr>
      <w:r w:rsidRPr="00133258">
        <w:t>MOD</w:t>
      </w:r>
      <w:r w:rsidRPr="00133258">
        <w:tab/>
        <w:t>ARB/25A17/1</w:t>
      </w:r>
    </w:p>
    <w:p w:rsidR="00F008F3" w:rsidRPr="00133258" w:rsidRDefault="008F028C" w:rsidP="00F008F3">
      <w:pPr>
        <w:pStyle w:val="Tabletitle"/>
      </w:pPr>
      <w:r w:rsidRPr="00133258">
        <w:t>2 700-4 800 MHz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067"/>
        <w:gridCol w:w="3068"/>
      </w:tblGrid>
      <w:tr w:rsidR="00F008F3" w:rsidRPr="00133258" w:rsidTr="004C7C9D">
        <w:trPr>
          <w:cantSplit/>
          <w:trHeight w:val="20"/>
        </w:trPr>
        <w:tc>
          <w:tcPr>
            <w:tcW w:w="9203" w:type="dxa"/>
            <w:gridSpan w:val="3"/>
          </w:tcPr>
          <w:p w:rsidR="00F008F3" w:rsidRPr="00133258" w:rsidRDefault="008F028C" w:rsidP="004C7C9D">
            <w:pPr>
              <w:pStyle w:val="Tablehead"/>
            </w:pPr>
            <w:r w:rsidRPr="00133258">
              <w:rPr>
                <w:color w:val="000000"/>
              </w:rPr>
              <w:t>Atribución a los servicios</w:t>
            </w:r>
          </w:p>
        </w:tc>
      </w:tr>
      <w:tr w:rsidR="00F008F3" w:rsidRPr="00133258" w:rsidTr="004C7C9D">
        <w:trPr>
          <w:cantSplit/>
          <w:trHeight w:val="20"/>
        </w:trPr>
        <w:tc>
          <w:tcPr>
            <w:tcW w:w="3068" w:type="dxa"/>
          </w:tcPr>
          <w:p w:rsidR="00F008F3" w:rsidRPr="00133258" w:rsidRDefault="008F028C" w:rsidP="004C7C9D">
            <w:pPr>
              <w:pStyle w:val="Tablehead"/>
            </w:pPr>
            <w:r w:rsidRPr="00133258">
              <w:rPr>
                <w:color w:val="000000"/>
              </w:rPr>
              <w:t>Región 1</w:t>
            </w:r>
          </w:p>
        </w:tc>
        <w:tc>
          <w:tcPr>
            <w:tcW w:w="3067" w:type="dxa"/>
          </w:tcPr>
          <w:p w:rsidR="00F008F3" w:rsidRPr="00133258" w:rsidRDefault="008F028C" w:rsidP="004C7C9D">
            <w:pPr>
              <w:pStyle w:val="Tablehead"/>
            </w:pPr>
            <w:r w:rsidRPr="00133258">
              <w:rPr>
                <w:color w:val="000000"/>
              </w:rPr>
              <w:t>Región 2</w:t>
            </w:r>
          </w:p>
        </w:tc>
        <w:tc>
          <w:tcPr>
            <w:tcW w:w="3068" w:type="dxa"/>
          </w:tcPr>
          <w:p w:rsidR="00F008F3" w:rsidRPr="00133258" w:rsidRDefault="008F028C" w:rsidP="004C7C9D">
            <w:pPr>
              <w:pStyle w:val="Tablehead"/>
            </w:pPr>
            <w:r w:rsidRPr="00133258">
              <w:rPr>
                <w:color w:val="000000"/>
              </w:rPr>
              <w:t>Región 3</w:t>
            </w:r>
          </w:p>
        </w:tc>
      </w:tr>
      <w:tr w:rsidR="00F008F3" w:rsidRPr="00133258" w:rsidTr="004C7C9D">
        <w:trPr>
          <w:cantSplit/>
          <w:trHeight w:val="20"/>
        </w:trPr>
        <w:tc>
          <w:tcPr>
            <w:tcW w:w="9203" w:type="dxa"/>
            <w:gridSpan w:val="3"/>
          </w:tcPr>
          <w:p w:rsidR="006D52C3" w:rsidRPr="00133258" w:rsidRDefault="008F028C" w:rsidP="0026307F">
            <w:pPr>
              <w:pStyle w:val="TableTextS5"/>
              <w:tabs>
                <w:tab w:val="clear" w:pos="2977"/>
                <w:tab w:val="left" w:pos="3111"/>
              </w:tabs>
              <w:spacing w:before="20" w:after="20"/>
              <w:ind w:left="300" w:hanging="170"/>
              <w:rPr>
                <w:color w:val="000000"/>
              </w:rPr>
            </w:pPr>
            <w:r w:rsidRPr="00133258">
              <w:rPr>
                <w:rStyle w:val="Tablefreq"/>
                <w:color w:val="000000"/>
              </w:rPr>
              <w:t>4 200-4 400</w:t>
            </w:r>
            <w:r w:rsidRPr="00133258">
              <w:rPr>
                <w:color w:val="000000"/>
              </w:rPr>
              <w:tab/>
            </w:r>
            <w:ins w:id="7" w:author="Mendoza Siles, Sidma Jeanneth" w:date="2014-07-15T10:40:00Z">
              <w:r w:rsidR="006D52C3" w:rsidRPr="00133258">
                <w:rPr>
                  <w:color w:val="000000"/>
                </w:rPr>
                <w:t xml:space="preserve">MÓVIL </w:t>
              </w:r>
              <w:r w:rsidR="006D52C3" w:rsidRPr="00133258">
                <w:t>AERONÁUTICO (R) ADD 5.</w:t>
              </w:r>
            </w:ins>
            <w:ins w:id="8" w:author="Gomez Rodriguez, Susana" w:date="2014-09-16T12:10:00Z">
              <w:r w:rsidR="006D52C3" w:rsidRPr="00133258">
                <w:t>A117</w:t>
              </w:r>
            </w:ins>
          </w:p>
          <w:p w:rsidR="00F008F3" w:rsidRPr="00133258" w:rsidRDefault="006D52C3" w:rsidP="006D52C3">
            <w:pPr>
              <w:pStyle w:val="TableTextS5"/>
              <w:tabs>
                <w:tab w:val="clear" w:pos="737"/>
                <w:tab w:val="clear" w:pos="2977"/>
                <w:tab w:val="left" w:pos="3111"/>
              </w:tabs>
              <w:spacing w:before="20" w:after="20"/>
              <w:ind w:left="300" w:hanging="170"/>
              <w:rPr>
                <w:color w:val="000000"/>
              </w:rPr>
            </w:pPr>
            <w:r w:rsidRPr="00133258">
              <w:rPr>
                <w:color w:val="000000"/>
              </w:rPr>
              <w:tab/>
            </w:r>
            <w:r w:rsidRPr="00133258">
              <w:rPr>
                <w:color w:val="000000"/>
              </w:rPr>
              <w:tab/>
            </w:r>
            <w:r w:rsidRPr="00133258">
              <w:rPr>
                <w:color w:val="000000"/>
              </w:rPr>
              <w:tab/>
            </w:r>
            <w:r w:rsidRPr="00133258">
              <w:rPr>
                <w:color w:val="000000"/>
              </w:rPr>
              <w:tab/>
            </w:r>
            <w:r w:rsidR="008460D2" w:rsidRPr="00133258">
              <w:rPr>
                <w:color w:val="000000"/>
              </w:rPr>
              <w:t xml:space="preserve">RADIONAVEGACIÓN AERONÁUTICA </w:t>
            </w:r>
            <w:ins w:id="9" w:author="Author" w:date="2013-12-18T10:15:00Z">
              <w:r w:rsidRPr="00133258">
                <w:rPr>
                  <w:color w:val="000000"/>
                </w:rPr>
                <w:t>MOD</w:t>
              </w:r>
            </w:ins>
            <w:ins w:id="10" w:author="Author" w:date="2013-12-18T10:16:00Z">
              <w:r w:rsidRPr="00133258">
                <w:rPr>
                  <w:color w:val="000000"/>
                </w:rPr>
                <w:t xml:space="preserve"> </w:t>
              </w:r>
            </w:ins>
            <w:r w:rsidR="008F028C" w:rsidRPr="00133258">
              <w:rPr>
                <w:rStyle w:val="Artref10pt"/>
              </w:rPr>
              <w:t>5.438</w:t>
            </w:r>
          </w:p>
          <w:p w:rsidR="00F008F3" w:rsidRPr="00133258" w:rsidRDefault="008F028C" w:rsidP="0026307F">
            <w:pPr>
              <w:pStyle w:val="TableTextS5"/>
              <w:tabs>
                <w:tab w:val="clear" w:pos="2977"/>
                <w:tab w:val="left" w:pos="3111"/>
              </w:tabs>
              <w:spacing w:before="20" w:after="20"/>
              <w:ind w:left="130" w:right="130"/>
              <w:rPr>
                <w:color w:val="000000"/>
              </w:rPr>
            </w:pPr>
            <w:r w:rsidRPr="00133258">
              <w:rPr>
                <w:color w:val="000000"/>
              </w:rPr>
              <w:tab/>
            </w:r>
            <w:r w:rsidRPr="00133258">
              <w:rPr>
                <w:color w:val="000000"/>
              </w:rPr>
              <w:tab/>
            </w:r>
            <w:r w:rsidRPr="00133258">
              <w:rPr>
                <w:color w:val="000000"/>
              </w:rPr>
              <w:tab/>
            </w:r>
            <w:r w:rsidRPr="00133258">
              <w:rPr>
                <w:color w:val="000000"/>
              </w:rPr>
              <w:tab/>
            </w:r>
            <w:r w:rsidRPr="00133258">
              <w:rPr>
                <w:rStyle w:val="Artref"/>
                <w:color w:val="000000"/>
              </w:rPr>
              <w:t>5.439</w:t>
            </w:r>
            <w:r w:rsidRPr="00133258">
              <w:rPr>
                <w:color w:val="000000"/>
              </w:rPr>
              <w:t xml:space="preserve">  </w:t>
            </w:r>
            <w:r w:rsidRPr="00133258">
              <w:rPr>
                <w:rStyle w:val="Artref"/>
                <w:color w:val="000000"/>
              </w:rPr>
              <w:t>5.440</w:t>
            </w:r>
            <w:ins w:id="11" w:author="Author" w:date="2013-12-18T10:16:00Z">
              <w:r w:rsidR="006D52C3" w:rsidRPr="00133258">
                <w:rPr>
                  <w:color w:val="000000"/>
                </w:rPr>
                <w:t xml:space="preserve"> </w:t>
              </w:r>
              <w:r w:rsidR="006D52C3" w:rsidRPr="00133258">
                <w:t>ADD 5.</w:t>
              </w:r>
            </w:ins>
            <w:ins w:id="12" w:author="Author2" w:date="2014-07-15T17:27:00Z">
              <w:r w:rsidR="006D52C3" w:rsidRPr="00133258">
                <w:t>B</w:t>
              </w:r>
            </w:ins>
            <w:ins w:id="13" w:author="Author2" w:date="2014-07-15T16:42:00Z">
              <w:r w:rsidR="006D52C3" w:rsidRPr="00133258">
                <w:t>117</w:t>
              </w:r>
            </w:ins>
          </w:p>
        </w:tc>
      </w:tr>
    </w:tbl>
    <w:p w:rsidR="0029556F" w:rsidRPr="00133258" w:rsidRDefault="0029556F">
      <w:pPr>
        <w:pStyle w:val="Reasons"/>
      </w:pPr>
    </w:p>
    <w:p w:rsidR="0029556F" w:rsidRPr="00133258" w:rsidRDefault="008F028C">
      <w:pPr>
        <w:pStyle w:val="Proposal"/>
      </w:pPr>
      <w:r w:rsidRPr="00133258">
        <w:t>MOD</w:t>
      </w:r>
      <w:r w:rsidRPr="00133258">
        <w:tab/>
        <w:t>ARB/25A17/2</w:t>
      </w:r>
    </w:p>
    <w:p w:rsidR="004C7C9D" w:rsidRPr="00133258" w:rsidRDefault="008F028C" w:rsidP="00E50B08">
      <w:pPr>
        <w:pStyle w:val="Note"/>
      </w:pPr>
      <w:r w:rsidRPr="00133258">
        <w:rPr>
          <w:rStyle w:val="Artdef"/>
        </w:rPr>
        <w:t>5.438</w:t>
      </w:r>
      <w:r w:rsidRPr="00133258">
        <w:rPr>
          <w:rStyle w:val="Artdef"/>
          <w:szCs w:val="24"/>
        </w:rPr>
        <w:tab/>
      </w:r>
      <w:r w:rsidRPr="00133258">
        <w:t>La utilización de la banda 4 200-4 400 MHz por el servicio de radionavegación aeronáutica se reserva exclusivamente a los radioaltímetros instalados a bordo de aeronaves y a los respondedores asociados instalados en tierra.</w:t>
      </w:r>
      <w:del w:id="14" w:author="Saez Grau, Ricardo" w:date="2015-09-25T11:50:00Z">
        <w:r w:rsidRPr="00133258" w:rsidDel="00D02A60">
          <w:delText xml:space="preserve"> Sin embargo, puede autorizarse en esta banda, a título secundario, la detección pasiva en los servicios de exploración de la Tierra por satélite y de investigación espacial (los radioaltímetros no proporcionarán protección alguna).</w:delText>
        </w:r>
      </w:del>
    </w:p>
    <w:p w:rsidR="0029556F" w:rsidRPr="00133258" w:rsidRDefault="0029556F">
      <w:pPr>
        <w:pStyle w:val="Reasons"/>
      </w:pPr>
    </w:p>
    <w:p w:rsidR="0029556F" w:rsidRPr="00133258" w:rsidRDefault="008F028C">
      <w:pPr>
        <w:pStyle w:val="Proposal"/>
      </w:pPr>
      <w:r w:rsidRPr="00133258">
        <w:t>ADD</w:t>
      </w:r>
      <w:r w:rsidRPr="00133258">
        <w:tab/>
        <w:t>ARB/25A17/3</w:t>
      </w:r>
    </w:p>
    <w:p w:rsidR="0029556F" w:rsidRPr="00133258" w:rsidRDefault="008F028C" w:rsidP="00E50B08">
      <w:pPr>
        <w:pStyle w:val="Note"/>
      </w:pPr>
      <w:r w:rsidRPr="00133258">
        <w:rPr>
          <w:rStyle w:val="Artdef"/>
        </w:rPr>
        <w:t>5.A117</w:t>
      </w:r>
      <w:r w:rsidRPr="00133258">
        <w:tab/>
      </w:r>
      <w:r w:rsidR="00AE397E" w:rsidRPr="00133258">
        <w:t xml:space="preserve">La utilización de la banda de </w:t>
      </w:r>
      <w:r w:rsidR="0020589B" w:rsidRPr="00133258">
        <w:t>frecuencias 4 200-4 400 </w:t>
      </w:r>
      <w:r w:rsidR="00AE397E" w:rsidRPr="00133258">
        <w:t>MHz por estaciones del servicio móvil aeronáutico (R) se reserva exclusivamente a los sistemas aviónicos de comunicaciones inalámbricas</w:t>
      </w:r>
      <w:r w:rsidR="00AE397E" w:rsidRPr="00133258">
        <w:rPr>
          <w:lang w:eastAsia="ja-JP"/>
        </w:rPr>
        <w:t xml:space="preserve"> internas (WAIC) </w:t>
      </w:r>
      <w:r w:rsidR="00AE397E" w:rsidRPr="00133258">
        <w:t xml:space="preserve">que funcionan de conformidad con las normas aeronáuticas internacionales reconocidas. Dicha utilización deberá estar de conformidad con la Resolución </w:t>
      </w:r>
      <w:r w:rsidR="00AE397E" w:rsidRPr="00133258">
        <w:rPr>
          <w:b/>
          <w:bCs/>
        </w:rPr>
        <w:t>[ARB-A117-WAIC]</w:t>
      </w:r>
      <w:r w:rsidR="00AE397E" w:rsidRPr="00133258">
        <w:t xml:space="preserve"> </w:t>
      </w:r>
      <w:r w:rsidR="00AE397E" w:rsidRPr="00133258">
        <w:rPr>
          <w:b/>
          <w:bCs/>
        </w:rPr>
        <w:t>(CMR-15</w:t>
      </w:r>
      <w:r w:rsidR="00AE397E" w:rsidRPr="00133258">
        <w:rPr>
          <w:b/>
        </w:rPr>
        <w:t>)</w:t>
      </w:r>
      <w:r w:rsidR="00AE397E" w:rsidRPr="00133258">
        <w:rPr>
          <w:bCs/>
        </w:rPr>
        <w:t>.</w:t>
      </w:r>
    </w:p>
    <w:p w:rsidR="0029556F" w:rsidRPr="00133258" w:rsidRDefault="008F028C">
      <w:pPr>
        <w:pStyle w:val="Reasons"/>
      </w:pPr>
      <w:r w:rsidRPr="00133258">
        <w:rPr>
          <w:b/>
        </w:rPr>
        <w:t>Motivos:</w:t>
      </w:r>
      <w:r w:rsidRPr="00133258">
        <w:tab/>
      </w:r>
      <w:r w:rsidR="00412D89" w:rsidRPr="00133258">
        <w:t>Esta nota se refiere a la siguiente Resolución [ARB-A117-WAIC] (CMR-15).</w:t>
      </w:r>
    </w:p>
    <w:p w:rsidR="0029556F" w:rsidRPr="00133258" w:rsidRDefault="008F028C">
      <w:pPr>
        <w:pStyle w:val="Proposal"/>
      </w:pPr>
      <w:r w:rsidRPr="00133258">
        <w:t>ADD</w:t>
      </w:r>
      <w:r w:rsidRPr="00133258">
        <w:tab/>
        <w:t>ARB/25A17/4</w:t>
      </w:r>
    </w:p>
    <w:p w:rsidR="0029556F" w:rsidRPr="00133258" w:rsidRDefault="008F028C" w:rsidP="00B10A47">
      <w:pPr>
        <w:pStyle w:val="Note"/>
      </w:pPr>
      <w:r w:rsidRPr="00133258">
        <w:rPr>
          <w:rStyle w:val="Artdef"/>
        </w:rPr>
        <w:t>5.B117</w:t>
      </w:r>
      <w:r w:rsidRPr="00133258">
        <w:tab/>
      </w:r>
      <w:r w:rsidR="006D0506" w:rsidRPr="00133258">
        <w:t>La detección pasiva en los servicios de exploración de la Tierra por satélite y de investigación espacial puede autorizarse en la b</w:t>
      </w:r>
      <w:r w:rsidR="007A4DEA" w:rsidRPr="00133258">
        <w:t>anda de frecuencias 4 200-4 400 </w:t>
      </w:r>
      <w:r w:rsidR="006D0506" w:rsidRPr="00133258">
        <w:t>MHz a título secundario.</w:t>
      </w:r>
    </w:p>
    <w:p w:rsidR="0029556F" w:rsidRPr="00133258" w:rsidRDefault="0029556F">
      <w:pPr>
        <w:pStyle w:val="Reasons"/>
      </w:pPr>
    </w:p>
    <w:p w:rsidR="0029556F" w:rsidRPr="00133258" w:rsidRDefault="008F028C">
      <w:pPr>
        <w:pStyle w:val="Proposal"/>
      </w:pPr>
      <w:r w:rsidRPr="00133258">
        <w:lastRenderedPageBreak/>
        <w:t>SUP</w:t>
      </w:r>
      <w:r w:rsidRPr="00133258">
        <w:tab/>
        <w:t>ARB/25A17/5</w:t>
      </w:r>
    </w:p>
    <w:p w:rsidR="006804D3" w:rsidRPr="00133258" w:rsidRDefault="008F028C" w:rsidP="006804D3">
      <w:pPr>
        <w:pStyle w:val="ResNo"/>
      </w:pPr>
      <w:bookmarkStart w:id="15" w:name="_Toc328141373"/>
      <w:r w:rsidRPr="00133258">
        <w:t xml:space="preserve">RESOLUCIÓN </w:t>
      </w:r>
      <w:r w:rsidRPr="00133258">
        <w:rPr>
          <w:rStyle w:val="href"/>
        </w:rPr>
        <w:t>423</w:t>
      </w:r>
      <w:r w:rsidRPr="00133258">
        <w:t xml:space="preserve"> (CMR-12)</w:t>
      </w:r>
      <w:bookmarkEnd w:id="15"/>
    </w:p>
    <w:p w:rsidR="006804D3" w:rsidRPr="00133258" w:rsidRDefault="008F028C" w:rsidP="006804D3">
      <w:pPr>
        <w:pStyle w:val="Restitle"/>
      </w:pPr>
      <w:bookmarkStart w:id="16" w:name="_Toc328141374"/>
      <w:r w:rsidRPr="00133258">
        <w:t>Examen de las medidas reglamentarias, incluidas atribuciones, relacionadas</w:t>
      </w:r>
      <w:r w:rsidRPr="00133258">
        <w:br/>
        <w:t>con los sistemas aviónicos de comunicaciones inalámbricas internas</w:t>
      </w:r>
      <w:bookmarkEnd w:id="16"/>
    </w:p>
    <w:p w:rsidR="008F028C" w:rsidRPr="00133258" w:rsidRDefault="008F028C" w:rsidP="005C60B4">
      <w:pPr>
        <w:pStyle w:val="Reasons"/>
      </w:pPr>
      <w:r w:rsidRPr="00133258">
        <w:rPr>
          <w:b/>
        </w:rPr>
        <w:t>Motivos:</w:t>
      </w:r>
      <w:r w:rsidRPr="00133258">
        <w:tab/>
      </w:r>
      <w:r w:rsidR="005C60B4" w:rsidRPr="00133258">
        <w:t>Esta Resolución no es necesaria</w:t>
      </w:r>
      <w:r w:rsidRPr="00133258">
        <w:t>.</w:t>
      </w:r>
    </w:p>
    <w:p w:rsidR="0029556F" w:rsidRPr="00133258" w:rsidRDefault="008F028C">
      <w:pPr>
        <w:pStyle w:val="Proposal"/>
      </w:pPr>
      <w:r w:rsidRPr="00133258">
        <w:t>ADD</w:t>
      </w:r>
      <w:r w:rsidRPr="00133258">
        <w:tab/>
        <w:t>ARB/25A17/6</w:t>
      </w:r>
    </w:p>
    <w:p w:rsidR="008F028C" w:rsidRPr="00133258" w:rsidRDefault="008F028C" w:rsidP="008F028C">
      <w:pPr>
        <w:pStyle w:val="ResNo"/>
      </w:pPr>
      <w:r w:rsidRPr="00133258">
        <w:t>RESOLUCION [ARB-A117-WAIC] (CMR-15)</w:t>
      </w:r>
    </w:p>
    <w:p w:rsidR="008F028C" w:rsidRPr="00133258" w:rsidRDefault="008F028C" w:rsidP="008F028C">
      <w:pPr>
        <w:pStyle w:val="Restitle"/>
      </w:pPr>
      <w:r w:rsidRPr="00133258">
        <w:t xml:space="preserve">Utilización de las comunicaciones aviónicas inalámbricas internas </w:t>
      </w:r>
      <w:r w:rsidRPr="00133258">
        <w:br/>
        <w:t>en la banda de frecuencias 4 200-4 400 MHz</w:t>
      </w:r>
    </w:p>
    <w:p w:rsidR="008F028C" w:rsidRPr="00133258" w:rsidRDefault="008F028C" w:rsidP="008F028C">
      <w:pPr>
        <w:pStyle w:val="Normalaftertitle"/>
      </w:pPr>
      <w:r w:rsidRPr="00133258">
        <w:t>La Conferencia Mundial de Radiocomunicaciones (Ginebra, 2015),</w:t>
      </w:r>
    </w:p>
    <w:p w:rsidR="008F028C" w:rsidRPr="00133258" w:rsidRDefault="008F028C" w:rsidP="008F028C">
      <w:pPr>
        <w:pStyle w:val="Call"/>
      </w:pPr>
      <w:r w:rsidRPr="00133258">
        <w:t>considerando</w:t>
      </w:r>
    </w:p>
    <w:p w:rsidR="008F028C" w:rsidRPr="00133258" w:rsidRDefault="008F028C" w:rsidP="008F028C">
      <w:r w:rsidRPr="00133258">
        <w:rPr>
          <w:i/>
          <w:iCs/>
        </w:rPr>
        <w:t>a)</w:t>
      </w:r>
      <w:r w:rsidRPr="00133258">
        <w:tab/>
        <w:t>que las aeronaves se diseñan para que sean más seguras, rentables y fiables a la vez que inocuas para el medio ambiente;</w:t>
      </w:r>
    </w:p>
    <w:p w:rsidR="008F028C" w:rsidRPr="00133258" w:rsidRDefault="008F028C" w:rsidP="008F028C">
      <w:pPr>
        <w:rPr>
          <w:sz w:val="22"/>
        </w:rPr>
      </w:pPr>
      <w:r w:rsidRPr="00133258">
        <w:rPr>
          <w:i/>
          <w:iCs/>
        </w:rPr>
        <w:t>b)</w:t>
      </w:r>
      <w:r w:rsidRPr="00133258">
        <w:tab/>
        <w:t xml:space="preserve">que los sistemas aviónicos de comunicaciones inalámbricas internas (WAIC) proporcionan radiocomunicaciones entre dos o más estaciones de aeronave integradas o instaladas en una misma </w:t>
      </w:r>
      <w:r w:rsidRPr="00133258">
        <w:rPr>
          <w:sz w:val="22"/>
        </w:rPr>
        <w:t xml:space="preserve">aeronave, </w:t>
      </w:r>
      <w:r w:rsidRPr="00133258">
        <w:rPr>
          <w:color w:val="000000"/>
        </w:rPr>
        <w:t>que soporta la seguridad del vuelo de la aeronave</w:t>
      </w:r>
      <w:r w:rsidRPr="00133258">
        <w:rPr>
          <w:sz w:val="22"/>
        </w:rPr>
        <w:t>;</w:t>
      </w:r>
    </w:p>
    <w:p w:rsidR="008F028C" w:rsidRPr="00133258" w:rsidRDefault="008F028C" w:rsidP="008F028C">
      <w:r w:rsidRPr="00133258">
        <w:rPr>
          <w:i/>
          <w:iCs/>
        </w:rPr>
        <w:t>c)</w:t>
      </w:r>
      <w:r w:rsidRPr="00133258">
        <w:rPr>
          <w:sz w:val="22"/>
        </w:rPr>
        <w:tab/>
        <w:t>que los sistemas WAIC no proporcionan radiocomunicaciones entre una aeronave y tierra,</w:t>
      </w:r>
      <w:r w:rsidRPr="00133258">
        <w:t xml:space="preserve"> otra aeronave o un satélite;</w:t>
      </w:r>
    </w:p>
    <w:p w:rsidR="008F028C" w:rsidRPr="00133258" w:rsidRDefault="008F028C" w:rsidP="008F028C">
      <w:r w:rsidRPr="00133258">
        <w:rPr>
          <w:i/>
          <w:iCs/>
        </w:rPr>
        <w:t>d)</w:t>
      </w:r>
      <w:r w:rsidRPr="00133258">
        <w:rPr>
          <w:sz w:val="22"/>
        </w:rPr>
        <w:tab/>
      </w:r>
      <w:r w:rsidRPr="00133258">
        <w:t>que los sistemas WAIC funcionan de forma que garanticen la seguridad del vuelo de las aeronaves;</w:t>
      </w:r>
    </w:p>
    <w:p w:rsidR="008F028C" w:rsidRPr="00133258" w:rsidRDefault="008F028C" w:rsidP="008F028C">
      <w:r w:rsidRPr="00133258">
        <w:rPr>
          <w:i/>
          <w:iCs/>
        </w:rPr>
        <w:t>e)</w:t>
      </w:r>
      <w:r w:rsidRPr="00133258">
        <w:rPr>
          <w:sz w:val="22"/>
        </w:rPr>
        <w:tab/>
      </w:r>
      <w:r w:rsidRPr="00133258">
        <w:t>que los sistemas WAIC funcionan durante todas las fases del vuelo, incluidas las maniobras en Tierra;</w:t>
      </w:r>
    </w:p>
    <w:p w:rsidR="008F028C" w:rsidRPr="00133258" w:rsidRDefault="008F028C" w:rsidP="008F028C">
      <w:r w:rsidRPr="00133258">
        <w:rPr>
          <w:i/>
          <w:iCs/>
        </w:rPr>
        <w:t>f)</w:t>
      </w:r>
      <w:r w:rsidRPr="00133258">
        <w:rPr>
          <w:sz w:val="22"/>
        </w:rPr>
        <w:tab/>
        <w:t>que</w:t>
      </w:r>
      <w:r w:rsidRPr="00133258">
        <w:t xml:space="preserve"> las aeronaves equipadas de sistemas WAIC operan en todo el mundo;</w:t>
      </w:r>
    </w:p>
    <w:p w:rsidR="008F028C" w:rsidRPr="00133258" w:rsidRDefault="008F028C" w:rsidP="008F028C">
      <w:r w:rsidRPr="00133258">
        <w:rPr>
          <w:i/>
          <w:iCs/>
        </w:rPr>
        <w:t>g)</w:t>
      </w:r>
      <w:r w:rsidRPr="00133258">
        <w:rPr>
          <w:sz w:val="22"/>
        </w:rPr>
        <w:tab/>
        <w:t>que</w:t>
      </w:r>
      <w:r w:rsidRPr="00133258">
        <w:t xml:space="preserve"> los sistemas WAIC que funcionan dentro de una aeronave aprovechan la atenuación causada por el fuselaje para facilitar la compartición con otros servicios;</w:t>
      </w:r>
    </w:p>
    <w:p w:rsidR="008F028C" w:rsidRPr="00133258" w:rsidRDefault="008F028C" w:rsidP="008F028C">
      <w:r w:rsidRPr="00133258">
        <w:rPr>
          <w:i/>
          <w:iCs/>
        </w:rPr>
        <w:t>h)</w:t>
      </w:r>
      <w:r w:rsidRPr="00133258">
        <w:rPr>
          <w:sz w:val="22"/>
        </w:rPr>
        <w:tab/>
      </w:r>
      <w:r w:rsidRPr="00133258">
        <w:t xml:space="preserve">que la Recomendación UIT-R M.2067 proporciona las características técnicas y los </w:t>
      </w:r>
      <w:r w:rsidRPr="00133258">
        <w:rPr>
          <w:sz w:val="22"/>
        </w:rPr>
        <w:t>objetivos</w:t>
      </w:r>
      <w:r w:rsidRPr="00133258">
        <w:t xml:space="preserve"> de funcionamiento de los sistemas WAIC,</w:t>
      </w:r>
    </w:p>
    <w:p w:rsidR="008F028C" w:rsidRPr="00133258" w:rsidRDefault="008F028C" w:rsidP="008F028C">
      <w:pPr>
        <w:pStyle w:val="Call"/>
      </w:pPr>
      <w:r w:rsidRPr="00133258">
        <w:t>reconociendo</w:t>
      </w:r>
    </w:p>
    <w:p w:rsidR="008F028C" w:rsidRPr="00133258" w:rsidRDefault="008F028C" w:rsidP="008F028C">
      <w:r w:rsidRPr="00133258">
        <w:t>que el Anexo 10 al Convenio de Aviación Civil Internacional contiene normas y prácticas recomendadas (SARP) para la seguridad de la radionavegación aeronáutica y los sistemas de radiocomunicaciones utilizados por la aviación civil internacional,</w:t>
      </w:r>
    </w:p>
    <w:p w:rsidR="008F028C" w:rsidRPr="00133258" w:rsidRDefault="008F028C" w:rsidP="008F028C">
      <w:pPr>
        <w:pStyle w:val="Call"/>
      </w:pPr>
      <w:r w:rsidRPr="00133258">
        <w:t>resuelve</w:t>
      </w:r>
    </w:p>
    <w:p w:rsidR="008F028C" w:rsidRPr="00133258" w:rsidRDefault="008F028C" w:rsidP="008F028C">
      <w:r w:rsidRPr="00133258">
        <w:t>1</w:t>
      </w:r>
      <w:r w:rsidRPr="00133258">
        <w:tab/>
        <w:t>que el sistema WAIC se define como un sistema de radiocomunicaciones entre dos o más estaciones de aeronave situadas en una misma aeronave que soporta la seguridad del vuelo de la aeronave;</w:t>
      </w:r>
    </w:p>
    <w:p w:rsidR="008F028C" w:rsidRPr="00133258" w:rsidRDefault="008F028C" w:rsidP="008F028C">
      <w:r w:rsidRPr="00133258">
        <w:lastRenderedPageBreak/>
        <w:t>2</w:t>
      </w:r>
      <w:r w:rsidRPr="00133258">
        <w:tab/>
        <w:t>que los sistemas WAIC en la banda de frecuencias 4 200-4 400 MHz no deberán causar interferencia perjudicial a los sistemas del servicio de radionavegación aeronáutica que funcionan en esta banda de frecuencias ni reclamar protección contra los mismos;</w:t>
      </w:r>
    </w:p>
    <w:p w:rsidR="008F028C" w:rsidRPr="00133258" w:rsidRDefault="008F028C" w:rsidP="008F028C">
      <w:r w:rsidRPr="00133258">
        <w:t>3</w:t>
      </w:r>
      <w:r w:rsidRPr="00133258">
        <w:tab/>
        <w:t>que los sistemas WAIC que funcionan en la banda de frecuencias 4 200-4 400 MHz deberán cumplir las normas y prácticas recomendadas publicadas en el Anexo 10 al Convenio de Aviación Civil Internacional;</w:t>
      </w:r>
    </w:p>
    <w:p w:rsidR="008F028C" w:rsidRPr="00133258" w:rsidRDefault="008F028C" w:rsidP="008F028C">
      <w:r w:rsidRPr="00133258">
        <w:t>4</w:t>
      </w:r>
      <w:r w:rsidRPr="00133258">
        <w:tab/>
        <w:t xml:space="preserve">que el número </w:t>
      </w:r>
      <w:r w:rsidRPr="00133258">
        <w:rPr>
          <w:b/>
          <w:bCs/>
        </w:rPr>
        <w:t>43.1</w:t>
      </w:r>
      <w:r w:rsidRPr="00133258">
        <w:t xml:space="preserve"> no deberá aplicarse a los sistemas WAIC,</w:t>
      </w:r>
    </w:p>
    <w:p w:rsidR="008F028C" w:rsidRPr="00133258" w:rsidRDefault="008F028C" w:rsidP="008F028C">
      <w:pPr>
        <w:pStyle w:val="Call"/>
      </w:pPr>
      <w:r w:rsidRPr="00133258">
        <w:t>encarga al Secretario General</w:t>
      </w:r>
    </w:p>
    <w:p w:rsidR="008F028C" w:rsidRPr="00133258" w:rsidRDefault="008F028C" w:rsidP="008F028C">
      <w:pPr>
        <w:rPr>
          <w:lang w:eastAsia="ja-JP"/>
        </w:rPr>
      </w:pPr>
      <w:r w:rsidRPr="00133258">
        <w:t>que señale esta Resolución a la atención de la OACI</w:t>
      </w:r>
      <w:r w:rsidRPr="00133258">
        <w:rPr>
          <w:lang w:eastAsia="ja-JP"/>
        </w:rPr>
        <w:t>,</w:t>
      </w:r>
    </w:p>
    <w:p w:rsidR="008F028C" w:rsidRPr="00133258" w:rsidRDefault="008F028C" w:rsidP="008F028C">
      <w:pPr>
        <w:pStyle w:val="Call"/>
        <w:rPr>
          <w:lang w:eastAsia="ja-JP"/>
        </w:rPr>
      </w:pPr>
      <w:r w:rsidRPr="00133258">
        <w:rPr>
          <w:lang w:eastAsia="ja-JP"/>
        </w:rPr>
        <w:t>invita a la OACI</w:t>
      </w:r>
    </w:p>
    <w:p w:rsidR="008F028C" w:rsidRPr="00133258" w:rsidRDefault="008F028C" w:rsidP="008F028C">
      <w:r w:rsidRPr="00133258">
        <w:t>a que aplique la Recomendación UIT</w:t>
      </w:r>
      <w:r w:rsidRPr="00133258">
        <w:noBreakHyphen/>
        <w:t>R M.[WAIC CONDITIONS] al preparar las normas y prácticas recomendadas para los sistemas WAIC.</w:t>
      </w:r>
    </w:p>
    <w:p w:rsidR="008F028C" w:rsidRPr="00133258" w:rsidRDefault="008F028C" w:rsidP="0032202E">
      <w:pPr>
        <w:pStyle w:val="Reasons"/>
      </w:pPr>
      <w:r w:rsidRPr="00133258">
        <w:rPr>
          <w:b/>
          <w:bCs/>
        </w:rPr>
        <w:t>Motivos</w:t>
      </w:r>
      <w:r w:rsidRPr="00133258">
        <w:t>:</w:t>
      </w:r>
      <w:r w:rsidRPr="00133258">
        <w:tab/>
        <w:t>Esta Resolución proporciona las disposiciones reglamentarias pertinentes para responder a este punto del orden del día.</w:t>
      </w:r>
    </w:p>
    <w:p w:rsidR="00C67F58" w:rsidRPr="00133258" w:rsidRDefault="00C67F58" w:rsidP="00C67F58">
      <w:pPr>
        <w:pStyle w:val="Reasons"/>
      </w:pPr>
    </w:p>
    <w:p w:rsidR="0029556F" w:rsidRPr="00133258" w:rsidRDefault="00C67F58" w:rsidP="00C67F58">
      <w:pPr>
        <w:jc w:val="center"/>
      </w:pPr>
      <w:r w:rsidRPr="00133258">
        <w:t>______________</w:t>
      </w:r>
    </w:p>
    <w:sectPr w:rsidR="0029556F" w:rsidRPr="00133258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44A7F">
      <w:rPr>
        <w:noProof/>
      </w:rPr>
      <w:t>25.09.15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C2" w:rsidRDefault="007072C2" w:rsidP="007072C2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P:\ESP\ITU-R\CONF-R\CMR15\000\025ADD17S.docx</w:t>
    </w:r>
    <w:r>
      <w:fldChar w:fldCharType="end"/>
    </w:r>
    <w:r w:rsidRPr="001C372C">
      <w:rPr>
        <w:lang w:val="en-US"/>
      </w:rPr>
      <w:t xml:space="preserve"> (386872)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072C2">
      <w:rPr>
        <w:lang w:val="en-US"/>
      </w:rPr>
      <w:t>P:\ESP\ITU-R\CONF-R\CMR15\000\025ADD17S.docx</w:t>
    </w:r>
    <w:r>
      <w:fldChar w:fldCharType="end"/>
    </w:r>
    <w:r w:rsidR="001C372C" w:rsidRPr="001C372C">
      <w:rPr>
        <w:lang w:val="en-US"/>
      </w:rPr>
      <w:t xml:space="preserve"> (386872)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072C2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072C2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4013">
      <w:rPr>
        <w:rStyle w:val="PageNumber"/>
        <w:noProof/>
      </w:rPr>
      <w:t>4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25(Add.17)-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0804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10AC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EA3D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F801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A0AF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5E2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5EA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AE9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468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1A9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  <w15:person w15:author="Saez Grau, Ricardo">
    <w15:presenceInfo w15:providerId="AD" w15:userId="S-1-5-21-8740799-900759487-1415713722-35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05291"/>
    <w:rsid w:val="0002785D"/>
    <w:rsid w:val="00087AE8"/>
    <w:rsid w:val="000A5B9A"/>
    <w:rsid w:val="000E5BF9"/>
    <w:rsid w:val="000F0E6D"/>
    <w:rsid w:val="00121170"/>
    <w:rsid w:val="00123CC5"/>
    <w:rsid w:val="00133258"/>
    <w:rsid w:val="0015142D"/>
    <w:rsid w:val="001616DC"/>
    <w:rsid w:val="00163962"/>
    <w:rsid w:val="00191A97"/>
    <w:rsid w:val="001A083F"/>
    <w:rsid w:val="001C372C"/>
    <w:rsid w:val="001C41FA"/>
    <w:rsid w:val="001E2B52"/>
    <w:rsid w:val="001E3F27"/>
    <w:rsid w:val="001E6528"/>
    <w:rsid w:val="0020589B"/>
    <w:rsid w:val="00236D2A"/>
    <w:rsid w:val="00255F12"/>
    <w:rsid w:val="00262C09"/>
    <w:rsid w:val="0029556F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B4142"/>
    <w:rsid w:val="003C2508"/>
    <w:rsid w:val="003D0AA3"/>
    <w:rsid w:val="00412D89"/>
    <w:rsid w:val="00440B3A"/>
    <w:rsid w:val="0045384C"/>
    <w:rsid w:val="00454553"/>
    <w:rsid w:val="004B124A"/>
    <w:rsid w:val="004D21F3"/>
    <w:rsid w:val="005133B5"/>
    <w:rsid w:val="00513FE3"/>
    <w:rsid w:val="00532097"/>
    <w:rsid w:val="0058350F"/>
    <w:rsid w:val="00583C7E"/>
    <w:rsid w:val="005C60B4"/>
    <w:rsid w:val="005D46FB"/>
    <w:rsid w:val="005F2605"/>
    <w:rsid w:val="005F3B0E"/>
    <w:rsid w:val="005F559C"/>
    <w:rsid w:val="00662BA0"/>
    <w:rsid w:val="00664BDE"/>
    <w:rsid w:val="006667DF"/>
    <w:rsid w:val="00692AAE"/>
    <w:rsid w:val="006D0506"/>
    <w:rsid w:val="006D52C3"/>
    <w:rsid w:val="006D6E67"/>
    <w:rsid w:val="006E1A13"/>
    <w:rsid w:val="00701C20"/>
    <w:rsid w:val="00702F3D"/>
    <w:rsid w:val="0070518E"/>
    <w:rsid w:val="007072C2"/>
    <w:rsid w:val="00734C48"/>
    <w:rsid w:val="007354E9"/>
    <w:rsid w:val="00745015"/>
    <w:rsid w:val="00765578"/>
    <w:rsid w:val="0077084A"/>
    <w:rsid w:val="007725E4"/>
    <w:rsid w:val="00781B0D"/>
    <w:rsid w:val="007952C7"/>
    <w:rsid w:val="00797F30"/>
    <w:rsid w:val="007A4DEA"/>
    <w:rsid w:val="007C0B95"/>
    <w:rsid w:val="007C2317"/>
    <w:rsid w:val="007D330A"/>
    <w:rsid w:val="00814013"/>
    <w:rsid w:val="008460D2"/>
    <w:rsid w:val="00866AE6"/>
    <w:rsid w:val="008750A8"/>
    <w:rsid w:val="008E5AF2"/>
    <w:rsid w:val="008F028C"/>
    <w:rsid w:val="0090121B"/>
    <w:rsid w:val="0090554A"/>
    <w:rsid w:val="009144C9"/>
    <w:rsid w:val="0094091F"/>
    <w:rsid w:val="009570E2"/>
    <w:rsid w:val="00973754"/>
    <w:rsid w:val="009B662C"/>
    <w:rsid w:val="009C0BED"/>
    <w:rsid w:val="009E11EC"/>
    <w:rsid w:val="00A118DB"/>
    <w:rsid w:val="00A4450C"/>
    <w:rsid w:val="00A44A7F"/>
    <w:rsid w:val="00AA5E6C"/>
    <w:rsid w:val="00AE397E"/>
    <w:rsid w:val="00AE5677"/>
    <w:rsid w:val="00AE658F"/>
    <w:rsid w:val="00AF2F78"/>
    <w:rsid w:val="00B10A47"/>
    <w:rsid w:val="00B239FA"/>
    <w:rsid w:val="00B52D55"/>
    <w:rsid w:val="00B8288C"/>
    <w:rsid w:val="00BE2E80"/>
    <w:rsid w:val="00BE5EDD"/>
    <w:rsid w:val="00BE6A1F"/>
    <w:rsid w:val="00C126C4"/>
    <w:rsid w:val="00C63EB5"/>
    <w:rsid w:val="00C67F58"/>
    <w:rsid w:val="00CC01E0"/>
    <w:rsid w:val="00CD5FEE"/>
    <w:rsid w:val="00CE60D2"/>
    <w:rsid w:val="00CE7431"/>
    <w:rsid w:val="00D0288A"/>
    <w:rsid w:val="00D02A60"/>
    <w:rsid w:val="00D72A5D"/>
    <w:rsid w:val="00DC629B"/>
    <w:rsid w:val="00E05BFF"/>
    <w:rsid w:val="00E262F1"/>
    <w:rsid w:val="00E3176A"/>
    <w:rsid w:val="00E50B08"/>
    <w:rsid w:val="00E54754"/>
    <w:rsid w:val="00E56BD3"/>
    <w:rsid w:val="00E71D14"/>
    <w:rsid w:val="00E96EA9"/>
    <w:rsid w:val="00EC71BD"/>
    <w:rsid w:val="00EE5C6F"/>
    <w:rsid w:val="00F566FC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50EE9DF-EAB4-4B6C-926E-45C68C68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  <w:link w:val="ResNoChar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link w:val="ReasonsChar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qFormat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NormalaftertitleChar">
    <w:name w:val="Normal after title Char"/>
    <w:basedOn w:val="DefaultParagraphFont"/>
    <w:link w:val="Normalaftertitle"/>
    <w:rsid w:val="008F028C"/>
    <w:rPr>
      <w:rFonts w:ascii="Times New Roman" w:hAnsi="Times New Roman"/>
      <w:sz w:val="24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05291"/>
    <w:rPr>
      <w:rFonts w:ascii="Times New Roman" w:hAnsi="Times New Roman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locked/>
    <w:rsid w:val="008F028C"/>
    <w:rPr>
      <w:rFonts w:ascii="Times New Roman Bold" w:hAnsi="Times New Roman Bold"/>
      <w:b/>
      <w:sz w:val="28"/>
      <w:lang w:val="es-ES_tradnl" w:eastAsia="en-US"/>
    </w:rPr>
  </w:style>
  <w:style w:type="character" w:customStyle="1" w:styleId="ResNoChar">
    <w:name w:val="Res_No Char"/>
    <w:basedOn w:val="DefaultParagraphFont"/>
    <w:link w:val="ResNo"/>
    <w:locked/>
    <w:rsid w:val="008F028C"/>
    <w:rPr>
      <w:rFonts w:ascii="Times New Roman" w:hAnsi="Times New Roman"/>
      <w:caps/>
      <w:sz w:val="28"/>
      <w:lang w:val="es-ES_tradnl" w:eastAsia="en-US"/>
    </w:rPr>
  </w:style>
  <w:style w:type="character" w:customStyle="1" w:styleId="ReasonsChar">
    <w:name w:val="Reasons Char"/>
    <w:basedOn w:val="DefaultParagraphFont"/>
    <w:link w:val="Reasons"/>
    <w:locked/>
    <w:rsid w:val="008F028C"/>
    <w:rPr>
      <w:rFonts w:ascii="Times New Roman" w:hAnsi="Times New Roman"/>
      <w:sz w:val="24"/>
      <w:lang w:val="es-ES_tradnl" w:eastAsia="en-US"/>
    </w:rPr>
  </w:style>
  <w:style w:type="character" w:customStyle="1" w:styleId="CallChar">
    <w:name w:val="Call Char"/>
    <w:link w:val="Call"/>
    <w:locked/>
    <w:rsid w:val="008F028C"/>
    <w:rPr>
      <w:rFonts w:ascii="Times New Roman" w:hAnsi="Times New Roman"/>
      <w:i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R15-WRC15-C-0025!A17!MSW-S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5C66B-60F4-40DF-A903-110F95242F9D}">
  <ds:schemaRefs>
    <ds:schemaRef ds:uri="http://schemas.microsoft.com/office/2006/documentManagement/types"/>
    <ds:schemaRef ds:uri="http://www.w3.org/XML/1998/namespace"/>
    <ds:schemaRef ds:uri="http://purl.org/dc/elements/1.1/"/>
    <ds:schemaRef ds:uri="32a1a8c5-2265-4ebc-b7a0-2071e2c5c9bb"/>
    <ds:schemaRef ds:uri="http://purl.org/dc/terms/"/>
    <ds:schemaRef ds:uri="996b2e75-67fd-4955-a3b0-5ab9934cb50b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AD0443-5652-423D-AECE-3B12A8A5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1030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R15-WRC15-C-0025!A17!MSW-S</vt:lpstr>
    </vt:vector>
  </TitlesOfParts>
  <Manager>Secretaría General - Pool</Manager>
  <Company>Unión Internacional de Telecomunicaciones (UIT)</Company>
  <LinksUpToDate>false</LinksUpToDate>
  <CharactersWithSpaces>6688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R15-WRC15-C-0025!A17!MSW-S</dc:title>
  <dc:subject>Conferencia Mundial de Radiocomunicaciones - 2015</dc:subject>
  <dc:creator>Documents Proposals Manager (DPM)</dc:creator>
  <cp:keywords>DPM_v5.2015.9.16_prod</cp:keywords>
  <dc:description/>
  <cp:lastModifiedBy>Saez Grau, Ricardo</cp:lastModifiedBy>
  <cp:revision>27</cp:revision>
  <cp:lastPrinted>2003-02-19T20:20:00Z</cp:lastPrinted>
  <dcterms:created xsi:type="dcterms:W3CDTF">2015-09-30T09:45:00Z</dcterms:created>
  <dcterms:modified xsi:type="dcterms:W3CDTF">2015-09-30T09:54:00Z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