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206" w:type="dxa"/>
        <w:tblLayout w:type="fixed"/>
        <w:tblLook w:val="0000" w:firstRow="0" w:lastRow="0" w:firstColumn="0" w:lastColumn="0" w:noHBand="0" w:noVBand="0"/>
      </w:tblPr>
      <w:tblGrid>
        <w:gridCol w:w="6911"/>
        <w:gridCol w:w="3295"/>
      </w:tblGrid>
      <w:tr w:rsidR="0090121B" w:rsidRPr="00B332E7" w:rsidTr="009C7F77">
        <w:trPr>
          <w:cantSplit/>
        </w:trPr>
        <w:tc>
          <w:tcPr>
            <w:tcW w:w="6911" w:type="dxa"/>
          </w:tcPr>
          <w:p w:rsidR="0090121B" w:rsidRPr="00B332E7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B332E7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B332E7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B332E7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295" w:type="dxa"/>
          </w:tcPr>
          <w:p w:rsidR="0090121B" w:rsidRPr="00B332E7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B332E7">
              <w:rPr>
                <w:noProof/>
                <w:lang w:val="en-US" w:eastAsia="zh-CN"/>
              </w:rPr>
              <w:drawing>
                <wp:inline distT="0" distB="0" distL="0" distR="0" wp14:anchorId="63F785B1" wp14:editId="29D0D46F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B332E7" w:rsidTr="009C7F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B332E7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B332E7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95" w:type="dxa"/>
            <w:tcBorders>
              <w:bottom w:val="single" w:sz="12" w:space="0" w:color="auto"/>
            </w:tcBorders>
          </w:tcPr>
          <w:p w:rsidR="0090121B" w:rsidRPr="00B332E7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B332E7" w:rsidTr="009C7F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B332E7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95" w:type="dxa"/>
            <w:tcBorders>
              <w:top w:val="single" w:sz="12" w:space="0" w:color="auto"/>
            </w:tcBorders>
          </w:tcPr>
          <w:p w:rsidR="0090121B" w:rsidRPr="00B332E7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B332E7" w:rsidTr="009C7F77">
        <w:trPr>
          <w:cantSplit/>
        </w:trPr>
        <w:tc>
          <w:tcPr>
            <w:tcW w:w="6911" w:type="dxa"/>
            <w:shd w:val="clear" w:color="auto" w:fill="auto"/>
          </w:tcPr>
          <w:p w:rsidR="0090121B" w:rsidRPr="00B332E7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B332E7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295" w:type="dxa"/>
            <w:shd w:val="clear" w:color="auto" w:fill="auto"/>
          </w:tcPr>
          <w:p w:rsidR="0090121B" w:rsidRPr="00B332E7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B332E7">
              <w:rPr>
                <w:rFonts w:ascii="Verdana" w:eastAsia="SimSun" w:hAnsi="Verdana" w:cs="Traditional Arabic"/>
                <w:b/>
                <w:sz w:val="20"/>
              </w:rPr>
              <w:t>Addéndum 14 al</w:t>
            </w:r>
            <w:r w:rsidRPr="00B332E7">
              <w:rPr>
                <w:rFonts w:ascii="Verdana" w:eastAsia="SimSun" w:hAnsi="Verdana" w:cs="Traditional Arabic"/>
                <w:b/>
                <w:sz w:val="20"/>
              </w:rPr>
              <w:br/>
              <w:t>Documento 25</w:t>
            </w:r>
            <w:r w:rsidR="0090121B" w:rsidRPr="00B332E7">
              <w:rPr>
                <w:rFonts w:ascii="Verdana" w:hAnsi="Verdana"/>
                <w:b/>
                <w:sz w:val="20"/>
              </w:rPr>
              <w:t>-</w:t>
            </w:r>
            <w:r w:rsidRPr="00B332E7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B332E7" w:rsidTr="009C7F77">
        <w:trPr>
          <w:cantSplit/>
        </w:trPr>
        <w:tc>
          <w:tcPr>
            <w:tcW w:w="6911" w:type="dxa"/>
            <w:shd w:val="clear" w:color="auto" w:fill="auto"/>
          </w:tcPr>
          <w:p w:rsidR="000A5B9A" w:rsidRPr="00B332E7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0A5B9A" w:rsidRPr="00B332E7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B332E7">
              <w:rPr>
                <w:rFonts w:ascii="Verdana" w:hAnsi="Verdana"/>
                <w:b/>
                <w:sz w:val="20"/>
              </w:rPr>
              <w:t>10 de septiembre de 2015</w:t>
            </w:r>
          </w:p>
        </w:tc>
      </w:tr>
      <w:tr w:rsidR="000A5B9A" w:rsidRPr="00B332E7" w:rsidTr="009C7F77">
        <w:trPr>
          <w:cantSplit/>
        </w:trPr>
        <w:tc>
          <w:tcPr>
            <w:tcW w:w="6911" w:type="dxa"/>
          </w:tcPr>
          <w:p w:rsidR="000A5B9A" w:rsidRPr="00B332E7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95" w:type="dxa"/>
          </w:tcPr>
          <w:p w:rsidR="000A5B9A" w:rsidRPr="00B332E7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B332E7">
              <w:rPr>
                <w:rFonts w:ascii="Verdana" w:hAnsi="Verdana"/>
                <w:b/>
                <w:sz w:val="20"/>
              </w:rPr>
              <w:t>Original: árabe</w:t>
            </w:r>
          </w:p>
        </w:tc>
      </w:tr>
      <w:tr w:rsidR="000A5B9A" w:rsidRPr="00B332E7" w:rsidTr="009C7F77">
        <w:trPr>
          <w:cantSplit/>
        </w:trPr>
        <w:tc>
          <w:tcPr>
            <w:tcW w:w="10206" w:type="dxa"/>
            <w:gridSpan w:val="2"/>
          </w:tcPr>
          <w:p w:rsidR="000A5B9A" w:rsidRPr="00B332E7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B332E7" w:rsidTr="009C7F77">
        <w:trPr>
          <w:cantSplit/>
        </w:trPr>
        <w:tc>
          <w:tcPr>
            <w:tcW w:w="10206" w:type="dxa"/>
            <w:gridSpan w:val="2"/>
          </w:tcPr>
          <w:p w:rsidR="000A5B9A" w:rsidRPr="00B332E7" w:rsidRDefault="000A5B9A" w:rsidP="000A5B9A">
            <w:pPr>
              <w:pStyle w:val="Source"/>
            </w:pPr>
            <w:bookmarkStart w:id="2" w:name="dsource" w:colFirst="0" w:colLast="0"/>
            <w:r w:rsidRPr="00B332E7">
              <w:t>Propuestas Comunes de los Estados Árabes</w:t>
            </w:r>
          </w:p>
        </w:tc>
      </w:tr>
      <w:tr w:rsidR="000A5B9A" w:rsidRPr="00B332E7" w:rsidTr="009C7F77">
        <w:trPr>
          <w:cantSplit/>
        </w:trPr>
        <w:tc>
          <w:tcPr>
            <w:tcW w:w="10206" w:type="dxa"/>
            <w:gridSpan w:val="2"/>
          </w:tcPr>
          <w:p w:rsidR="000A5B9A" w:rsidRPr="00B332E7" w:rsidRDefault="007F5DA9" w:rsidP="000A5B9A">
            <w:pPr>
              <w:pStyle w:val="Title1"/>
            </w:pPr>
            <w:bookmarkStart w:id="3" w:name="dtitle1" w:colFirst="0" w:colLast="0"/>
            <w:bookmarkEnd w:id="2"/>
            <w:r w:rsidRPr="00B332E7">
              <w:t>propuestas para los trabajos de la conferencia</w:t>
            </w:r>
          </w:p>
        </w:tc>
      </w:tr>
      <w:tr w:rsidR="000A5B9A" w:rsidRPr="00B332E7" w:rsidTr="009C7F77">
        <w:trPr>
          <w:cantSplit/>
        </w:trPr>
        <w:tc>
          <w:tcPr>
            <w:tcW w:w="10206" w:type="dxa"/>
            <w:gridSpan w:val="2"/>
          </w:tcPr>
          <w:p w:rsidR="000A5B9A" w:rsidRPr="00B332E7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B332E7" w:rsidTr="009C7F77">
        <w:trPr>
          <w:cantSplit/>
        </w:trPr>
        <w:tc>
          <w:tcPr>
            <w:tcW w:w="10206" w:type="dxa"/>
            <w:gridSpan w:val="2"/>
          </w:tcPr>
          <w:p w:rsidR="000A5B9A" w:rsidRPr="00B332E7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B332E7">
              <w:t>Punto 1.14 del orden del día</w:t>
            </w:r>
          </w:p>
        </w:tc>
      </w:tr>
    </w:tbl>
    <w:bookmarkEnd w:id="5"/>
    <w:p w:rsidR="001C0E40" w:rsidRPr="00B332E7" w:rsidRDefault="003359B3" w:rsidP="006C570E">
      <w:r w:rsidRPr="00B332E7">
        <w:t>1.14</w:t>
      </w:r>
      <w:r w:rsidRPr="00B332E7">
        <w:tab/>
        <w:t xml:space="preserve">considerar la posibilidad de establecer una escala de tiempo de referencia continua, ya sea a través de la modificación del tiempo universal coordinado (UTC) o mediante cualquier otro método y adoptar las medidas oportunas a ese fin de conformidad con la Resolución </w:t>
      </w:r>
      <w:r w:rsidRPr="00B332E7">
        <w:rPr>
          <w:b/>
          <w:bCs/>
        </w:rPr>
        <w:t>653 (CMR</w:t>
      </w:r>
      <w:r w:rsidRPr="00B332E7">
        <w:rPr>
          <w:b/>
          <w:bCs/>
        </w:rPr>
        <w:noBreakHyphen/>
        <w:t>12)</w:t>
      </w:r>
      <w:r w:rsidRPr="00B332E7">
        <w:t>;</w:t>
      </w:r>
    </w:p>
    <w:p w:rsidR="007F5DA9" w:rsidRPr="00B332E7" w:rsidRDefault="007F5DA9" w:rsidP="006C570E"/>
    <w:p w:rsidR="002C5BF0" w:rsidRPr="00B332E7" w:rsidRDefault="007F5DA9" w:rsidP="002C5BF0">
      <w:pPr>
        <w:pStyle w:val="Headingb"/>
      </w:pPr>
      <w:r w:rsidRPr="00B332E7">
        <w:t>Introducción</w:t>
      </w:r>
    </w:p>
    <w:p w:rsidR="00D27054" w:rsidRPr="00B332E7" w:rsidRDefault="00D27054" w:rsidP="009C7F77">
      <w:r w:rsidRPr="00B332E7">
        <w:t xml:space="preserve">La Resolución </w:t>
      </w:r>
      <w:r w:rsidRPr="00B332E7">
        <w:rPr>
          <w:b/>
          <w:bCs/>
        </w:rPr>
        <w:t>653 (CMR-12)</w:t>
      </w:r>
      <w:r w:rsidRPr="00B332E7">
        <w:t xml:space="preserve"> invita al UIT-R a realizar los estudios necesarios sobre la posibilidad de establecer una escala de tiempo de referencia continua </w:t>
      </w:r>
      <w:r w:rsidRPr="00B332E7">
        <w:rPr>
          <w:color w:val="000000"/>
        </w:rPr>
        <w:t>para su difusión mediante sistemas de radiocomunicaciones y cuestiones relativas a la posible aplicación de una escala de tiempo de referencia continua (incluidos los factores técnicos y de funcionamiento)</w:t>
      </w:r>
      <w:r w:rsidRPr="00B332E7">
        <w:t>.</w:t>
      </w:r>
    </w:p>
    <w:p w:rsidR="002C5BF0" w:rsidRPr="00B332E7" w:rsidRDefault="002C5BF0" w:rsidP="009144C9">
      <w:r w:rsidRPr="00B332E7">
        <w:t>Atendiendo a los resultados de los estudios del UIT-R, las administraciones de los Estados Árabes proponen</w:t>
      </w:r>
      <w:r w:rsidR="00B332E7">
        <w:t xml:space="preserve"> que no se introduzcan cambios en el Reglamento de Radiocomunicaciones y que se mantenga la definición actual de UTC, dado que los resultados de los estudios no son concluyentes. </w:t>
      </w:r>
    </w:p>
    <w:p w:rsidR="00D27054" w:rsidRPr="00B332E7" w:rsidRDefault="00B332E7" w:rsidP="00B332E7">
      <w:r>
        <w:t>La aplicación de esta propuesta garantiza el funcionamiento de</w:t>
      </w:r>
      <w:r w:rsidR="00D27054" w:rsidRPr="00B332E7">
        <w:t xml:space="preserve"> los equipos existentes sin necesidad de actualizaciones ni sustituciones, incluidos los equipos no empleados para radiocomunicaciones tales como los de navegación astronómica.</w:t>
      </w:r>
      <w:r>
        <w:t xml:space="preserve"> Además, no se requiere ningún cambio en los documentos técnicos para los equipos que utilizan UTC. </w:t>
      </w:r>
    </w:p>
    <w:p w:rsidR="002C5BF0" w:rsidRPr="00B332E7" w:rsidRDefault="00D27054" w:rsidP="00B332E7">
      <w:pPr>
        <w:pStyle w:val="Headingb"/>
      </w:pPr>
      <w:r w:rsidRPr="00B332E7">
        <w:t>Prop</w:t>
      </w:r>
      <w:r w:rsidR="00B332E7">
        <w:t>uesta</w:t>
      </w:r>
      <w:r w:rsidRPr="00B332E7">
        <w:t>s</w:t>
      </w:r>
    </w:p>
    <w:p w:rsidR="002C5BF0" w:rsidRPr="00B332E7" w:rsidRDefault="002C5BF0" w:rsidP="009144C9"/>
    <w:p w:rsidR="008750A8" w:rsidRPr="00B332E7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B332E7">
        <w:br w:type="page"/>
      </w:r>
    </w:p>
    <w:p w:rsidR="009A3581" w:rsidRPr="00B332E7" w:rsidRDefault="003359B3">
      <w:pPr>
        <w:pStyle w:val="Proposal"/>
      </w:pPr>
      <w:r w:rsidRPr="00B332E7">
        <w:rPr>
          <w:u w:val="single"/>
        </w:rPr>
        <w:lastRenderedPageBreak/>
        <w:t>NOC</w:t>
      </w:r>
      <w:r w:rsidRPr="00B332E7">
        <w:tab/>
        <w:t>ARB/25A14/1</w:t>
      </w:r>
    </w:p>
    <w:p w:rsidR="009A3581" w:rsidRPr="00B70366" w:rsidRDefault="00B332E7" w:rsidP="00B70366">
      <w:pPr>
        <w:jc w:val="center"/>
        <w:rPr>
          <w:b/>
          <w:bCs/>
        </w:rPr>
      </w:pPr>
      <w:r w:rsidRPr="00B70366">
        <w:rPr>
          <w:b/>
          <w:bCs/>
        </w:rPr>
        <w:t xml:space="preserve">REGLAMENTO DE RADIOCOMUNICACIONES </w:t>
      </w:r>
    </w:p>
    <w:p w:rsidR="009A3581" w:rsidRPr="00B332E7" w:rsidRDefault="009A3581">
      <w:pPr>
        <w:pStyle w:val="Reasons"/>
      </w:pPr>
    </w:p>
    <w:p w:rsidR="009A3581" w:rsidRPr="00B332E7" w:rsidRDefault="003359B3">
      <w:pPr>
        <w:pStyle w:val="Proposal"/>
      </w:pPr>
      <w:r w:rsidRPr="00B332E7">
        <w:t>SUP</w:t>
      </w:r>
      <w:r w:rsidRPr="00B332E7">
        <w:tab/>
        <w:t>ARB/25A14/2</w:t>
      </w:r>
    </w:p>
    <w:p w:rsidR="001B5C7C" w:rsidRPr="00B332E7" w:rsidRDefault="003359B3" w:rsidP="001B5C7C">
      <w:pPr>
        <w:pStyle w:val="ResNo"/>
      </w:pPr>
      <w:bookmarkStart w:id="6" w:name="_Toc328141446"/>
      <w:r w:rsidRPr="00B332E7">
        <w:t xml:space="preserve">RESOLUCIÓN </w:t>
      </w:r>
      <w:r w:rsidRPr="00B332E7">
        <w:rPr>
          <w:rStyle w:val="href"/>
        </w:rPr>
        <w:t>653</w:t>
      </w:r>
      <w:r w:rsidRPr="00B332E7">
        <w:t xml:space="preserve"> (CMR</w:t>
      </w:r>
      <w:r w:rsidRPr="00B332E7">
        <w:noBreakHyphen/>
        <w:t>12)</w:t>
      </w:r>
      <w:bookmarkEnd w:id="6"/>
    </w:p>
    <w:p w:rsidR="001B5C7C" w:rsidRPr="00B332E7" w:rsidRDefault="003359B3" w:rsidP="001B5C7C">
      <w:pPr>
        <w:pStyle w:val="Restitle"/>
      </w:pPr>
      <w:bookmarkStart w:id="7" w:name="_Toc328141447"/>
      <w:r w:rsidRPr="00B332E7">
        <w:t>El futuro de la escala de Tiempo Universal Coordinado</w:t>
      </w:r>
      <w:bookmarkEnd w:id="7"/>
    </w:p>
    <w:p w:rsidR="004336D7" w:rsidRPr="00B332E7" w:rsidRDefault="004336D7" w:rsidP="0032202E">
      <w:pPr>
        <w:pStyle w:val="Reasons"/>
      </w:pPr>
      <w:bookmarkStart w:id="8" w:name="_GoBack"/>
      <w:bookmarkEnd w:id="8"/>
    </w:p>
    <w:p w:rsidR="004336D7" w:rsidRPr="00B332E7" w:rsidRDefault="004336D7">
      <w:pPr>
        <w:jc w:val="center"/>
      </w:pPr>
      <w:r w:rsidRPr="00B332E7">
        <w:t>______________</w:t>
      </w:r>
    </w:p>
    <w:sectPr w:rsidR="004336D7" w:rsidRPr="00B332E7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11682">
      <w:rPr>
        <w:noProof/>
      </w:rPr>
      <w:t>23.10.15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9DA" w:rsidRDefault="009509DA" w:rsidP="009509DA">
    <w:pPr>
      <w:pStyle w:val="Footer"/>
    </w:pPr>
    <w:r>
      <w:rPr>
        <w:noProof w:val="0"/>
        <w:sz w:val="24"/>
      </w:rPr>
      <w:fldChar w:fldCharType="begin"/>
    </w:r>
    <w:r>
      <w:instrText xml:space="preserve"> FILENAME \p  \* MERGEFORMAT </w:instrText>
    </w:r>
    <w:r>
      <w:rPr>
        <w:noProof w:val="0"/>
        <w:sz w:val="24"/>
      </w:rPr>
      <w:fldChar w:fldCharType="separate"/>
    </w:r>
    <w:r>
      <w:t>P:\ESP\ITU-R\CONF-R\CMR15\000\025ADD14S.docx</w:t>
    </w:r>
    <w:r>
      <w:fldChar w:fldCharType="end"/>
    </w:r>
    <w:r>
      <w:t xml:space="preserve"> (386866)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>
      <w:t>25.10.15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19.02.03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9DA" w:rsidRDefault="009509DA">
    <w:pPr>
      <w:pStyle w:val="Footer"/>
    </w:pPr>
    <w:fldSimple w:instr=" FILENAME \p  \* MERGEFORMAT ">
      <w:r>
        <w:t>P:\ESP\ITU-R\CONF-R\CMR15\000\025ADD14S.docx</w:t>
      </w:r>
    </w:fldSimple>
    <w:r>
      <w:t xml:space="preserve"> (386866)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>
      <w:t>25.10.15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19.02.03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70366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25(Add.14)-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967B4"/>
    <w:rsid w:val="002A791F"/>
    <w:rsid w:val="002C1B26"/>
    <w:rsid w:val="002C5BF0"/>
    <w:rsid w:val="002C5D6C"/>
    <w:rsid w:val="002E701F"/>
    <w:rsid w:val="003248A9"/>
    <w:rsid w:val="00324FFA"/>
    <w:rsid w:val="0032680B"/>
    <w:rsid w:val="003359B3"/>
    <w:rsid w:val="00363A65"/>
    <w:rsid w:val="003B1E8C"/>
    <w:rsid w:val="003C2508"/>
    <w:rsid w:val="003D0AA3"/>
    <w:rsid w:val="00411682"/>
    <w:rsid w:val="004336D7"/>
    <w:rsid w:val="00440B3A"/>
    <w:rsid w:val="0045384C"/>
    <w:rsid w:val="00454553"/>
    <w:rsid w:val="004B124A"/>
    <w:rsid w:val="005133B5"/>
    <w:rsid w:val="00532097"/>
    <w:rsid w:val="0058350F"/>
    <w:rsid w:val="00583C7E"/>
    <w:rsid w:val="005D46FB"/>
    <w:rsid w:val="005F2605"/>
    <w:rsid w:val="005F3B0E"/>
    <w:rsid w:val="005F559C"/>
    <w:rsid w:val="00661B45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7F5DA9"/>
    <w:rsid w:val="00807576"/>
    <w:rsid w:val="00866AE6"/>
    <w:rsid w:val="008750A8"/>
    <w:rsid w:val="008E5AF2"/>
    <w:rsid w:val="0090121B"/>
    <w:rsid w:val="009144C9"/>
    <w:rsid w:val="0094091F"/>
    <w:rsid w:val="009509DA"/>
    <w:rsid w:val="00973754"/>
    <w:rsid w:val="009A3581"/>
    <w:rsid w:val="009C0BED"/>
    <w:rsid w:val="009C7F77"/>
    <w:rsid w:val="009D5C19"/>
    <w:rsid w:val="009E11EC"/>
    <w:rsid w:val="00A118DB"/>
    <w:rsid w:val="00A366A0"/>
    <w:rsid w:val="00A4450C"/>
    <w:rsid w:val="00AA5E6C"/>
    <w:rsid w:val="00AE5677"/>
    <w:rsid w:val="00AE658F"/>
    <w:rsid w:val="00AF2F78"/>
    <w:rsid w:val="00B239FA"/>
    <w:rsid w:val="00B332E7"/>
    <w:rsid w:val="00B52D55"/>
    <w:rsid w:val="00B70366"/>
    <w:rsid w:val="00B8288C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D0288A"/>
    <w:rsid w:val="00D27054"/>
    <w:rsid w:val="00D72A5D"/>
    <w:rsid w:val="00DC629B"/>
    <w:rsid w:val="00E05BFF"/>
    <w:rsid w:val="00E262F1"/>
    <w:rsid w:val="00E3176A"/>
    <w:rsid w:val="00E54754"/>
    <w:rsid w:val="00E56BD3"/>
    <w:rsid w:val="00E71D14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CE5340C7-2116-4B07-841D-46C21202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DD5F56"/>
  </w:style>
  <w:style w:type="character" w:customStyle="1" w:styleId="apple-converted-space">
    <w:name w:val="apple-converted-space"/>
    <w:basedOn w:val="DefaultParagraphFont"/>
    <w:rsid w:val="002C5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R15-WRC15-C-0025!A14!MSW-S</DPM_x0020_File_x0020_name>
    <DPM_x0020_Author xmlns="32a1a8c5-2265-4ebc-b7a0-2071e2c5c9bb" xsi:nil="false">Documents Proposals Manager (DPM)</DPM_x0020_Author>
    <DPM_x0020_Version xmlns="32a1a8c5-2265-4ebc-b7a0-2071e2c5c9bb" xsi:nil="false">DPM_v5.2015.10.220_prod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C07A1-75D9-4B8E-AE6A-D39165E4BD3E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32a1a8c5-2265-4ebc-b7a0-2071e2c5c9bb"/>
    <ds:schemaRef ds:uri="996b2e75-67fd-4955-a3b0-5ab9934cb50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02913E2-33EC-4B0A-B555-C656F521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260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R15-WRC15-C-0025!A14!MSW-S</vt:lpstr>
    </vt:vector>
  </TitlesOfParts>
  <Manager>Secretaría General - Pool</Manager>
  <Company>Unión Internacional de Telecomunicaciones (UIT)</Company>
  <LinksUpToDate>false</LinksUpToDate>
  <CharactersWithSpaces>1814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R15-WRC15-C-0025!A14!MSW-S</dc:title>
  <dc:subject>Conferencia Mundial de Radiocomunicaciones - 2015</dc:subject>
  <dc:creator>Documents Proposals Manager (DPM)</dc:creator>
  <cp:keywords>DPM_v5.2015.10.220_prod</cp:keywords>
  <dc:description/>
  <cp:lastModifiedBy>Spanish</cp:lastModifiedBy>
  <cp:revision>6</cp:revision>
  <cp:lastPrinted>2003-02-19T20:20:00Z</cp:lastPrinted>
  <dcterms:created xsi:type="dcterms:W3CDTF">2015-10-25T15:33:00Z</dcterms:created>
  <dcterms:modified xsi:type="dcterms:W3CDTF">2015-10-25T15:37:00Z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