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12 au</w:t>
            </w:r>
            <w:r>
              <w:rPr>
                <w:rFonts w:ascii="Verdana" w:eastAsia="SimSun" w:hAnsi="Verdana" w:cs="Traditional Arabic"/>
                <w:b/>
                <w:sz w:val="20"/>
                <w:lang w:val="en-US"/>
              </w:rPr>
              <w:br/>
              <w:t>Document 25</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10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arabe</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637281" w:rsidRDefault="00690C7B" w:rsidP="00690C7B">
            <w:pPr>
              <w:pStyle w:val="Source"/>
              <w:rPr>
                <w:lang w:val="fr-CH"/>
              </w:rPr>
            </w:pPr>
            <w:bookmarkStart w:id="2" w:name="dsource" w:colFirst="0" w:colLast="0"/>
            <w:r w:rsidRPr="00637281">
              <w:rPr>
                <w:lang w:val="fr-CH"/>
              </w:rPr>
              <w:t>Propositions communes des Etats arabes</w:t>
            </w:r>
          </w:p>
        </w:tc>
      </w:tr>
      <w:tr w:rsidR="00690C7B" w:rsidRPr="002A6F8F" w:rsidTr="0050008E">
        <w:trPr>
          <w:cantSplit/>
        </w:trPr>
        <w:tc>
          <w:tcPr>
            <w:tcW w:w="10031" w:type="dxa"/>
            <w:gridSpan w:val="2"/>
          </w:tcPr>
          <w:p w:rsidR="00690C7B" w:rsidRPr="00637281" w:rsidRDefault="00690C7B" w:rsidP="00690C7B">
            <w:pPr>
              <w:pStyle w:val="Title1"/>
              <w:rPr>
                <w:lang w:val="fr-CH"/>
              </w:rPr>
            </w:pPr>
            <w:bookmarkStart w:id="3" w:name="dtitle1" w:colFirst="0" w:colLast="0"/>
            <w:bookmarkEnd w:id="2"/>
            <w:r w:rsidRPr="00637281">
              <w:rPr>
                <w:lang w:val="fr-CH"/>
              </w:rPr>
              <w:t>Propositions pour les travaux de la conférence</w:t>
            </w:r>
          </w:p>
        </w:tc>
      </w:tr>
      <w:tr w:rsidR="00690C7B" w:rsidRPr="002A6F8F" w:rsidTr="0050008E">
        <w:trPr>
          <w:cantSplit/>
        </w:trPr>
        <w:tc>
          <w:tcPr>
            <w:tcW w:w="10031" w:type="dxa"/>
            <w:gridSpan w:val="2"/>
          </w:tcPr>
          <w:p w:rsidR="00690C7B" w:rsidRPr="00637281"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1.12 de l'ordre du jour</w:t>
            </w:r>
          </w:p>
        </w:tc>
      </w:tr>
    </w:tbl>
    <w:bookmarkEnd w:id="5"/>
    <w:p w:rsidR="001C0E40" w:rsidRPr="0000346D" w:rsidRDefault="002619E9" w:rsidP="00C554F5">
      <w:pPr>
        <w:rPr>
          <w:lang w:val="fr-CA"/>
        </w:rPr>
      </w:pPr>
      <w:r w:rsidRPr="00C554F5">
        <w:rPr>
          <w:lang w:val="fr-CA"/>
        </w:rPr>
        <w:t>1.12</w:t>
      </w:r>
      <w:r w:rsidRPr="00C554F5">
        <w:rPr>
          <w:lang w:val="fr-CA"/>
        </w:rPr>
        <w:tab/>
      </w:r>
      <w:r w:rsidRPr="0000346D">
        <w:rPr>
          <w:lang w:val="fr-CA"/>
        </w:rPr>
        <w:t>envisager une extension de l'attribution à l'échelle mondiale dont bénéficie actuellement le service d'exploration de la Terre par satellite (active) dans la bande de fréquences 9 300-9 900 MHz, de 600 MHz au plus, dans les bandes de fréquences 8 700</w:t>
      </w:r>
      <w:r w:rsidRPr="0000346D">
        <w:rPr>
          <w:lang w:val="fr-CA"/>
        </w:rPr>
        <w:noBreakHyphen/>
        <w:t xml:space="preserve">9 300 MHz et/ou 9 900-10 500 MHz, conformément à la Résolution </w:t>
      </w:r>
      <w:r w:rsidRPr="0000346D">
        <w:rPr>
          <w:b/>
          <w:bCs/>
          <w:lang w:val="fr-CA"/>
        </w:rPr>
        <w:t>651 (CMR</w:t>
      </w:r>
      <w:r w:rsidRPr="0000346D">
        <w:rPr>
          <w:b/>
          <w:bCs/>
          <w:lang w:val="fr-CA"/>
        </w:rPr>
        <w:noBreakHyphen/>
        <w:t>12)</w:t>
      </w:r>
      <w:r w:rsidRPr="0000346D">
        <w:rPr>
          <w:lang w:val="fr-CA"/>
        </w:rPr>
        <w:t>;</w:t>
      </w:r>
    </w:p>
    <w:p w:rsidR="00637281" w:rsidRPr="0000346D" w:rsidRDefault="00637281" w:rsidP="00637281">
      <w:pPr>
        <w:pStyle w:val="Headingb"/>
        <w:rPr>
          <w:lang w:val="fr-CA"/>
        </w:rPr>
      </w:pPr>
      <w:r w:rsidRPr="0000346D">
        <w:rPr>
          <w:lang w:val="fr-CA"/>
        </w:rPr>
        <w:t>Introduction</w:t>
      </w:r>
    </w:p>
    <w:p w:rsidR="0053793C" w:rsidRPr="0000346D" w:rsidRDefault="0053793C" w:rsidP="0053793C">
      <w:r w:rsidRPr="0000346D">
        <w:t xml:space="preserve">Par sa Résolution </w:t>
      </w:r>
      <w:r w:rsidRPr="0000346D">
        <w:rPr>
          <w:b/>
          <w:bCs/>
        </w:rPr>
        <w:t>651 (CMR-12)</w:t>
      </w:r>
      <w:r w:rsidRPr="0000346D">
        <w:t>, la CMR a invité l'UIT-R à effectuer et terminer des études de compatibilité sur le SETS (active) et les services existants dans les bandes de fréquences 8 700</w:t>
      </w:r>
      <w:r w:rsidRPr="0000346D">
        <w:noBreakHyphen/>
        <w:t>9 300 MHz et 9 900-10 500 MHz, et sur les rayonnements non désirés produits par les stations fonctionnant dans le SETS (active) dans ces bandes de fréquences en direction de stations fonctionnant dans les bandes de fréquences 8 400</w:t>
      </w:r>
      <w:r w:rsidRPr="0000346D">
        <w:noBreakHyphen/>
        <w:t>8 500 MHz et 10,6-10,7 GHz.</w:t>
      </w:r>
    </w:p>
    <w:p w:rsidR="00637281" w:rsidRPr="004169AA" w:rsidRDefault="00E57C2C" w:rsidP="004169AA">
      <w:r w:rsidRPr="0000346D">
        <w:t>Sur la base</w:t>
      </w:r>
      <w:r w:rsidR="004169AA" w:rsidRPr="0000346D">
        <w:t xml:space="preserve"> des résultats des études menées par l</w:t>
      </w:r>
      <w:r w:rsidR="008F2244">
        <w:t>'</w:t>
      </w:r>
      <w:r w:rsidR="004169AA" w:rsidRPr="0000346D">
        <w:t>UIT-R, les signataires proposent de ne pas</w:t>
      </w:r>
      <w:r w:rsidR="004169AA">
        <w:t xml:space="preserve"> modifier le Règlement des radiocommunications</w:t>
      </w:r>
      <w:r>
        <w:t>.</w:t>
      </w:r>
    </w:p>
    <w:p w:rsidR="00637281" w:rsidRPr="00637281" w:rsidRDefault="00637281" w:rsidP="00637281">
      <w:pPr>
        <w:pStyle w:val="Headingb"/>
        <w:rPr>
          <w:lang w:val="fr-CA"/>
        </w:rPr>
      </w:pPr>
      <w:r>
        <w:rPr>
          <w:lang w:val="fr-CA"/>
        </w:rPr>
        <w:t>Propositions</w:t>
      </w:r>
    </w:p>
    <w:p w:rsidR="003A583E" w:rsidRDefault="003A583E" w:rsidP="00786598"/>
    <w:p w:rsidR="0015203F" w:rsidRDefault="0015203F">
      <w:pPr>
        <w:tabs>
          <w:tab w:val="clear" w:pos="1134"/>
          <w:tab w:val="clear" w:pos="1871"/>
          <w:tab w:val="clear" w:pos="2268"/>
        </w:tabs>
        <w:overflowPunct/>
        <w:autoSpaceDE/>
        <w:autoSpaceDN/>
        <w:adjustRightInd/>
        <w:spacing w:before="0"/>
        <w:textAlignment w:val="auto"/>
      </w:pPr>
      <w:r>
        <w:br w:type="page"/>
      </w:r>
    </w:p>
    <w:p w:rsidR="006D5CF6" w:rsidRDefault="002619E9" w:rsidP="000D6B77">
      <w:pPr>
        <w:pStyle w:val="Proposal"/>
      </w:pPr>
      <w:r>
        <w:rPr>
          <w:u w:val="single"/>
        </w:rPr>
        <w:lastRenderedPageBreak/>
        <w:t>NOC</w:t>
      </w:r>
      <w:r>
        <w:tab/>
        <w:t>ARB/25A12/1</w:t>
      </w:r>
    </w:p>
    <w:p w:rsidR="0015203F" w:rsidRPr="008F2244" w:rsidRDefault="0053793C" w:rsidP="00474E6E">
      <w:pPr>
        <w:pStyle w:val="Volumetitle"/>
      </w:pPr>
      <w:r w:rsidRPr="008F2244">
        <w:t>R</w:t>
      </w:r>
      <w:r w:rsidR="00474E6E">
        <w:t>è</w:t>
      </w:r>
      <w:r w:rsidRPr="008F2244">
        <w:t>GLEMENT DES RADIOCOMM</w:t>
      </w:r>
      <w:bookmarkStart w:id="6" w:name="_GoBack"/>
      <w:bookmarkEnd w:id="6"/>
      <w:r w:rsidRPr="008F2244">
        <w:t>UNICATIONS</w:t>
      </w:r>
    </w:p>
    <w:p w:rsidR="006D5CF6" w:rsidRDefault="006D5CF6" w:rsidP="000D6B77">
      <w:pPr>
        <w:pStyle w:val="Reasons"/>
      </w:pPr>
    </w:p>
    <w:p w:rsidR="006D5CF6" w:rsidRDefault="002619E9" w:rsidP="000D6B77">
      <w:pPr>
        <w:pStyle w:val="Proposal"/>
      </w:pPr>
      <w:r>
        <w:t>SUP</w:t>
      </w:r>
      <w:r>
        <w:tab/>
        <w:t>ARB/25A12/2</w:t>
      </w:r>
    </w:p>
    <w:p w:rsidR="00DD4258" w:rsidRPr="00932C66" w:rsidRDefault="002619E9" w:rsidP="000D6B77">
      <w:pPr>
        <w:pStyle w:val="ResNo"/>
      </w:pPr>
      <w:r>
        <w:t xml:space="preserve">RÉSOLUTION </w:t>
      </w:r>
      <w:r w:rsidRPr="00B1433C">
        <w:rPr>
          <w:rStyle w:val="href"/>
        </w:rPr>
        <w:t>651</w:t>
      </w:r>
      <w:r w:rsidRPr="00932C66">
        <w:t xml:space="preserve"> (CMR</w:t>
      </w:r>
      <w:r w:rsidRPr="00932C66">
        <w:noBreakHyphen/>
        <w:t>12)</w:t>
      </w:r>
    </w:p>
    <w:p w:rsidR="00DD4258" w:rsidRPr="00932C66" w:rsidRDefault="002619E9" w:rsidP="000D6B77">
      <w:pPr>
        <w:pStyle w:val="Restitle"/>
      </w:pPr>
      <w:r w:rsidRPr="009C7CEE">
        <w:t>Extension possible de l'attribution mondiale dont bénéficie actuellement le service d'exploration de la Terre par satellite (active) dans la bande de fréquences 9 300-9 900 MHz de 600 MHz au plus dans les bandes</w:t>
      </w:r>
      <w:r w:rsidRPr="009C7CEE">
        <w:br/>
        <w:t xml:space="preserve">de fréquences 8 700-9 300 MHz et/ou 9 900-10 500 MHz </w:t>
      </w:r>
    </w:p>
    <w:p w:rsidR="00245F8B" w:rsidRDefault="002619E9" w:rsidP="00245F8B">
      <w:pPr>
        <w:pStyle w:val="Reasons"/>
      </w:pPr>
      <w:r>
        <w:rPr>
          <w:b/>
        </w:rPr>
        <w:t>Motifs:</w:t>
      </w:r>
    </w:p>
    <w:p w:rsidR="00AC5F63" w:rsidRDefault="00AC5F63" w:rsidP="000044A1">
      <w:pPr>
        <w:pStyle w:val="Reasons"/>
        <w:ind w:left="1134" w:hanging="1134"/>
      </w:pPr>
      <w:r>
        <w:t>–</w:t>
      </w:r>
      <w:r>
        <w:tab/>
      </w:r>
      <w:r w:rsidR="004169AA">
        <w:t>L</w:t>
      </w:r>
      <w:r w:rsidR="008F2244">
        <w:t>'</w:t>
      </w:r>
      <w:r w:rsidR="004169AA">
        <w:t>utilisation intensive de certains services de radiocommunication dans les bandes de fréquences des 9-10 GHz, qui doivent être</w:t>
      </w:r>
      <w:r w:rsidR="00E57C2C">
        <w:t xml:space="preserve"> protégé</w:t>
      </w:r>
      <w:r w:rsidR="004169AA">
        <w:t xml:space="preserve">s et ne devraient pas </w:t>
      </w:r>
      <w:r w:rsidR="00E57C2C">
        <w:t>être affecté</w:t>
      </w:r>
      <w:r w:rsidR="004169AA">
        <w:t xml:space="preserve">s, en raison de la sensibilité de leur utilisation par les </w:t>
      </w:r>
      <w:r w:rsidR="000044A1">
        <w:t>E</w:t>
      </w:r>
      <w:r w:rsidR="006B64C4">
        <w:t>tats signataires du présent</w:t>
      </w:r>
      <w:r w:rsidR="004169AA">
        <w:t xml:space="preserve"> document.</w:t>
      </w:r>
    </w:p>
    <w:p w:rsidR="00AC5F63" w:rsidRDefault="00AC5F63" w:rsidP="00AC5F63">
      <w:pPr>
        <w:pStyle w:val="Reasons"/>
        <w:ind w:left="1134" w:hanging="1134"/>
      </w:pPr>
      <w:r>
        <w:t>–</w:t>
      </w:r>
      <w:r>
        <w:tab/>
      </w:r>
      <w:r w:rsidR="004169AA">
        <w:t>Les a</w:t>
      </w:r>
      <w:r w:rsidR="006B64C4">
        <w:t>dministrations signataires du présent</w:t>
      </w:r>
      <w:r w:rsidR="004169AA">
        <w:t xml:space="preserve"> document s</w:t>
      </w:r>
      <w:r w:rsidR="008F2244">
        <w:t>'</w:t>
      </w:r>
      <w:r w:rsidR="004169AA">
        <w:t xml:space="preserve">inquiètent du fait que les </w:t>
      </w:r>
      <w:r w:rsidR="00231D1D">
        <w:t>valeurs indiquées</w:t>
      </w:r>
      <w:r w:rsidR="007A360F">
        <w:t xml:space="preserve"> </w:t>
      </w:r>
      <w:r w:rsidR="004169AA">
        <w:t>de puissance surfacique</w:t>
      </w:r>
      <w:r w:rsidR="00231D1D">
        <w:t xml:space="preserve"> produites</w:t>
      </w:r>
      <w:r w:rsidR="004169AA">
        <w:t xml:space="preserve"> par </w:t>
      </w:r>
      <w:r w:rsidR="00231D1D">
        <w:t>les</w:t>
      </w:r>
      <w:r w:rsidR="00C94F72">
        <w:t xml:space="preserve"> station</w:t>
      </w:r>
      <w:r w:rsidR="00231D1D">
        <w:t>s</w:t>
      </w:r>
      <w:r w:rsidR="00C94F72">
        <w:t xml:space="preserve"> spatiale</w:t>
      </w:r>
      <w:r w:rsidR="00231D1D">
        <w:t>s</w:t>
      </w:r>
      <w:r w:rsidR="00C94F72">
        <w:t xml:space="preserve"> du SETS (active) </w:t>
      </w:r>
      <w:r w:rsidR="00231D1D">
        <w:t xml:space="preserve">ne permettront pas de </w:t>
      </w:r>
      <w:r w:rsidR="00C94F72">
        <w:t>protéger les services fixes exploités dans cette bande de manière intensive. Ces administrations estiment en outre qu</w:t>
      </w:r>
      <w:r w:rsidR="008F2244">
        <w:t>'</w:t>
      </w:r>
      <w:r w:rsidR="00C94F72">
        <w:t>au vu des caractéristiques géographiques des pays concernés, l</w:t>
      </w:r>
      <w:r w:rsidR="008F2244">
        <w:t>'</w:t>
      </w:r>
      <w:r w:rsidR="00C94F72">
        <w:t>angle d</w:t>
      </w:r>
      <w:r w:rsidR="008F2244">
        <w:t>'</w:t>
      </w:r>
      <w:r w:rsidR="00C94F72">
        <w:t>élévation des antennes des stations du service fixe dans certains emplacements sera élevé,</w:t>
      </w:r>
      <w:r w:rsidR="0034094A">
        <w:t xml:space="preserve"> et le SETS risquerait donc</w:t>
      </w:r>
      <w:r w:rsidR="00C94F72">
        <w:t xml:space="preserve"> de causer des </w:t>
      </w:r>
      <w:r w:rsidR="000D6B77">
        <w:t>rayonnements</w:t>
      </w:r>
      <w:r w:rsidR="00C94F72">
        <w:t xml:space="preserve"> non désirés et </w:t>
      </w:r>
      <w:r w:rsidR="000D6B77">
        <w:t xml:space="preserve">des brouillages </w:t>
      </w:r>
      <w:r w:rsidR="00C94F72">
        <w:t xml:space="preserve">préjudiciables </w:t>
      </w:r>
      <w:r w:rsidR="0034094A">
        <w:t>étant donné la sensibilité d</w:t>
      </w:r>
      <w:r w:rsidR="00C94F72">
        <w:t>es liaisons</w:t>
      </w:r>
      <w:r w:rsidR="0034094A">
        <w:t xml:space="preserve"> concernées</w:t>
      </w:r>
      <w:r w:rsidR="00C94F72">
        <w:t>.</w:t>
      </w:r>
    </w:p>
    <w:p w:rsidR="00AC5F63" w:rsidRDefault="00AC5F63" w:rsidP="00AC5F63">
      <w:pPr>
        <w:pStyle w:val="Reasons"/>
        <w:ind w:left="1134" w:hanging="1134"/>
      </w:pPr>
      <w:r>
        <w:t>–</w:t>
      </w:r>
      <w:r>
        <w:tab/>
      </w:r>
      <w:r w:rsidR="00C94F72">
        <w:t>Les a</w:t>
      </w:r>
      <w:r w:rsidR="006B64C4">
        <w:t>dministrations signataires du présent</w:t>
      </w:r>
      <w:r w:rsidR="00C94F72">
        <w:t xml:space="preserve"> document estiment que les études </w:t>
      </w:r>
      <w:r w:rsidR="006B64C4">
        <w:t>relatives à</w:t>
      </w:r>
      <w:r w:rsidR="00C94F72">
        <w:t xml:space="preserve"> </w:t>
      </w:r>
      <w:r w:rsidR="006B64C4">
        <w:t>l</w:t>
      </w:r>
      <w:r w:rsidR="008F2244">
        <w:t>'</w:t>
      </w:r>
      <w:r w:rsidR="006B64C4">
        <w:t>incidence</w:t>
      </w:r>
      <w:r w:rsidR="00C94F72">
        <w:t xml:space="preserve"> du service d</w:t>
      </w:r>
      <w:r w:rsidR="008F2244">
        <w:t>'</w:t>
      </w:r>
      <w:r w:rsidR="00C94F72">
        <w:t>exploration de la Terre par satellite sur les systèmes exploités dans le cadre du service mobile sont in</w:t>
      </w:r>
      <w:r w:rsidR="000D6B77">
        <w:t>suffisantes</w:t>
      </w:r>
      <w:r w:rsidR="00C94F72">
        <w:t xml:space="preserve">. En outre, </w:t>
      </w:r>
      <w:r w:rsidR="006B64C4">
        <w:t>l</w:t>
      </w:r>
      <w:r w:rsidR="008F2244">
        <w:t>'</w:t>
      </w:r>
      <w:r w:rsidR="006B64C4">
        <w:t>extension de l</w:t>
      </w:r>
      <w:r w:rsidR="008F2244">
        <w:t>'</w:t>
      </w:r>
      <w:r w:rsidR="006B64C4">
        <w:t>attribution au SETS</w:t>
      </w:r>
      <w:r w:rsidR="00C94F72">
        <w:t xml:space="preserve"> pourrait </w:t>
      </w:r>
      <w:r w:rsidR="006B64C4">
        <w:t>avoir des répercussions sur</w:t>
      </w:r>
      <w:r w:rsidR="00C94F72">
        <w:t xml:space="preserve"> les utilisation</w:t>
      </w:r>
      <w:r w:rsidR="00870B2E">
        <w:t>s</w:t>
      </w:r>
      <w:r w:rsidR="00C94F72">
        <w:t xml:space="preserve"> futures du service mobile dans cette bande de fréquences, en particulier si elle est identifiée pour les IMT.</w:t>
      </w:r>
    </w:p>
    <w:p w:rsidR="000D6B77" w:rsidRDefault="00AC5F63" w:rsidP="008F2244">
      <w:pPr>
        <w:pStyle w:val="Reasons"/>
        <w:ind w:left="1134" w:hanging="1134"/>
      </w:pPr>
      <w:r>
        <w:t>–</w:t>
      </w:r>
      <w:r>
        <w:tab/>
      </w:r>
      <w:r w:rsidR="00C94F72">
        <w:t>Les a</w:t>
      </w:r>
      <w:r w:rsidR="006B64C4">
        <w:t>dministrations signataires du présent</w:t>
      </w:r>
      <w:r w:rsidR="00C94F72">
        <w:t xml:space="preserve"> document </w:t>
      </w:r>
      <w:r w:rsidR="006B64C4">
        <w:t>sont d</w:t>
      </w:r>
      <w:r w:rsidR="008F2244">
        <w:t>'</w:t>
      </w:r>
      <w:r w:rsidR="006B64C4">
        <w:t>avis</w:t>
      </w:r>
      <w:r w:rsidR="00C94F72">
        <w:t xml:space="preserve"> que les études de l</w:t>
      </w:r>
      <w:r w:rsidR="008F2244">
        <w:t>'</w:t>
      </w:r>
      <w:r w:rsidR="00C94F72">
        <w:t>UIT</w:t>
      </w:r>
      <w:r w:rsidR="008F2244">
        <w:noBreakHyphen/>
      </w:r>
      <w:r w:rsidR="00C94F72">
        <w:t xml:space="preserve">R </w:t>
      </w:r>
      <w:r w:rsidR="006B64C4">
        <w:t>ont indiqué</w:t>
      </w:r>
      <w:r w:rsidR="00C94F72">
        <w:t xml:space="preserve"> que tous les radars de radiolocalisation pris en compte </w:t>
      </w:r>
      <w:r w:rsidR="006B64C4">
        <w:t>subiront</w:t>
      </w:r>
      <w:r w:rsidR="00C94F72">
        <w:t xml:space="preserve"> un certain niveau de brouillage causé par le SETS. Etant donné l</w:t>
      </w:r>
      <w:r w:rsidR="008F2244">
        <w:t>'</w:t>
      </w:r>
      <w:r w:rsidR="00C94F72">
        <w:t>intensité et la sensibilité de l</w:t>
      </w:r>
      <w:r w:rsidR="008F2244">
        <w:t>'</w:t>
      </w:r>
      <w:r w:rsidR="00C94F72">
        <w:t>utilisation de ces radars, les a</w:t>
      </w:r>
      <w:r w:rsidR="006B64C4">
        <w:t>dministrations signataires du présent</w:t>
      </w:r>
      <w:r w:rsidR="00C94F72">
        <w:t xml:space="preserve"> document ne souhaitent pas faire d</w:t>
      </w:r>
      <w:r w:rsidR="008F2244">
        <w:t>'</w:t>
      </w:r>
      <w:r w:rsidR="00C94F72">
        <w:t>attribution au SETS.</w:t>
      </w:r>
    </w:p>
    <w:p w:rsidR="00AC5F63" w:rsidRDefault="00AC5F63" w:rsidP="0032202E">
      <w:pPr>
        <w:pStyle w:val="Reasons"/>
      </w:pPr>
    </w:p>
    <w:p w:rsidR="00AC5F63" w:rsidRDefault="00AC5F63">
      <w:pPr>
        <w:jc w:val="center"/>
      </w:pPr>
      <w:r>
        <w:t>______________</w:t>
      </w:r>
    </w:p>
    <w:sectPr w:rsidR="00AC5F63">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0D5" w:rsidRDefault="005D10D5">
      <w:r>
        <w:separator/>
      </w:r>
    </w:p>
  </w:endnote>
  <w:endnote w:type="continuationSeparator" w:id="0">
    <w:p w:rsidR="005D10D5" w:rsidRDefault="005D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35065B">
      <w:rPr>
        <w:noProof/>
        <w:lang w:val="en-US"/>
      </w:rPr>
      <w:t>P:\FRA\ITU-R\CONF-R\CMR15\000\025ADD12F.docx</w:t>
    </w:r>
    <w:r>
      <w:fldChar w:fldCharType="end"/>
    </w:r>
    <w:r>
      <w:rPr>
        <w:lang w:val="en-US"/>
      </w:rPr>
      <w:tab/>
    </w:r>
    <w:r>
      <w:fldChar w:fldCharType="begin"/>
    </w:r>
    <w:r>
      <w:instrText xml:space="preserve"> SAVEDATE \@ DD.MM.YY </w:instrText>
    </w:r>
    <w:r>
      <w:fldChar w:fldCharType="separate"/>
    </w:r>
    <w:r w:rsidR="0035065B">
      <w:rPr>
        <w:noProof/>
      </w:rPr>
      <w:t>18.10.15</w:t>
    </w:r>
    <w:r>
      <w:fldChar w:fldCharType="end"/>
    </w:r>
    <w:r>
      <w:rPr>
        <w:lang w:val="en-US"/>
      </w:rPr>
      <w:tab/>
    </w:r>
    <w:r>
      <w:fldChar w:fldCharType="begin"/>
    </w:r>
    <w:r>
      <w:instrText xml:space="preserve"> PRINTDATE \@ DD.MM.YY </w:instrText>
    </w:r>
    <w:r>
      <w:fldChar w:fldCharType="separate"/>
    </w:r>
    <w:r w:rsidR="0035065B">
      <w:rPr>
        <w:noProof/>
      </w:rPr>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35065B">
      <w:rPr>
        <w:lang w:val="en-US"/>
      </w:rPr>
      <w:t>P:\FRA\ITU-R\CONF-R\CMR15\000\025ADD12F.docx</w:t>
    </w:r>
    <w:r>
      <w:fldChar w:fldCharType="end"/>
    </w:r>
    <w:r w:rsidR="00B76D80">
      <w:t xml:space="preserve"> (386864)</w:t>
    </w:r>
    <w:r>
      <w:rPr>
        <w:lang w:val="en-US"/>
      </w:rPr>
      <w:tab/>
    </w:r>
    <w:r>
      <w:fldChar w:fldCharType="begin"/>
    </w:r>
    <w:r>
      <w:instrText xml:space="preserve"> SAVEDATE \@ DD.MM.YY </w:instrText>
    </w:r>
    <w:r>
      <w:fldChar w:fldCharType="separate"/>
    </w:r>
    <w:r w:rsidR="0035065B">
      <w:t>18.10.15</w:t>
    </w:r>
    <w:r>
      <w:fldChar w:fldCharType="end"/>
    </w:r>
    <w:r>
      <w:rPr>
        <w:lang w:val="en-US"/>
      </w:rPr>
      <w:tab/>
    </w:r>
    <w:r>
      <w:fldChar w:fldCharType="begin"/>
    </w:r>
    <w:r>
      <w:instrText xml:space="preserve"> PRINTDATE \@ DD.MM.YY </w:instrText>
    </w:r>
    <w:r>
      <w:fldChar w:fldCharType="separate"/>
    </w:r>
    <w:r w:rsidR="0035065B">
      <w:t>18.10.15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35065B">
      <w:rPr>
        <w:lang w:val="en-US"/>
      </w:rPr>
      <w:t>P:\FRA\ITU-R\CONF-R\CMR15\000\025ADD12F.docx</w:t>
    </w:r>
    <w:r>
      <w:fldChar w:fldCharType="end"/>
    </w:r>
    <w:r w:rsidR="00B76D80">
      <w:t xml:space="preserve"> (386864)</w:t>
    </w:r>
    <w:r>
      <w:rPr>
        <w:lang w:val="en-US"/>
      </w:rPr>
      <w:tab/>
    </w:r>
    <w:r>
      <w:fldChar w:fldCharType="begin"/>
    </w:r>
    <w:r>
      <w:instrText xml:space="preserve"> SAVEDATE \@ DD.MM.YY </w:instrText>
    </w:r>
    <w:r>
      <w:fldChar w:fldCharType="separate"/>
    </w:r>
    <w:r w:rsidR="0035065B">
      <w:t>18.10.15</w:t>
    </w:r>
    <w:r>
      <w:fldChar w:fldCharType="end"/>
    </w:r>
    <w:r>
      <w:rPr>
        <w:lang w:val="en-US"/>
      </w:rPr>
      <w:tab/>
    </w:r>
    <w:r>
      <w:fldChar w:fldCharType="begin"/>
    </w:r>
    <w:r>
      <w:instrText xml:space="preserve"> PRINTDATE \@ DD.MM.YY </w:instrText>
    </w:r>
    <w:r>
      <w:fldChar w:fldCharType="separate"/>
    </w:r>
    <w:r w:rsidR="0035065B">
      <w:t>18.10.15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0D5" w:rsidRDefault="005D10D5">
      <w:r>
        <w:rPr>
          <w:b/>
        </w:rPr>
        <w:t>_______________</w:t>
      </w:r>
    </w:p>
  </w:footnote>
  <w:footnote w:type="continuationSeparator" w:id="0">
    <w:p w:rsidR="005D10D5" w:rsidRDefault="005D1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35065B">
      <w:rPr>
        <w:noProof/>
      </w:rPr>
      <w:t>2</w:t>
    </w:r>
    <w:r>
      <w:fldChar w:fldCharType="end"/>
    </w:r>
  </w:p>
  <w:p w:rsidR="004F1F8E" w:rsidRDefault="004F1F8E" w:rsidP="002C28A4">
    <w:pPr>
      <w:pStyle w:val="Header"/>
    </w:pPr>
    <w:r>
      <w:t>CMR1</w:t>
    </w:r>
    <w:r w:rsidR="002C28A4">
      <w:t>5</w:t>
    </w:r>
    <w:r>
      <w:t>/</w:t>
    </w:r>
    <w:r w:rsidR="006A4B45">
      <w:t>25(Add.12)-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0782135"/>
    <w:multiLevelType w:val="hybridMultilevel"/>
    <w:tmpl w:val="BBDA47B4"/>
    <w:lvl w:ilvl="0" w:tplc="C82CEA0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346D"/>
    <w:rsid w:val="000044A1"/>
    <w:rsid w:val="00007EC7"/>
    <w:rsid w:val="000107E9"/>
    <w:rsid w:val="00010B43"/>
    <w:rsid w:val="00016648"/>
    <w:rsid w:val="0003522F"/>
    <w:rsid w:val="00080E2C"/>
    <w:rsid w:val="000A4755"/>
    <w:rsid w:val="000B2E0C"/>
    <w:rsid w:val="000B3D0C"/>
    <w:rsid w:val="000D6B77"/>
    <w:rsid w:val="001167B9"/>
    <w:rsid w:val="001267A0"/>
    <w:rsid w:val="0015203F"/>
    <w:rsid w:val="00160C64"/>
    <w:rsid w:val="0018169B"/>
    <w:rsid w:val="0019352B"/>
    <w:rsid w:val="001960D0"/>
    <w:rsid w:val="001F17E8"/>
    <w:rsid w:val="00204306"/>
    <w:rsid w:val="00231D1D"/>
    <w:rsid w:val="00232FD2"/>
    <w:rsid w:val="00245F8B"/>
    <w:rsid w:val="002619E9"/>
    <w:rsid w:val="0026554E"/>
    <w:rsid w:val="002A4622"/>
    <w:rsid w:val="002A6F8F"/>
    <w:rsid w:val="002B17E5"/>
    <w:rsid w:val="002C0EBF"/>
    <w:rsid w:val="002C28A4"/>
    <w:rsid w:val="00315AFE"/>
    <w:rsid w:val="0034094A"/>
    <w:rsid w:val="0035065B"/>
    <w:rsid w:val="003606A6"/>
    <w:rsid w:val="0036650C"/>
    <w:rsid w:val="00393ACD"/>
    <w:rsid w:val="003A583E"/>
    <w:rsid w:val="003E112B"/>
    <w:rsid w:val="003E1D1C"/>
    <w:rsid w:val="003E7B05"/>
    <w:rsid w:val="004169AA"/>
    <w:rsid w:val="00466211"/>
    <w:rsid w:val="00474E6E"/>
    <w:rsid w:val="004834A9"/>
    <w:rsid w:val="004D01FC"/>
    <w:rsid w:val="004E28C3"/>
    <w:rsid w:val="004F1F8E"/>
    <w:rsid w:val="00512A32"/>
    <w:rsid w:val="0053793C"/>
    <w:rsid w:val="00586CF2"/>
    <w:rsid w:val="005C3768"/>
    <w:rsid w:val="005C6C3F"/>
    <w:rsid w:val="005D10D5"/>
    <w:rsid w:val="00613635"/>
    <w:rsid w:val="0062093D"/>
    <w:rsid w:val="00637281"/>
    <w:rsid w:val="00637ECF"/>
    <w:rsid w:val="00647B59"/>
    <w:rsid w:val="00690C7B"/>
    <w:rsid w:val="006A4B45"/>
    <w:rsid w:val="006B64C4"/>
    <w:rsid w:val="006D4724"/>
    <w:rsid w:val="006D5CF6"/>
    <w:rsid w:val="00701BAE"/>
    <w:rsid w:val="00721F04"/>
    <w:rsid w:val="00730E95"/>
    <w:rsid w:val="007426B9"/>
    <w:rsid w:val="00764342"/>
    <w:rsid w:val="00774362"/>
    <w:rsid w:val="00786598"/>
    <w:rsid w:val="007A04E8"/>
    <w:rsid w:val="007A360F"/>
    <w:rsid w:val="007D7D86"/>
    <w:rsid w:val="00851625"/>
    <w:rsid w:val="00863C0A"/>
    <w:rsid w:val="00870B2E"/>
    <w:rsid w:val="008A3120"/>
    <w:rsid w:val="008D41BE"/>
    <w:rsid w:val="008D58D3"/>
    <w:rsid w:val="008F2244"/>
    <w:rsid w:val="00923064"/>
    <w:rsid w:val="00930FFD"/>
    <w:rsid w:val="00936D25"/>
    <w:rsid w:val="00941EA5"/>
    <w:rsid w:val="00964700"/>
    <w:rsid w:val="00966C16"/>
    <w:rsid w:val="0098732F"/>
    <w:rsid w:val="009A045F"/>
    <w:rsid w:val="009C7E7C"/>
    <w:rsid w:val="009D4C9C"/>
    <w:rsid w:val="00A00473"/>
    <w:rsid w:val="00A03C9B"/>
    <w:rsid w:val="00A352E3"/>
    <w:rsid w:val="00A37105"/>
    <w:rsid w:val="00A606C3"/>
    <w:rsid w:val="00A83B09"/>
    <w:rsid w:val="00A84541"/>
    <w:rsid w:val="00AC5F63"/>
    <w:rsid w:val="00AE36A0"/>
    <w:rsid w:val="00B00294"/>
    <w:rsid w:val="00B64FD0"/>
    <w:rsid w:val="00B76D80"/>
    <w:rsid w:val="00BA5BD0"/>
    <w:rsid w:val="00BB1D82"/>
    <w:rsid w:val="00BF26E7"/>
    <w:rsid w:val="00C53FCA"/>
    <w:rsid w:val="00C76BAF"/>
    <w:rsid w:val="00C814B9"/>
    <w:rsid w:val="00C94F72"/>
    <w:rsid w:val="00CD516F"/>
    <w:rsid w:val="00D119A7"/>
    <w:rsid w:val="00D25FBA"/>
    <w:rsid w:val="00D32B28"/>
    <w:rsid w:val="00D42954"/>
    <w:rsid w:val="00D66EAC"/>
    <w:rsid w:val="00D730DF"/>
    <w:rsid w:val="00D772F0"/>
    <w:rsid w:val="00D77BDC"/>
    <w:rsid w:val="00DC402B"/>
    <w:rsid w:val="00DE0932"/>
    <w:rsid w:val="00E03A27"/>
    <w:rsid w:val="00E049F1"/>
    <w:rsid w:val="00E206D5"/>
    <w:rsid w:val="00E37A25"/>
    <w:rsid w:val="00E537FF"/>
    <w:rsid w:val="00E57C2C"/>
    <w:rsid w:val="00E6539B"/>
    <w:rsid w:val="00E70A31"/>
    <w:rsid w:val="00E82F75"/>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B5C0899-7F15-44B8-B980-7BDCC123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rsid w:val="00DD4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R15-WRC15-C-0025!A12!MSW-F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3B95B-0723-4942-9FA8-21AC34BF899A}">
  <ds:schemaRefs>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http://schemas.microsoft.com/office/2006/metadata/properties"/>
    <ds:schemaRef ds:uri="996b2e75-67fd-4955-a3b0-5ab9934cb50b"/>
    <ds:schemaRef ds:uri="http://schemas.openxmlformats.org/package/2006/metadata/core-properties"/>
    <ds:schemaRef ds:uri="32a1a8c5-2265-4ebc-b7a0-2071e2c5c9bb"/>
    <ds:schemaRef ds:uri="http://purl.org/dc/dcmitype/"/>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506</Words>
  <Characters>2875</Characters>
  <Application>Microsoft Office Word</Application>
  <DocSecurity>0</DocSecurity>
  <Lines>67</Lines>
  <Paragraphs>25</Paragraphs>
  <ScaleCrop>false</ScaleCrop>
  <HeadingPairs>
    <vt:vector size="2" baseType="variant">
      <vt:variant>
        <vt:lpstr>Title</vt:lpstr>
      </vt:variant>
      <vt:variant>
        <vt:i4>1</vt:i4>
      </vt:variant>
    </vt:vector>
  </HeadingPairs>
  <TitlesOfParts>
    <vt:vector size="1" baseType="lpstr">
      <vt:lpstr>R15-WRC15-C-0025!A12!MSW-F</vt:lpstr>
    </vt:vector>
  </TitlesOfParts>
  <Manager>Secrétariat général - Pool</Manager>
  <Company>Union internationale des télécommunications (UIT)</Company>
  <LinksUpToDate>false</LinksUpToDate>
  <CharactersWithSpaces>3361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R15-WRC15-C-0025!A12!MSW-F</dc:title>
  <dc:subject>Conférence mondiale des radiocommunications - 2015</dc:subject>
  <dc:creator>Documents Proposals Manager (DPM)</dc:creator>
  <cp:keywords>DPM_v5.2015.10.8_prod</cp:keywords>
  <dc:description/>
  <cp:lastModifiedBy>Royer, Veronique</cp:lastModifiedBy>
  <cp:revision>13</cp:revision>
  <cp:lastPrinted>2015-10-18T08:06:00Z</cp:lastPrinted>
  <dcterms:created xsi:type="dcterms:W3CDTF">2015-10-15T12:18:00Z</dcterms:created>
  <dcterms:modified xsi:type="dcterms:W3CDTF">2015-10-18T08:06:00Z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