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5F409A"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5F409A">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F409A" w:rsidRDefault="003E1608" w:rsidP="005F409A">
            <w:pPr>
              <w:pStyle w:val="Adress"/>
              <w:framePr w:hSpace="0" w:wrap="auto" w:xAlign="left" w:yAlign="inline"/>
              <w:rPr>
                <w:rtl/>
              </w:rPr>
            </w:pPr>
            <w:r w:rsidRPr="005F409A">
              <w:rPr>
                <w:rtl/>
              </w:rPr>
              <w:t xml:space="preserve">الإضافة </w:t>
            </w:r>
            <w:r w:rsidRPr="005F409A">
              <w:t>12</w:t>
            </w:r>
            <w:r w:rsidRPr="005F409A">
              <w:br/>
            </w:r>
            <w:r w:rsidRPr="005F409A">
              <w:rPr>
                <w:rtl/>
              </w:rPr>
              <w:t xml:space="preserve">للوثيقة </w:t>
            </w:r>
            <w:r w:rsidRPr="005F409A">
              <w:t>25-</w:t>
            </w:r>
            <w:r w:rsidR="005F409A">
              <w:t>A</w:t>
            </w:r>
          </w:p>
        </w:tc>
      </w:tr>
      <w:tr w:rsidR="00764079" w:rsidTr="003E1608">
        <w:trPr>
          <w:cantSplit/>
        </w:trPr>
        <w:tc>
          <w:tcPr>
            <w:tcW w:w="6619" w:type="dxa"/>
            <w:shd w:val="clear" w:color="auto" w:fill="auto"/>
          </w:tcPr>
          <w:p w:rsidR="00764079" w:rsidRPr="005F409A" w:rsidRDefault="00764079" w:rsidP="00D44350">
            <w:pPr>
              <w:pStyle w:val="Adress"/>
              <w:framePr w:hSpace="0" w:wrap="auto" w:xAlign="left" w:yAlign="inline"/>
            </w:pPr>
          </w:p>
        </w:tc>
        <w:tc>
          <w:tcPr>
            <w:tcW w:w="3053" w:type="dxa"/>
            <w:shd w:val="clear" w:color="auto" w:fill="auto"/>
            <w:vAlign w:val="center"/>
          </w:tcPr>
          <w:p w:rsidR="00764079" w:rsidRPr="005F409A" w:rsidRDefault="00764079" w:rsidP="00D44350">
            <w:pPr>
              <w:pStyle w:val="Adress"/>
              <w:framePr w:hSpace="0" w:wrap="auto" w:xAlign="left" w:yAlign="inline"/>
              <w:rPr>
                <w:rtl/>
              </w:rPr>
            </w:pPr>
            <w:r w:rsidRPr="005F409A">
              <w:rPr>
                <w:rFonts w:eastAsia="SimSun"/>
              </w:rPr>
              <w:t>10</w:t>
            </w:r>
            <w:r w:rsidRPr="005F409A">
              <w:rPr>
                <w:rFonts w:eastAsia="SimSun"/>
                <w:rtl/>
              </w:rPr>
              <w:t xml:space="preserve"> سبتمبر </w:t>
            </w:r>
            <w:r w:rsidRPr="005F409A">
              <w:rPr>
                <w:rFonts w:eastAsia="SimSun"/>
              </w:rPr>
              <w:t>2015</w:t>
            </w:r>
          </w:p>
        </w:tc>
      </w:tr>
      <w:tr w:rsidR="00764079" w:rsidTr="003E1608">
        <w:trPr>
          <w:cantSplit/>
        </w:trPr>
        <w:tc>
          <w:tcPr>
            <w:tcW w:w="6619" w:type="dxa"/>
          </w:tcPr>
          <w:p w:rsidR="00764079" w:rsidRPr="005F409A" w:rsidRDefault="00764079" w:rsidP="00D44350">
            <w:pPr>
              <w:pStyle w:val="Adress"/>
              <w:framePr w:hSpace="0" w:wrap="auto" w:xAlign="left" w:yAlign="inline"/>
              <w:rPr>
                <w:rFonts w:eastAsia="SimSun"/>
                <w:rtl/>
              </w:rPr>
            </w:pPr>
          </w:p>
        </w:tc>
        <w:tc>
          <w:tcPr>
            <w:tcW w:w="3053" w:type="dxa"/>
            <w:vAlign w:val="center"/>
          </w:tcPr>
          <w:p w:rsidR="00764079" w:rsidRPr="005F409A" w:rsidRDefault="00764079" w:rsidP="00D44350">
            <w:pPr>
              <w:pStyle w:val="Adress"/>
              <w:framePr w:hSpace="0" w:wrap="auto" w:xAlign="left" w:yAlign="inline"/>
              <w:rPr>
                <w:rFonts w:eastAsia="SimSun"/>
              </w:rPr>
            </w:pPr>
            <w:r w:rsidRPr="005F409A">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5F409A" w:rsidP="00D44350">
            <w:pPr>
              <w:pStyle w:val="Title1"/>
              <w:spacing w:before="240"/>
              <w:rPr>
                <w:rtl/>
              </w:rPr>
            </w:pPr>
            <w:r>
              <w:rPr>
                <w:rFonts w:hint="cs"/>
                <w:rtl/>
              </w:rPr>
              <w:t>مقترحات بشأن أعمال ال</w:t>
            </w:r>
            <w:r w:rsidR="00BA2E45">
              <w:rPr>
                <w:rFonts w:hint="cs"/>
                <w:rtl/>
              </w:rPr>
              <w:t>‍</w:t>
            </w:r>
            <w:r>
              <w:rPr>
                <w:rFonts w:hint="cs"/>
                <w:rtl/>
              </w:rPr>
              <w:t>مؤت</w:t>
            </w:r>
            <w:r w:rsidR="00BA2E45">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F409A">
            <w:pPr>
              <w:pStyle w:val="Agendaitem"/>
              <w:spacing w:before="240" w:line="192" w:lineRule="auto"/>
            </w:pPr>
            <w:r w:rsidRPr="008204AC">
              <w:rPr>
                <w:rtl/>
              </w:rPr>
              <w:t xml:space="preserve">البنـد </w:t>
            </w:r>
            <w:r w:rsidR="005F409A">
              <w:t>12.1</w:t>
            </w:r>
            <w:r w:rsidRPr="008204AC">
              <w:rPr>
                <w:rtl/>
              </w:rPr>
              <w:t xml:space="preserve"> من جدول الأعمال</w:t>
            </w:r>
          </w:p>
        </w:tc>
      </w:tr>
    </w:tbl>
    <w:p w:rsidR="001D597A" w:rsidRPr="00431196" w:rsidRDefault="003A4ADB" w:rsidP="005F409A">
      <w:pPr>
        <w:pStyle w:val="Normalaftertitle"/>
        <w:rPr>
          <w:rFonts w:eastAsia="SimSun"/>
          <w:b/>
          <w:bCs/>
          <w:rtl/>
        </w:rPr>
      </w:pPr>
      <w:r w:rsidRPr="00431196">
        <w:rPr>
          <w:rFonts w:eastAsia="SimSun"/>
        </w:rPr>
        <w:t>12.1</w:t>
      </w:r>
      <w:r w:rsidRPr="00431196">
        <w:rPr>
          <w:rFonts w:eastAsia="SimSun" w:hint="cs"/>
          <w:rtl/>
        </w:rPr>
        <w:tab/>
      </w:r>
      <w:r w:rsidRPr="002F2E16">
        <w:rPr>
          <w:rFonts w:eastAsia="SimSun"/>
          <w:spacing w:val="-2"/>
          <w:rtl/>
        </w:rPr>
        <w:t>النظر</w:t>
      </w:r>
      <w:r w:rsidRPr="002F2E16">
        <w:rPr>
          <w:rFonts w:eastAsia="SimSun" w:hint="cs"/>
          <w:spacing w:val="-2"/>
          <w:rtl/>
        </w:rPr>
        <w:t xml:space="preserve"> في تمديد التوزيع العالمي الحالي لخدمة استكشاف الأرض الساتلية (النشيطة) في نطاق التردد </w:t>
      </w:r>
      <w:r w:rsidRPr="002F2E16">
        <w:rPr>
          <w:rFonts w:eastAsia="SimSun" w:hint="cs"/>
          <w:spacing w:val="-2"/>
        </w:rPr>
        <w:t>MHz</w:t>
      </w:r>
      <w:r w:rsidRPr="002F2E16">
        <w:rPr>
          <w:rFonts w:eastAsia="SimSun"/>
          <w:spacing w:val="-2"/>
        </w:rPr>
        <w:t> 9 900</w:t>
      </w:r>
      <w:r w:rsidRPr="002F2E16">
        <w:rPr>
          <w:rFonts w:eastAsia="SimSun"/>
          <w:spacing w:val="-2"/>
        </w:rPr>
        <w:noBreakHyphen/>
        <w:t>9 300</w:t>
      </w:r>
      <w:r w:rsidRPr="00431196">
        <w:rPr>
          <w:rFonts w:eastAsia="SimSun" w:hint="cs"/>
          <w:rtl/>
        </w:rPr>
        <w:t xml:space="preserve"> بما يصل إلى </w:t>
      </w:r>
      <w:r w:rsidRPr="00431196">
        <w:rPr>
          <w:rFonts w:eastAsia="SimSun" w:hint="cs"/>
        </w:rPr>
        <w:t>MHz</w:t>
      </w:r>
      <w:r w:rsidRPr="00431196">
        <w:rPr>
          <w:rFonts w:eastAsia="SimSun" w:hint="eastAsia"/>
        </w:rPr>
        <w:t> </w:t>
      </w:r>
      <w:r w:rsidRPr="00431196">
        <w:rPr>
          <w:rFonts w:eastAsia="SimSun"/>
        </w:rPr>
        <w:t>600</w:t>
      </w:r>
      <w:r w:rsidRPr="00431196">
        <w:rPr>
          <w:rFonts w:eastAsia="SimSun" w:hint="cs"/>
          <w:rtl/>
        </w:rPr>
        <w:t xml:space="preserve"> ضمن نطاقات التردد </w:t>
      </w:r>
      <w:r w:rsidRPr="00431196">
        <w:rPr>
          <w:rFonts w:eastAsia="SimSun"/>
        </w:rPr>
        <w:t>MHz 9 300</w:t>
      </w:r>
      <w:r w:rsidRPr="00431196">
        <w:rPr>
          <w:rFonts w:eastAsia="SimSun"/>
        </w:rPr>
        <w:noBreakHyphen/>
        <w:t>8 700</w:t>
      </w:r>
      <w:r w:rsidRPr="00431196">
        <w:rPr>
          <w:rFonts w:eastAsia="SimSun" w:hint="cs"/>
          <w:rtl/>
        </w:rPr>
        <w:t xml:space="preserve"> و/أو </w:t>
      </w:r>
      <w:r w:rsidRPr="00431196">
        <w:rPr>
          <w:rFonts w:eastAsia="SimSun" w:hint="cs"/>
        </w:rPr>
        <w:t>MHz</w:t>
      </w:r>
      <w:r w:rsidRPr="00431196">
        <w:rPr>
          <w:rFonts w:eastAsia="SimSun"/>
        </w:rPr>
        <w:t> 10 500</w:t>
      </w:r>
      <w:r w:rsidRPr="00431196">
        <w:rPr>
          <w:rFonts w:eastAsia="SimSun"/>
        </w:rPr>
        <w:noBreakHyphen/>
        <w:t>9 900</w:t>
      </w:r>
      <w:r w:rsidRPr="00431196">
        <w:rPr>
          <w:rFonts w:eastAsia="SimSun" w:hint="cs"/>
          <w:rtl/>
        </w:rPr>
        <w:t>، وفقاً للقرار</w:t>
      </w:r>
      <w:r w:rsidRPr="00431196">
        <w:rPr>
          <w:rFonts w:eastAsia="SimSun" w:hint="eastAsia"/>
          <w:rtl/>
        </w:rPr>
        <w:t> </w:t>
      </w:r>
      <w:r w:rsidRPr="00431196">
        <w:rPr>
          <w:rFonts w:eastAsia="SimSun"/>
          <w:b/>
          <w:bCs/>
        </w:rPr>
        <w:t>651 (WRC</w:t>
      </w:r>
      <w:r w:rsidRPr="00431196">
        <w:rPr>
          <w:rFonts w:eastAsia="SimSun"/>
          <w:b/>
          <w:bCs/>
        </w:rPr>
        <w:noBreakHyphen/>
        <w:t>12)</w:t>
      </w:r>
      <w:r w:rsidRPr="00431196">
        <w:rPr>
          <w:rFonts w:eastAsia="SimSun" w:hint="cs"/>
          <w:b/>
          <w:bCs/>
          <w:rtl/>
        </w:rPr>
        <w:t>؛</w:t>
      </w:r>
    </w:p>
    <w:p w:rsidR="006F148A" w:rsidRPr="006F148A" w:rsidRDefault="006F148A" w:rsidP="006F148A">
      <w:pPr>
        <w:pStyle w:val="Headingb"/>
        <w:rPr>
          <w:rtl/>
        </w:rPr>
      </w:pPr>
      <w:r w:rsidRPr="006F148A">
        <w:rPr>
          <w:rFonts w:hint="cs"/>
          <w:rtl/>
        </w:rPr>
        <w:t>مقدمة</w:t>
      </w:r>
    </w:p>
    <w:p w:rsidR="006F148A" w:rsidRPr="006F148A" w:rsidRDefault="006F148A" w:rsidP="006F148A">
      <w:pPr>
        <w:rPr>
          <w:rtl/>
          <w:lang w:bidi="ar"/>
        </w:rPr>
      </w:pPr>
      <w:r w:rsidRPr="006F148A">
        <w:rPr>
          <w:rFonts w:hint="cs"/>
          <w:rtl/>
          <w:lang w:bidi="ar"/>
        </w:rPr>
        <w:t xml:space="preserve">دعا القرار </w:t>
      </w:r>
      <w:r w:rsidRPr="006F148A">
        <w:rPr>
          <w:b/>
          <w:bCs/>
        </w:rPr>
        <w:t>651 (WRC</w:t>
      </w:r>
      <w:r w:rsidRPr="006F148A">
        <w:rPr>
          <w:b/>
          <w:bCs/>
        </w:rPr>
        <w:noBreakHyphen/>
        <w:t>12)</w:t>
      </w:r>
      <w:r w:rsidRPr="006F148A">
        <w:rPr>
          <w:rFonts w:hint="cs"/>
          <w:rtl/>
          <w:lang w:bidi="ar"/>
        </w:rPr>
        <w:t xml:space="preserve"> قطاع الاتصالات الراديوية إلى إجراء دراسات توافق </w:t>
      </w:r>
      <w:r w:rsidRPr="006F148A">
        <w:rPr>
          <w:rFonts w:hint="cs"/>
          <w:rtl/>
        </w:rPr>
        <w:t>واستكمالها بشأن</w:t>
      </w:r>
      <w:r w:rsidRPr="006F148A">
        <w:rPr>
          <w:rtl/>
        </w:rPr>
        <w:t xml:space="preserve"> خدمة استكشاف الأرض الساتلية (</w:t>
      </w:r>
      <w:r w:rsidRPr="006F148A">
        <w:rPr>
          <w:rFonts w:hint="cs"/>
          <w:rtl/>
        </w:rPr>
        <w:t>النشيطة</w:t>
      </w:r>
      <w:r w:rsidRPr="006F148A">
        <w:rPr>
          <w:rtl/>
        </w:rPr>
        <w:t>) والخدمات الحالية</w:t>
      </w:r>
      <w:r w:rsidRPr="006F148A">
        <w:rPr>
          <w:rFonts w:hint="cs"/>
          <w:rtl/>
        </w:rPr>
        <w:t xml:space="preserve"> في نطاقي التردد </w:t>
      </w:r>
      <w:r w:rsidRPr="006F148A">
        <w:t>MHz</w:t>
      </w:r>
      <w:r w:rsidRPr="006F148A">
        <w:rPr>
          <w:bCs/>
        </w:rPr>
        <w:t> </w:t>
      </w:r>
      <w:r w:rsidRPr="006F148A">
        <w:t>9 300</w:t>
      </w:r>
      <w:r w:rsidRPr="006F148A">
        <w:noBreakHyphen/>
        <w:t>8</w:t>
      </w:r>
      <w:r w:rsidRPr="006F148A">
        <w:rPr>
          <w:bCs/>
        </w:rPr>
        <w:t> </w:t>
      </w:r>
      <w:r w:rsidRPr="006F148A">
        <w:t>700</w:t>
      </w:r>
      <w:r w:rsidRPr="006F148A">
        <w:rPr>
          <w:rFonts w:hint="cs"/>
          <w:rtl/>
        </w:rPr>
        <w:t xml:space="preserve"> و</w:t>
      </w:r>
      <w:r w:rsidRPr="006F148A">
        <w:rPr>
          <w:rFonts w:hint="cs"/>
        </w:rPr>
        <w:t>MHz</w:t>
      </w:r>
      <w:r w:rsidRPr="006F148A">
        <w:rPr>
          <w:bCs/>
        </w:rPr>
        <w:t> </w:t>
      </w:r>
      <w:r w:rsidRPr="006F148A">
        <w:t>10</w:t>
      </w:r>
      <w:r w:rsidRPr="006F148A">
        <w:rPr>
          <w:bCs/>
        </w:rPr>
        <w:t> </w:t>
      </w:r>
      <w:r w:rsidRPr="006F148A">
        <w:t>500</w:t>
      </w:r>
      <w:r w:rsidRPr="006F148A">
        <w:rPr>
          <w:bCs/>
        </w:rPr>
        <w:noBreakHyphen/>
      </w:r>
      <w:r w:rsidRPr="006F148A">
        <w:t>9</w:t>
      </w:r>
      <w:r w:rsidRPr="006F148A">
        <w:rPr>
          <w:bCs/>
        </w:rPr>
        <w:t> </w:t>
      </w:r>
      <w:r w:rsidRPr="006F148A">
        <w:t>900</w:t>
      </w:r>
      <w:r w:rsidRPr="006F148A">
        <w:rPr>
          <w:rFonts w:hint="cs"/>
          <w:rtl/>
        </w:rPr>
        <w:t>، والإرسالات غير المطلوبة من المحطات العاملة في </w:t>
      </w:r>
      <w:r w:rsidRPr="006F148A">
        <w:rPr>
          <w:rtl/>
        </w:rPr>
        <w:t>خدمة استكشاف الأرض الساتلية (النشيطة)</w:t>
      </w:r>
      <w:r w:rsidRPr="006F148A">
        <w:rPr>
          <w:rFonts w:hint="cs"/>
          <w:rtl/>
        </w:rPr>
        <w:t xml:space="preserve"> في نطاقي التردد هذين </w:t>
      </w:r>
      <w:r w:rsidRPr="006F148A">
        <w:rPr>
          <w:rFonts w:hint="cs"/>
          <w:b/>
          <w:rtl/>
        </w:rPr>
        <w:t>إلى المحطات العاملة في </w:t>
      </w:r>
      <w:r w:rsidRPr="006F148A">
        <w:rPr>
          <w:rFonts w:hint="cs"/>
          <w:rtl/>
        </w:rPr>
        <w:t>النطاقين التردديين</w:t>
      </w:r>
      <w:r w:rsidRPr="006F148A">
        <w:rPr>
          <w:rFonts w:hint="eastAsia"/>
          <w:b/>
          <w:rtl/>
        </w:rPr>
        <w:t> </w:t>
      </w:r>
      <w:r w:rsidRPr="006F148A">
        <w:rPr>
          <w:rFonts w:hint="cs"/>
        </w:rPr>
        <w:t>MHz</w:t>
      </w:r>
      <w:r w:rsidRPr="006F148A">
        <w:t> 8 500</w:t>
      </w:r>
      <w:r w:rsidRPr="006F148A">
        <w:noBreakHyphen/>
        <w:t>8 400</w:t>
      </w:r>
      <w:r w:rsidRPr="006F148A">
        <w:rPr>
          <w:rFonts w:hint="cs"/>
          <w:rtl/>
        </w:rPr>
        <w:t xml:space="preserve"> و</w:t>
      </w:r>
      <w:r w:rsidRPr="006F148A">
        <w:rPr>
          <w:rFonts w:hint="cs"/>
        </w:rPr>
        <w:t xml:space="preserve"> GHz</w:t>
      </w:r>
      <w:r w:rsidRPr="006F148A">
        <w:rPr>
          <w:rFonts w:hint="eastAsia"/>
        </w:rPr>
        <w:t> </w:t>
      </w:r>
      <w:r w:rsidRPr="006F148A">
        <w:t>10,7</w:t>
      </w:r>
      <w:r w:rsidRPr="006F148A">
        <w:noBreakHyphen/>
        <w:t>10,6</w:t>
      </w:r>
      <w:r w:rsidRPr="006F148A">
        <w:rPr>
          <w:rFonts w:hint="cs"/>
          <w:rtl/>
        </w:rPr>
        <w:t>.</w:t>
      </w:r>
    </w:p>
    <w:p w:rsidR="006F148A" w:rsidRPr="006F148A" w:rsidRDefault="006F148A" w:rsidP="006F148A">
      <w:pPr>
        <w:rPr>
          <w:rtl/>
          <w:lang w:bidi="ar-OM"/>
        </w:rPr>
      </w:pPr>
      <w:r w:rsidRPr="006F148A">
        <w:rPr>
          <w:rFonts w:hint="cs"/>
          <w:rtl/>
        </w:rPr>
        <w:t>وبناء</w:t>
      </w:r>
      <w:r>
        <w:rPr>
          <w:rFonts w:hint="cs"/>
          <w:rtl/>
        </w:rPr>
        <w:t>ً</w:t>
      </w:r>
      <w:r w:rsidRPr="006F148A">
        <w:rPr>
          <w:rFonts w:hint="cs"/>
          <w:rtl/>
        </w:rPr>
        <w:t xml:space="preserve"> على نتائج دراسات قطاع ال</w:t>
      </w:r>
      <w:r>
        <w:rPr>
          <w:rFonts w:hint="cs"/>
          <w:rtl/>
        </w:rPr>
        <w:t>ا</w:t>
      </w:r>
      <w:r w:rsidRPr="006F148A">
        <w:rPr>
          <w:rFonts w:hint="cs"/>
          <w:rtl/>
        </w:rPr>
        <w:t>تصالات الراديوية تقترح ال</w:t>
      </w:r>
      <w:r>
        <w:rPr>
          <w:rFonts w:hint="cs"/>
          <w:rtl/>
        </w:rPr>
        <w:t>أ</w:t>
      </w:r>
      <w:r w:rsidRPr="006F148A">
        <w:rPr>
          <w:rFonts w:hint="cs"/>
          <w:rtl/>
        </w:rPr>
        <w:t xml:space="preserve">طراف الموقعة </w:t>
      </w:r>
      <w:r w:rsidRPr="006F148A">
        <w:rPr>
          <w:rFonts w:hint="cs"/>
          <w:rtl/>
          <w:lang w:bidi="ar-OM"/>
        </w:rPr>
        <w:t>عدم التعديل على لوائح الراديو.</w:t>
      </w:r>
    </w:p>
    <w:p w:rsidR="00F16602" w:rsidRDefault="006F148A" w:rsidP="006F148A">
      <w:pPr>
        <w:pStyle w:val="Headingb"/>
        <w:rPr>
          <w:rtl/>
        </w:rPr>
      </w:pPr>
      <w:r w:rsidRPr="006F148A">
        <w:rPr>
          <w:rFonts w:hint="cs"/>
          <w:rtl/>
        </w:rPr>
        <w:t>المقترحات</w:t>
      </w:r>
    </w:p>
    <w:p w:rsidR="006F148A" w:rsidRDefault="006F148A" w:rsidP="006F148A"/>
    <w:p w:rsidR="002919E1" w:rsidRPr="002919E1" w:rsidRDefault="008F4626" w:rsidP="00531DC7">
      <w:pPr>
        <w:rPr>
          <w:noProof/>
          <w:rtl/>
          <w:lang w:bidi="ar-EG"/>
        </w:rPr>
      </w:pPr>
      <w:r w:rsidRPr="002919E1">
        <w:rPr>
          <w:rtl/>
        </w:rPr>
        <w:br w:type="page"/>
      </w:r>
    </w:p>
    <w:p w:rsidR="00043F4D" w:rsidRDefault="003A4ADB">
      <w:pPr>
        <w:pStyle w:val="Proposal"/>
      </w:pPr>
      <w:r>
        <w:rPr>
          <w:u w:val="single"/>
        </w:rPr>
        <w:lastRenderedPageBreak/>
        <w:t>NOC</w:t>
      </w:r>
      <w:r>
        <w:tab/>
        <w:t>ARB/25A12/1</w:t>
      </w:r>
    </w:p>
    <w:p w:rsidR="000454A6" w:rsidRPr="006F148A" w:rsidRDefault="003A4ADB" w:rsidP="006F148A">
      <w:pPr>
        <w:pStyle w:val="Volumetitle"/>
        <w:rPr>
          <w:rtl/>
        </w:rPr>
      </w:pPr>
      <w:r>
        <w:rPr>
          <w:rFonts w:hint="cs"/>
          <w:rtl/>
        </w:rPr>
        <w:t>لوائح الراديو</w:t>
      </w:r>
    </w:p>
    <w:p w:rsidR="00043F4D" w:rsidRDefault="00043F4D">
      <w:pPr>
        <w:pStyle w:val="Reasons"/>
      </w:pPr>
    </w:p>
    <w:p w:rsidR="00043F4D" w:rsidRDefault="003A4ADB">
      <w:pPr>
        <w:pStyle w:val="Proposal"/>
      </w:pPr>
      <w:r>
        <w:t>SUP</w:t>
      </w:r>
      <w:r>
        <w:tab/>
        <w:t>ARB/25A12/2</w:t>
      </w:r>
    </w:p>
    <w:p w:rsidR="00364D92" w:rsidRDefault="003A4ADB" w:rsidP="00BA2E45">
      <w:pPr>
        <w:pStyle w:val="ResNo"/>
      </w:pPr>
      <w:bookmarkStart w:id="1" w:name="_Toc327956737"/>
      <w:r w:rsidRPr="006D7AFF">
        <w:rPr>
          <w:rFonts w:hint="cs"/>
          <w:b/>
          <w:rtl/>
        </w:rPr>
        <w:t>القـرار</w:t>
      </w:r>
      <w:r>
        <w:rPr>
          <w:rFonts w:hint="cs"/>
          <w:bCs/>
          <w:rtl/>
        </w:rPr>
        <w:t xml:space="preserve"> </w:t>
      </w:r>
      <w:r w:rsidRPr="00364D92">
        <w:t>651</w:t>
      </w:r>
      <w:r w:rsidR="00BA2E45">
        <w:t> </w:t>
      </w:r>
      <w:r w:rsidRPr="0055092F">
        <w:t>(WRC-12)</w:t>
      </w:r>
      <w:bookmarkEnd w:id="1"/>
    </w:p>
    <w:p w:rsidR="00364D92" w:rsidRPr="00822378" w:rsidRDefault="003A4ADB" w:rsidP="006F148A">
      <w:pPr>
        <w:pStyle w:val="Restitle"/>
        <w:spacing w:line="168" w:lineRule="auto"/>
        <w:rPr>
          <w:rtl/>
        </w:rPr>
      </w:pPr>
      <w:bookmarkStart w:id="2" w:name="_Toc327956738"/>
      <w:r w:rsidRPr="00822378">
        <w:rPr>
          <w:rFonts w:hint="cs"/>
          <w:rtl/>
        </w:rPr>
        <w:t>التمديد المحتمل للتوزيع العالمي الحالي لخدمة استكشاف الأرض الساتلية (النش</w:t>
      </w:r>
      <w:r>
        <w:rPr>
          <w:rFonts w:hint="cs"/>
          <w:rtl/>
        </w:rPr>
        <w:t>ي</w:t>
      </w:r>
      <w:r w:rsidRPr="00822378">
        <w:rPr>
          <w:rFonts w:hint="cs"/>
          <w:rtl/>
        </w:rPr>
        <w:t>طة)</w:t>
      </w:r>
      <w:r w:rsidR="006F148A">
        <w:rPr>
          <w:rtl/>
        </w:rPr>
        <w:br/>
      </w:r>
      <w:r>
        <w:rPr>
          <w:rFonts w:hint="cs"/>
          <w:rtl/>
        </w:rPr>
        <w:t>في </w:t>
      </w:r>
      <w:r w:rsidRPr="00822378">
        <w:rPr>
          <w:rFonts w:hint="cs"/>
          <w:rtl/>
        </w:rPr>
        <w:t xml:space="preserve">نطاق التردد </w:t>
      </w:r>
      <w:r w:rsidRPr="00822378">
        <w:rPr>
          <w:rFonts w:hint="cs"/>
        </w:rPr>
        <w:t>MHz</w:t>
      </w:r>
      <w:r w:rsidRPr="00822378">
        <w:t> 9 900</w:t>
      </w:r>
      <w:r w:rsidRPr="00822378">
        <w:noBreakHyphen/>
        <w:t>9 300</w:t>
      </w:r>
      <w:r w:rsidRPr="00822378">
        <w:rPr>
          <w:rFonts w:hint="cs"/>
          <w:rtl/>
        </w:rPr>
        <w:t xml:space="preserve"> بما يصل إلى </w:t>
      </w:r>
      <w:r w:rsidRPr="00822378">
        <w:rPr>
          <w:rFonts w:hint="cs"/>
        </w:rPr>
        <w:t>MHz</w:t>
      </w:r>
      <w:r w:rsidRPr="00822378">
        <w:rPr>
          <w:rFonts w:hint="eastAsia"/>
        </w:rPr>
        <w:t> </w:t>
      </w:r>
      <w:r w:rsidRPr="00822378">
        <w:t>600</w:t>
      </w:r>
      <w:r w:rsidRPr="00822378">
        <w:rPr>
          <w:rFonts w:hint="cs"/>
          <w:rtl/>
        </w:rPr>
        <w:t xml:space="preserve"> </w:t>
      </w:r>
      <w:r>
        <w:rPr>
          <w:rtl/>
        </w:rPr>
        <w:br/>
      </w:r>
      <w:r w:rsidRPr="00822378">
        <w:rPr>
          <w:rFonts w:hint="cs"/>
          <w:rtl/>
        </w:rPr>
        <w:t xml:space="preserve">ضمن </w:t>
      </w:r>
      <w:r>
        <w:rPr>
          <w:rFonts w:hint="cs"/>
          <w:rtl/>
        </w:rPr>
        <w:t xml:space="preserve">نطاقي </w:t>
      </w:r>
      <w:r w:rsidRPr="00822378">
        <w:rPr>
          <w:rFonts w:hint="cs"/>
          <w:rtl/>
        </w:rPr>
        <w:t xml:space="preserve">الترددات </w:t>
      </w:r>
      <w:r w:rsidRPr="00822378">
        <w:t>MHz 9 300</w:t>
      </w:r>
      <w:r w:rsidRPr="00822378">
        <w:noBreakHyphen/>
        <w:t>8 700</w:t>
      </w:r>
      <w:r w:rsidRPr="00822378">
        <w:rPr>
          <w:rFonts w:hint="cs"/>
          <w:rtl/>
        </w:rPr>
        <w:t xml:space="preserve"> و/أو </w:t>
      </w:r>
      <w:r w:rsidRPr="00822378">
        <w:rPr>
          <w:rFonts w:hint="cs"/>
        </w:rPr>
        <w:t>MHz</w:t>
      </w:r>
      <w:r w:rsidRPr="00822378">
        <w:t> 10 500</w:t>
      </w:r>
      <w:r w:rsidRPr="00822378">
        <w:noBreakHyphen/>
        <w:t>9 900</w:t>
      </w:r>
      <w:bookmarkEnd w:id="2"/>
    </w:p>
    <w:p w:rsidR="00043F4D" w:rsidRDefault="003A4ADB">
      <w:pPr>
        <w:pStyle w:val="Reasons"/>
        <w:rPr>
          <w:rtl/>
        </w:rPr>
      </w:pPr>
      <w:r>
        <w:rPr>
          <w:rtl/>
        </w:rPr>
        <w:t>الأسباب:</w:t>
      </w:r>
      <w:r>
        <w:tab/>
      </w:r>
    </w:p>
    <w:p w:rsidR="006F148A" w:rsidRPr="003D0719" w:rsidRDefault="003D0719" w:rsidP="003D0719">
      <w:pPr>
        <w:pStyle w:val="Reasons"/>
        <w:ind w:left="1134" w:hanging="1134"/>
        <w:rPr>
          <w:b w:val="0"/>
          <w:bCs w:val="0"/>
          <w:rtl/>
          <w:lang w:bidi="ar-OM"/>
        </w:rPr>
      </w:pPr>
      <w:r w:rsidRPr="003D0719">
        <w:rPr>
          <w:rFonts w:hint="cs"/>
          <w:b w:val="0"/>
          <w:bCs w:val="0"/>
          <w:rtl/>
          <w:lang w:bidi="ar-OM"/>
        </w:rPr>
        <w:t>-</w:t>
      </w:r>
      <w:r w:rsidRPr="003D0719">
        <w:rPr>
          <w:rFonts w:hint="cs"/>
          <w:b w:val="0"/>
          <w:bCs w:val="0"/>
          <w:rtl/>
          <w:lang w:bidi="ar-OM"/>
        </w:rPr>
        <w:tab/>
      </w:r>
      <w:r w:rsidR="006F148A" w:rsidRPr="003D0719">
        <w:rPr>
          <w:b w:val="0"/>
          <w:bCs w:val="0"/>
          <w:rtl/>
          <w:lang w:bidi="ar-OM"/>
        </w:rPr>
        <w:t xml:space="preserve">الاستخدام الكثيف لبعض الخدمات الراديوية في النطاقات الترددية </w:t>
      </w:r>
      <w:r>
        <w:rPr>
          <w:b w:val="0"/>
          <w:bCs w:val="0"/>
          <w:lang w:bidi="ar-OM"/>
        </w:rPr>
        <w:t>GHz 10</w:t>
      </w:r>
      <w:r>
        <w:rPr>
          <w:b w:val="0"/>
          <w:bCs w:val="0"/>
          <w:lang w:bidi="ar-OM"/>
        </w:rPr>
        <w:noBreakHyphen/>
        <w:t>9</w:t>
      </w:r>
      <w:r w:rsidR="006F148A" w:rsidRPr="003D0719">
        <w:rPr>
          <w:b w:val="0"/>
          <w:bCs w:val="0"/>
          <w:rtl/>
          <w:lang w:bidi="ar-EG"/>
        </w:rPr>
        <w:t>، والتي لا</w:t>
      </w:r>
      <w:r w:rsidR="00106469">
        <w:rPr>
          <w:rFonts w:hint="cs"/>
          <w:b w:val="0"/>
          <w:bCs w:val="0"/>
          <w:rtl/>
          <w:lang w:bidi="ar-EG"/>
        </w:rPr>
        <w:t> </w:t>
      </w:r>
      <w:bookmarkStart w:id="3" w:name="_GoBack"/>
      <w:bookmarkEnd w:id="3"/>
      <w:r w:rsidR="006F148A" w:rsidRPr="003D0719">
        <w:rPr>
          <w:b w:val="0"/>
          <w:bCs w:val="0"/>
          <w:rtl/>
          <w:lang w:bidi="ar-EG"/>
        </w:rPr>
        <w:t>بد من حمايتها وعدم التأثير عليها لحساسية استخدامها بالدول الموقعة على هذه الوثيقة.</w:t>
      </w:r>
    </w:p>
    <w:p w:rsidR="006F148A" w:rsidRPr="003D0719" w:rsidRDefault="003D0719" w:rsidP="00BA2E45">
      <w:pPr>
        <w:pStyle w:val="Reasons"/>
        <w:ind w:left="1134" w:hanging="1134"/>
        <w:rPr>
          <w:b w:val="0"/>
          <w:bCs w:val="0"/>
        </w:rPr>
      </w:pPr>
      <w:r w:rsidRPr="003D0719">
        <w:rPr>
          <w:rFonts w:hint="cs"/>
          <w:b w:val="0"/>
          <w:bCs w:val="0"/>
          <w:rtl/>
          <w:lang w:bidi="ar-EG"/>
        </w:rPr>
        <w:t>-</w:t>
      </w:r>
      <w:r w:rsidRPr="003D0719">
        <w:rPr>
          <w:rFonts w:hint="cs"/>
          <w:b w:val="0"/>
          <w:bCs w:val="0"/>
          <w:rtl/>
          <w:lang w:bidi="ar-EG"/>
        </w:rPr>
        <w:tab/>
      </w:r>
      <w:r w:rsidR="006F148A" w:rsidRPr="003D0719">
        <w:rPr>
          <w:b w:val="0"/>
          <w:bCs w:val="0"/>
          <w:rtl/>
          <w:lang w:bidi="ar-EG"/>
        </w:rPr>
        <w:t>تخشي الإدارات الموقعة على هذه الوثيقة أن القيم المذكورة لحدود كثافة تدفق القدرة الناشئة من محطة فضائية للخدمة </w:t>
      </w:r>
      <w:r w:rsidR="006F148A" w:rsidRPr="003D0719">
        <w:rPr>
          <w:b w:val="0"/>
          <w:bCs w:val="0"/>
        </w:rPr>
        <w:t>EESS</w:t>
      </w:r>
      <w:r w:rsidR="006F148A" w:rsidRPr="003D0719">
        <w:rPr>
          <w:b w:val="0"/>
          <w:bCs w:val="0"/>
          <w:rtl/>
          <w:lang w:bidi="ar-EG"/>
        </w:rPr>
        <w:t xml:space="preserve"> (النشيطة) لن تكون كافية لحماية الخدمات الثابتة العاملة بكثافة في هذا النطاق الترددي، كما ترى هذه الإدارات أنه نظراً للطبيعة الجغرافية لهذه البلدان أن </w:t>
      </w:r>
      <w:r w:rsidR="006F148A" w:rsidRPr="003D0719">
        <w:rPr>
          <w:b w:val="0"/>
          <w:bCs w:val="0"/>
          <w:rtl/>
          <w:lang w:bidi="ar"/>
        </w:rPr>
        <w:t xml:space="preserve">زاوية ارتفاع توجيه هوائيات </w:t>
      </w:r>
      <w:r w:rsidR="006F148A" w:rsidRPr="003D0719">
        <w:rPr>
          <w:b w:val="0"/>
          <w:bCs w:val="0"/>
          <w:rtl/>
        </w:rPr>
        <w:t xml:space="preserve">محطة الخدمة الثابتة في بعض الأماكن هي </w:t>
      </w:r>
      <w:r w:rsidR="006F148A" w:rsidRPr="003D0719">
        <w:rPr>
          <w:b w:val="0"/>
          <w:bCs w:val="0"/>
          <w:rtl/>
          <w:lang w:bidi="ar"/>
        </w:rPr>
        <w:t xml:space="preserve">زوايا ارتفاع عالية مما قد يسبب لها تداخلات ضارة وغير مرغوبة من خدمة </w:t>
      </w:r>
      <w:r w:rsidR="006F148A" w:rsidRPr="003D0719">
        <w:rPr>
          <w:b w:val="0"/>
          <w:bCs w:val="0"/>
        </w:rPr>
        <w:t>EESS</w:t>
      </w:r>
      <w:r w:rsidR="006F148A" w:rsidRPr="003D0719">
        <w:rPr>
          <w:b w:val="0"/>
          <w:bCs w:val="0"/>
          <w:rtl/>
          <w:lang w:bidi="ar-EG"/>
        </w:rPr>
        <w:t xml:space="preserve"> نظراً لحساسية عمل هذه</w:t>
      </w:r>
      <w:r w:rsidR="00BA2E45">
        <w:rPr>
          <w:rFonts w:hint="cs"/>
          <w:b w:val="0"/>
          <w:bCs w:val="0"/>
          <w:rtl/>
          <w:lang w:bidi="ar-EG"/>
        </w:rPr>
        <w:t> </w:t>
      </w:r>
      <w:r w:rsidR="006F148A" w:rsidRPr="003D0719">
        <w:rPr>
          <w:b w:val="0"/>
          <w:bCs w:val="0"/>
          <w:rtl/>
          <w:lang w:bidi="ar-EG"/>
        </w:rPr>
        <w:t>الوصلات.</w:t>
      </w:r>
    </w:p>
    <w:p w:rsidR="006F148A" w:rsidRPr="003D0719" w:rsidRDefault="003D0719" w:rsidP="003D0719">
      <w:pPr>
        <w:pStyle w:val="Reasons"/>
        <w:ind w:left="1134" w:hanging="1134"/>
        <w:rPr>
          <w:b w:val="0"/>
          <w:bCs w:val="0"/>
        </w:rPr>
      </w:pPr>
      <w:r w:rsidRPr="003D0719">
        <w:rPr>
          <w:rFonts w:hint="cs"/>
          <w:b w:val="0"/>
          <w:bCs w:val="0"/>
          <w:rtl/>
          <w:lang w:bidi="ar-EG"/>
        </w:rPr>
        <w:t>-</w:t>
      </w:r>
      <w:r w:rsidRPr="003D0719">
        <w:rPr>
          <w:rFonts w:hint="cs"/>
          <w:b w:val="0"/>
          <w:bCs w:val="0"/>
          <w:rtl/>
          <w:lang w:bidi="ar-EG"/>
        </w:rPr>
        <w:tab/>
      </w:r>
      <w:r w:rsidR="006F148A" w:rsidRPr="003D0719">
        <w:rPr>
          <w:b w:val="0"/>
          <w:bCs w:val="0"/>
          <w:rtl/>
          <w:lang w:bidi="ar-EG"/>
        </w:rPr>
        <w:t>ترى الإدارات الموقعة على هذه الوثيقة أن الدراسات الخاصة بتأثير خدمة استكشاف الأرض الساتلية على الأنظمة العاملة في الخدمة المتنقلة لم تكن كافية، كما أنها يمكن أن تؤثر على الاستخدامات المستقبلية للخدمة المتنقلة في</w:t>
      </w:r>
      <w:r>
        <w:rPr>
          <w:rFonts w:hint="cs"/>
          <w:b w:val="0"/>
          <w:bCs w:val="0"/>
          <w:rtl/>
          <w:lang w:bidi="ar-EG"/>
        </w:rPr>
        <w:t> </w:t>
      </w:r>
      <w:r w:rsidR="006F148A" w:rsidRPr="003D0719">
        <w:rPr>
          <w:b w:val="0"/>
          <w:bCs w:val="0"/>
          <w:rtl/>
          <w:lang w:bidi="ar-EG"/>
        </w:rPr>
        <w:t xml:space="preserve">هذا النطاق الترددي وخاصة إذا ما تم تعريفة للاتصالات المتنقلة الدولية </w:t>
      </w:r>
      <w:r w:rsidR="00BA2E45">
        <w:rPr>
          <w:b w:val="0"/>
          <w:bCs w:val="0"/>
        </w:rPr>
        <w:t>(</w:t>
      </w:r>
      <w:r w:rsidR="006F148A" w:rsidRPr="003D0719">
        <w:rPr>
          <w:b w:val="0"/>
          <w:bCs w:val="0"/>
        </w:rPr>
        <w:t>IMT</w:t>
      </w:r>
      <w:r w:rsidR="00BA2E45">
        <w:rPr>
          <w:b w:val="0"/>
          <w:bCs w:val="0"/>
        </w:rPr>
        <w:t>)</w:t>
      </w:r>
      <w:r w:rsidR="006F148A" w:rsidRPr="003D0719">
        <w:rPr>
          <w:b w:val="0"/>
          <w:bCs w:val="0"/>
          <w:rtl/>
          <w:lang w:bidi="ar-EG"/>
        </w:rPr>
        <w:t>.</w:t>
      </w:r>
    </w:p>
    <w:p w:rsidR="006F148A" w:rsidRDefault="003D0719" w:rsidP="003D0719">
      <w:pPr>
        <w:pStyle w:val="Reasons"/>
        <w:ind w:left="1134" w:hanging="1134"/>
        <w:rPr>
          <w:b w:val="0"/>
          <w:bCs w:val="0"/>
          <w:rtl/>
          <w:lang w:bidi="ar-EG"/>
        </w:rPr>
      </w:pPr>
      <w:r w:rsidRPr="003D0719">
        <w:rPr>
          <w:rFonts w:hint="cs"/>
          <w:b w:val="0"/>
          <w:bCs w:val="0"/>
          <w:rtl/>
          <w:lang w:bidi="ar-OM"/>
        </w:rPr>
        <w:t>-</w:t>
      </w:r>
      <w:r w:rsidRPr="003D0719">
        <w:rPr>
          <w:rFonts w:hint="cs"/>
          <w:b w:val="0"/>
          <w:bCs w:val="0"/>
          <w:rtl/>
          <w:lang w:bidi="ar-OM"/>
        </w:rPr>
        <w:tab/>
      </w:r>
      <w:r w:rsidR="006F148A" w:rsidRPr="003D0719">
        <w:rPr>
          <w:b w:val="0"/>
          <w:bCs w:val="0"/>
          <w:rtl/>
          <w:lang w:bidi="ar-OM"/>
        </w:rPr>
        <w:t>ترى الإدارات</w:t>
      </w:r>
      <w:r w:rsidR="006F148A" w:rsidRPr="003D0719">
        <w:rPr>
          <w:b w:val="0"/>
          <w:bCs w:val="0"/>
          <w:rtl/>
          <w:lang w:bidi="ar-EG"/>
        </w:rPr>
        <w:t xml:space="preserve"> الموقعة على هذه الوثيقة</w:t>
      </w:r>
      <w:r w:rsidR="006F148A" w:rsidRPr="003D0719">
        <w:rPr>
          <w:b w:val="0"/>
          <w:bCs w:val="0"/>
          <w:rtl/>
          <w:lang w:bidi="ar-OM"/>
        </w:rPr>
        <w:t xml:space="preserve"> أن </w:t>
      </w:r>
      <w:r w:rsidR="006F148A" w:rsidRPr="003D0719">
        <w:rPr>
          <w:b w:val="0"/>
          <w:bCs w:val="0"/>
          <w:rtl/>
          <w:lang w:bidi="ar"/>
        </w:rPr>
        <w:t xml:space="preserve">دراسات </w:t>
      </w:r>
      <w:r w:rsidR="006F148A" w:rsidRPr="003D0719">
        <w:rPr>
          <w:b w:val="0"/>
          <w:bCs w:val="0"/>
          <w:rtl/>
        </w:rPr>
        <w:t>قطاع الاتصالات الراديوية أفادت ب</w:t>
      </w:r>
      <w:r w:rsidR="006F148A" w:rsidRPr="003D0719">
        <w:rPr>
          <w:b w:val="0"/>
          <w:bCs w:val="0"/>
          <w:rtl/>
          <w:lang w:bidi="ar"/>
        </w:rPr>
        <w:t xml:space="preserve">أن جميع رادارات التحديد الراديوي للموقع التي نُظر فيها ستتأثر بمستويات من التداخل من خدمة </w:t>
      </w:r>
      <w:r w:rsidR="006F148A" w:rsidRPr="003D0719">
        <w:rPr>
          <w:b w:val="0"/>
          <w:bCs w:val="0"/>
        </w:rPr>
        <w:t>EESS</w:t>
      </w:r>
      <w:r w:rsidR="006F148A" w:rsidRPr="003D0719">
        <w:rPr>
          <w:b w:val="0"/>
          <w:bCs w:val="0"/>
          <w:rtl/>
          <w:lang w:bidi="ar-EG"/>
        </w:rPr>
        <w:t xml:space="preserve">، ونظراً لكثافة وحساسية استخدام هذه الرادارات فإن الإدارات الموقعة على هذه الوثيقة لا ترغب في عمل أي توزيع لخدمة </w:t>
      </w:r>
      <w:r w:rsidR="006F148A" w:rsidRPr="003D0719">
        <w:rPr>
          <w:b w:val="0"/>
          <w:bCs w:val="0"/>
        </w:rPr>
        <w:t>EESS</w:t>
      </w:r>
      <w:r w:rsidR="006F148A" w:rsidRPr="003D0719">
        <w:rPr>
          <w:b w:val="0"/>
          <w:bCs w:val="0"/>
          <w:rtl/>
          <w:lang w:bidi="ar-EG"/>
        </w:rPr>
        <w:t>.</w:t>
      </w:r>
    </w:p>
    <w:p w:rsidR="00BA2E45" w:rsidRPr="00BA2E45" w:rsidRDefault="00BA2E45" w:rsidP="00BA2E45">
      <w:pPr>
        <w:pStyle w:val="Reasons"/>
        <w:rPr>
          <w:rtl/>
          <w:lang w:bidi="ar-EG"/>
        </w:rPr>
      </w:pPr>
    </w:p>
    <w:p w:rsidR="003D0719" w:rsidRPr="003D0719" w:rsidRDefault="003D0719" w:rsidP="003D0719">
      <w:pPr>
        <w:spacing w:before="600"/>
        <w:jc w:val="center"/>
        <w:rPr>
          <w:rFonts w:hint="cs"/>
          <w:rtl/>
          <w:lang w:bidi="ar-EG"/>
        </w:rPr>
      </w:pPr>
      <w:r>
        <w:rPr>
          <w:rFonts w:hint="cs"/>
          <w:rtl/>
          <w:lang w:bidi="ar-EG"/>
        </w:rPr>
        <w:t>___________</w:t>
      </w:r>
    </w:p>
    <w:sectPr w:rsidR="003D0719" w:rsidRPr="003D071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0" w:rsidRPr="00CB4300" w:rsidRDefault="001B4710" w:rsidP="001B4710">
    <w:pPr>
      <w:pStyle w:val="Footer"/>
      <w:rPr>
        <w:lang w:val="es-ES"/>
      </w:rPr>
    </w:pPr>
    <w:r>
      <w:fldChar w:fldCharType="begin"/>
    </w:r>
    <w:r w:rsidRPr="00CB4300">
      <w:rPr>
        <w:lang w:val="es-ES"/>
      </w:rPr>
      <w:instrText xml:space="preserve"> FILENAME \p \* MERGEFORMAT </w:instrText>
    </w:r>
    <w:r>
      <w:fldChar w:fldCharType="separate"/>
    </w:r>
    <w:r w:rsidR="003A4ADB">
      <w:rPr>
        <w:noProof/>
        <w:lang w:val="es-ES"/>
      </w:rPr>
      <w:t>P:\ARA\ITU-R\CONF-R\CMR15\000\025ADD12A.docx</w:t>
    </w:r>
    <w:r>
      <w:fldChar w:fldCharType="end"/>
    </w:r>
    <w:r w:rsidRPr="00CB4300">
      <w:rPr>
        <w:lang w:val="es-ES"/>
      </w:rPr>
      <w:t xml:space="preserve">   (</w:t>
    </w:r>
    <w:r>
      <w:rPr>
        <w:lang w:val="es-ES"/>
      </w:rPr>
      <w:t>386864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A2E45">
      <w:rPr>
        <w:noProof/>
      </w:rPr>
      <w:t>12.10.15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A4ADB">
      <w:rPr>
        <w:noProof/>
      </w:rPr>
      <w:t>12.10.15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B4710">
    <w:pPr>
      <w:pStyle w:val="Footer"/>
      <w:rPr>
        <w:lang w:val="es-ES"/>
      </w:rPr>
    </w:pPr>
    <w:r>
      <w:fldChar w:fldCharType="begin"/>
    </w:r>
    <w:r w:rsidRPr="00CB4300">
      <w:rPr>
        <w:lang w:val="es-ES"/>
      </w:rPr>
      <w:instrText xml:space="preserve"> FILENAME \p \* MERGEFORMAT </w:instrText>
    </w:r>
    <w:r>
      <w:fldChar w:fldCharType="separate"/>
    </w:r>
    <w:r w:rsidR="003A4ADB">
      <w:rPr>
        <w:noProof/>
        <w:lang w:val="es-ES"/>
      </w:rPr>
      <w:t>P:\ARA\ITU-R\CONF-R\CMR15\000\025ADD12A.docx</w:t>
    </w:r>
    <w:r>
      <w:fldChar w:fldCharType="end"/>
    </w:r>
    <w:r w:rsidRPr="00CB4300">
      <w:rPr>
        <w:lang w:val="es-ES"/>
      </w:rPr>
      <w:t xml:space="preserve">   (</w:t>
    </w:r>
    <w:r w:rsidR="001B4710">
      <w:rPr>
        <w:lang w:val="es-ES"/>
      </w:rPr>
      <w:t>386864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A2E45">
      <w:rPr>
        <w:noProof/>
      </w:rPr>
      <w:t>12.10.15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A4ADB">
      <w:rPr>
        <w:noProof/>
      </w:rPr>
      <w:t>12.10.15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06469">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85B3545"/>
    <w:multiLevelType w:val="hybridMultilevel"/>
    <w:tmpl w:val="25C43CDA"/>
    <w:lvl w:ilvl="0" w:tplc="E6AABCE4">
      <w:start w:val="62"/>
      <w:numFmt w:val="bullet"/>
      <w:lvlText w:val="-"/>
      <w:lvlJc w:val="left"/>
      <w:pPr>
        <w:ind w:left="720" w:hanging="360"/>
      </w:pPr>
      <w:rPr>
        <w:rFonts w:ascii="Traditional Arabic" w:eastAsia="SimSu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3F4D"/>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06469"/>
    <w:rsid w:val="001464F2"/>
    <w:rsid w:val="001629EC"/>
    <w:rsid w:val="00167364"/>
    <w:rsid w:val="001903B2"/>
    <w:rsid w:val="001B4710"/>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4ADB"/>
    <w:rsid w:val="003A6AB4"/>
    <w:rsid w:val="003B27AD"/>
    <w:rsid w:val="003B4F23"/>
    <w:rsid w:val="003C12F6"/>
    <w:rsid w:val="003C3A13"/>
    <w:rsid w:val="003D0719"/>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409A"/>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148A"/>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2E45"/>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E7567"/>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64C94A-7DB2-4AD2-9F05-413BF63F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VolumeTitle0">
    <w:name w:val="VolumeTitle"/>
    <w:basedOn w:val="Normal"/>
    <w:next w:val="Normal"/>
    <w:autoRedefine/>
    <w:qFormat/>
    <w:rsid w:val="006F148A"/>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Arial" w:hAnsi="Arial" w:cs="Arial"/>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R15-WRC15-C-0025!A12!MSW-A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BB08B08F-499D-4D42-A541-4A3804F6533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C47E4-E3ED-4032-A65F-DC16F780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396</Words>
  <Characters>2069</Characters>
  <Application>Microsoft Office Word</Application>
  <DocSecurity>0</DocSecurity>
  <Lines>66</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R15-WRC15-C-0025!A12!MSW-A</dc:title>
  <dc:creator>Documents Proposals Manager (DPM)</dc:creator>
  <cp:keywords>DPM_v5.2015.10.8_prod</cp:keywords>
  <cp:lastModifiedBy>Awad, Samy</cp:lastModifiedBy>
  <cp:revision>9</cp:revision>
  <cp:lastPrinted>2015-10-12T12:25:00Z</cp:lastPrinted>
  <dcterms:created xsi:type="dcterms:W3CDTF">2015-10-12T12:18:00Z</dcterms:created>
  <dcterms:modified xsi:type="dcterms:W3CDTF">2015-10-12T13:03:00Z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