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017E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017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9017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9017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9017E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017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943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435A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8943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435A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65835" w:rsidRDefault="000F33D8" w:rsidP="00665835">
            <w:pPr>
              <w:pStyle w:val="Source"/>
            </w:pPr>
            <w:bookmarkStart w:id="4" w:name="dsource" w:colFirst="0" w:colLast="0"/>
            <w:r w:rsidRPr="00665835"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65835" w:rsidRDefault="00665835" w:rsidP="00665835">
            <w:pPr>
              <w:pStyle w:val="Title1"/>
            </w:pPr>
            <w:bookmarkStart w:id="5" w:name="dtitle1" w:colFirst="0" w:colLast="0"/>
            <w:bookmarkEnd w:id="4"/>
            <w:r w:rsidRPr="00665835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89435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9435A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9017E7" w:rsidRDefault="003869BB" w:rsidP="009017E7">
      <w:pPr>
        <w:pStyle w:val="Normalaftertitle"/>
      </w:pPr>
      <w:r w:rsidRPr="00126FFF">
        <w:t>1.1</w:t>
      </w:r>
      <w:r w:rsidRPr="00126FFF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3C418E" w:rsidRPr="009017E7" w:rsidRDefault="003C418E" w:rsidP="003C418E">
      <w:pPr>
        <w:pStyle w:val="Headingb"/>
        <w:rPr>
          <w:lang w:val="ru-RU"/>
        </w:rPr>
      </w:pPr>
      <w:r w:rsidRPr="009017E7">
        <w:rPr>
          <w:lang w:val="ru-RU"/>
        </w:rPr>
        <w:t>Введение</w:t>
      </w:r>
    </w:p>
    <w:p w:rsidR="003C418E" w:rsidRPr="003C418E" w:rsidRDefault="003C418E" w:rsidP="003C418E">
      <w:r w:rsidRPr="003C418E">
        <w:t>В Резолюции 233 (ВКР</w:t>
      </w:r>
      <w:r w:rsidRPr="003C418E">
        <w:noBreakHyphen/>
        <w:t xml:space="preserve">12) содержится призыв к исследованию связанных с частотами вопросов IMT и других применений наземной подвижной широкополосной связи, с учетом того что подвижная </w:t>
      </w:r>
      <w:r w:rsidR="0089435A">
        <w:t>электро</w:t>
      </w:r>
      <w:r w:rsidRPr="003C418E">
        <w:t xml:space="preserve">связь, включая подвижную широкополосную </w:t>
      </w:r>
      <w:r w:rsidR="0089435A">
        <w:t>электро</w:t>
      </w:r>
      <w:r w:rsidRPr="003C418E">
        <w:t>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IMT и других применений наземной подвижной широкополосной связи.</w:t>
      </w:r>
    </w:p>
    <w:p w:rsidR="003C418E" w:rsidRPr="003C418E" w:rsidRDefault="003C418E" w:rsidP="0089435A">
      <w:r w:rsidRPr="003C418E">
        <w:t xml:space="preserve">Были проведены исследования будущих потребностей в спектре и потенциальных </w:t>
      </w:r>
      <w:proofErr w:type="spellStart"/>
      <w:r w:rsidRPr="003C418E">
        <w:t>кандидатных</w:t>
      </w:r>
      <w:proofErr w:type="spellEnd"/>
      <w:r w:rsidRPr="003C418E">
        <w:t xml:space="preserve"> полос </w:t>
      </w:r>
      <w:proofErr w:type="spellStart"/>
      <w:r w:rsidRPr="003C418E">
        <w:t>IMT</w:t>
      </w:r>
      <w:proofErr w:type="spellEnd"/>
      <w:r w:rsidRPr="003C418E">
        <w:t xml:space="preserve">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3C418E">
        <w:rPr>
          <w:i/>
          <w:iCs/>
        </w:rPr>
        <w:t>решает предложить</w:t>
      </w:r>
      <w:r w:rsidRPr="003C418E">
        <w:t xml:space="preserve"> </w:t>
      </w:r>
      <w:r w:rsidRPr="003C418E">
        <w:rPr>
          <w:i/>
          <w:iCs/>
        </w:rPr>
        <w:t xml:space="preserve">МСЭ-R </w:t>
      </w:r>
      <w:r w:rsidRPr="003C418E">
        <w:t xml:space="preserve">Резолюции 233 (ВКР-12), изучить следующие полосы частот: 470−694/698 МГц, 1300−1525 МГц, </w:t>
      </w:r>
      <w:r w:rsidRPr="003C418E">
        <w:rPr>
          <w:iCs/>
        </w:rPr>
        <w:t>1695−1710</w:t>
      </w:r>
      <w:r w:rsidRPr="003C418E">
        <w:t> </w:t>
      </w:r>
      <w:r w:rsidRPr="003C418E">
        <w:rPr>
          <w:iCs/>
        </w:rPr>
        <w:t>МГц,</w:t>
      </w:r>
      <w:r w:rsidRPr="003C418E">
        <w:t xml:space="preserve"> 2025−2110 </w:t>
      </w:r>
      <w:r w:rsidR="0089435A">
        <w:t>МГц,</w:t>
      </w:r>
      <w:r w:rsidRPr="003C418E">
        <w:t xml:space="preserve"> 2200−2290 МГц, 2700−2900 МГц, 2900−3100 МГц, 3300−3400 МГц, 3400−3600 МГц, 3600−4200 МГц, 4400−4900 МГц, 4800−5000 МГц, </w:t>
      </w:r>
      <w:r w:rsidRPr="003C418E">
        <w:rPr>
          <w:iCs/>
        </w:rPr>
        <w:t>5350−5470</w:t>
      </w:r>
      <w:r w:rsidRPr="003C418E">
        <w:t> МГц, 5725−5850 </w:t>
      </w:r>
      <w:r w:rsidR="0089435A">
        <w:t>МГц</w:t>
      </w:r>
      <w:r w:rsidR="0089435A">
        <w:rPr>
          <w:iCs/>
        </w:rPr>
        <w:t xml:space="preserve"> и</w:t>
      </w:r>
      <w:r w:rsidRPr="003C418E">
        <w:rPr>
          <w:iCs/>
        </w:rPr>
        <w:t xml:space="preserve"> 5</w:t>
      </w:r>
      <w:r w:rsidRPr="003C418E">
        <w:t>925</w:t>
      </w:r>
      <w:r w:rsidRPr="003C418E">
        <w:rPr>
          <w:iCs/>
        </w:rPr>
        <w:t>−6425</w:t>
      </w:r>
      <w:r w:rsidRPr="003C418E">
        <w:t> </w:t>
      </w:r>
      <w:r w:rsidRPr="003C418E">
        <w:rPr>
          <w:iCs/>
        </w:rPr>
        <w:t>МГц</w:t>
      </w:r>
      <w:r w:rsidRPr="003C418E">
        <w:t xml:space="preserve">. </w:t>
      </w:r>
    </w:p>
    <w:p w:rsidR="003C418E" w:rsidRPr="003C418E" w:rsidRDefault="003C418E" w:rsidP="00C662A3">
      <w:r w:rsidRPr="003C418E">
        <w:t xml:space="preserve">На основании исследований совместного использования и совместимости со службами, уже имеющими распределения в потенциальных </w:t>
      </w:r>
      <w:proofErr w:type="spellStart"/>
      <w:r w:rsidRPr="003C418E">
        <w:t>кандидатных</w:t>
      </w:r>
      <w:proofErr w:type="spellEnd"/>
      <w:r w:rsidRPr="003C418E">
        <w:t xml:space="preserve">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администрации арабских государств предлагают </w:t>
      </w:r>
      <w:r w:rsidR="0089435A">
        <w:t>не вносить</w:t>
      </w:r>
      <w:r w:rsidRPr="003C418E">
        <w:t xml:space="preserve"> в Регламент радиосвязи поправ</w:t>
      </w:r>
      <w:r w:rsidR="0089435A">
        <w:t>ок</w:t>
      </w:r>
      <w:r w:rsidRPr="003C418E">
        <w:t xml:space="preserve"> в отношении полос 3</w:t>
      </w:r>
      <w:r w:rsidR="0089435A">
        <w:t>6</w:t>
      </w:r>
      <w:r w:rsidRPr="003C418E">
        <w:t>00</w:t>
      </w:r>
      <w:r w:rsidR="00C662A3">
        <w:t>−</w:t>
      </w:r>
      <w:r w:rsidRPr="003C418E">
        <w:t>3</w:t>
      </w:r>
      <w:r w:rsidR="0089435A">
        <w:t>7</w:t>
      </w:r>
      <w:r w:rsidRPr="003C418E">
        <w:t>00 </w:t>
      </w:r>
      <w:r w:rsidR="0089435A">
        <w:t>МГц и 3700</w:t>
      </w:r>
      <w:r w:rsidR="00C662A3">
        <w:t>−</w:t>
      </w:r>
      <w:r w:rsidR="0089435A">
        <w:t>3800 МГц</w:t>
      </w:r>
      <w:r w:rsidR="004644A0">
        <w:t>.</w:t>
      </w:r>
    </w:p>
    <w:p w:rsidR="003C418E" w:rsidRPr="009017E7" w:rsidRDefault="003C418E" w:rsidP="0089435A">
      <w:pPr>
        <w:pStyle w:val="Headingb"/>
        <w:rPr>
          <w:lang w:val="ru-RU"/>
        </w:rPr>
      </w:pPr>
      <w:r w:rsidRPr="009017E7">
        <w:rPr>
          <w:lang w:val="ru-RU"/>
        </w:rPr>
        <w:t>Предложени</w:t>
      </w:r>
      <w:r w:rsidR="0089435A">
        <w:rPr>
          <w:lang w:val="ru-RU"/>
        </w:rPr>
        <w:t>е</w:t>
      </w:r>
    </w:p>
    <w:p w:rsidR="009B5CC2" w:rsidRPr="003C418E" w:rsidRDefault="003C418E" w:rsidP="003C418E">
      <w:r w:rsidRPr="003C418E">
        <w:br w:type="page"/>
      </w:r>
    </w:p>
    <w:p w:rsidR="008E2497" w:rsidRPr="00B25C66" w:rsidRDefault="003869BB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3869BB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3869BB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566124" w:rsidRDefault="003869BB">
      <w:pPr>
        <w:pStyle w:val="Proposal"/>
      </w:pPr>
      <w:r>
        <w:rPr>
          <w:u w:val="single"/>
        </w:rPr>
        <w:t>NOC</w:t>
      </w:r>
      <w:r>
        <w:tab/>
        <w:t>ARB/25A1A9/1</w:t>
      </w:r>
    </w:p>
    <w:p w:rsidR="008E2497" w:rsidRPr="006D7050" w:rsidRDefault="003869BB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89435A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9435A" w:rsidRDefault="003869BB" w:rsidP="004D5216">
            <w:pPr>
              <w:pStyle w:val="Tablehead"/>
              <w:rPr>
                <w:lang w:val="ru-RU"/>
              </w:rPr>
            </w:pPr>
            <w:r w:rsidRPr="0089435A">
              <w:rPr>
                <w:lang w:val="ru-RU"/>
              </w:rPr>
              <w:t>Распределение по службам</w:t>
            </w:r>
          </w:p>
        </w:tc>
      </w:tr>
      <w:tr w:rsidR="008E2497" w:rsidRPr="0089435A" w:rsidTr="00AA144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9435A" w:rsidRDefault="003869BB" w:rsidP="004D5216">
            <w:pPr>
              <w:pStyle w:val="Tablehead"/>
              <w:rPr>
                <w:lang w:val="ru-RU"/>
              </w:rPr>
            </w:pPr>
            <w:r w:rsidRPr="0089435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9435A" w:rsidRDefault="003869BB" w:rsidP="004D5216">
            <w:pPr>
              <w:pStyle w:val="Tablehead"/>
              <w:rPr>
                <w:lang w:val="ru-RU"/>
              </w:rPr>
            </w:pPr>
            <w:r w:rsidRPr="0089435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9435A" w:rsidRDefault="003869BB" w:rsidP="004D5216">
            <w:pPr>
              <w:pStyle w:val="Tablehead"/>
              <w:rPr>
                <w:lang w:val="ru-RU"/>
              </w:rPr>
            </w:pPr>
            <w:r w:rsidRPr="0089435A">
              <w:rPr>
                <w:lang w:val="ru-RU"/>
              </w:rPr>
              <w:t>Район 3</w:t>
            </w:r>
          </w:p>
        </w:tc>
      </w:tr>
      <w:tr w:rsidR="009017E7" w:rsidRPr="0089435A" w:rsidTr="004644A0">
        <w:trPr>
          <w:cantSplit/>
        </w:trPr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:rsidR="009017E7" w:rsidRPr="0089435A" w:rsidRDefault="009017E7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9435A">
              <w:rPr>
                <w:rStyle w:val="Tablefreq"/>
                <w:szCs w:val="18"/>
                <w:lang w:val="ru-RU"/>
              </w:rPr>
              <w:t>3 600–4 200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>ФИКСИРОВАННАЯ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 xml:space="preserve">ФИКСИРОВАННАЯ СПУТНИКОВАЯ </w:t>
            </w:r>
            <w:r w:rsidRPr="0089435A">
              <w:rPr>
                <w:szCs w:val="18"/>
                <w:lang w:val="ru-RU"/>
              </w:rPr>
              <w:br/>
              <w:t>(космос-Земля)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9017E7" w:rsidRPr="0089435A" w:rsidRDefault="009017E7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9435A">
              <w:rPr>
                <w:rStyle w:val="Tablefreq"/>
                <w:szCs w:val="18"/>
                <w:lang w:val="ru-RU"/>
              </w:rPr>
              <w:t>3 600–3 700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>ФИКСИРОВАННАЯ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 xml:space="preserve">ФИКСИРОВАННАЯ СПУТНИКОВАЯ </w:t>
            </w:r>
            <w:r w:rsidRPr="0089435A">
              <w:rPr>
                <w:szCs w:val="18"/>
                <w:lang w:val="ru-RU"/>
              </w:rPr>
              <w:br/>
              <w:t>(космос-Земля)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89435A">
              <w:rPr>
                <w:szCs w:val="18"/>
                <w:lang w:val="ru-RU"/>
              </w:rPr>
              <w:t xml:space="preserve">Радиолокационная  </w:t>
            </w:r>
          </w:p>
          <w:p w:rsidR="009017E7" w:rsidRPr="0089435A" w:rsidRDefault="009017E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9435A">
              <w:rPr>
                <w:rStyle w:val="Artref"/>
                <w:szCs w:val="18"/>
                <w:lang w:val="ru-RU"/>
              </w:rPr>
              <w:t>5.435</w:t>
            </w:r>
          </w:p>
        </w:tc>
      </w:tr>
    </w:tbl>
    <w:p w:rsidR="00566124" w:rsidRPr="004644A0" w:rsidRDefault="003869BB" w:rsidP="00C662A3">
      <w:pPr>
        <w:pStyle w:val="Reasons"/>
      </w:pPr>
      <w:proofErr w:type="gramStart"/>
      <w:r w:rsidRPr="004644A0">
        <w:rPr>
          <w:b/>
          <w:bCs/>
        </w:rPr>
        <w:t>Основания</w:t>
      </w:r>
      <w:r w:rsidRPr="004644A0">
        <w:t>:</w:t>
      </w:r>
      <w:r w:rsidRPr="004644A0">
        <w:tab/>
      </w:r>
      <w:proofErr w:type="gramEnd"/>
      <w:r w:rsidR="00D8686C" w:rsidRPr="004644A0">
        <w:t>Без изменений относительно полосы частот</w:t>
      </w:r>
      <w:r w:rsidR="00AA1447" w:rsidRPr="004644A0">
        <w:t xml:space="preserve"> 3600</w:t>
      </w:r>
      <w:r w:rsidR="00C662A3">
        <w:t>−</w:t>
      </w:r>
      <w:r w:rsidR="00AA1447" w:rsidRPr="004644A0">
        <w:t>3</w:t>
      </w:r>
      <w:r w:rsidR="00172619" w:rsidRPr="004644A0">
        <w:t>700 </w:t>
      </w:r>
      <w:r w:rsidR="00AA1447" w:rsidRPr="004644A0">
        <w:t xml:space="preserve">МГц. </w:t>
      </w:r>
      <w:r w:rsidR="00D8686C" w:rsidRPr="004644A0">
        <w:t>Ввиду широкого спутникового покрытия в полосе</w:t>
      </w:r>
      <w:r w:rsidR="00AA1447" w:rsidRPr="004644A0">
        <w:t xml:space="preserve"> 3600</w:t>
      </w:r>
      <w:r w:rsidR="00C662A3">
        <w:t>−</w:t>
      </w:r>
      <w:r w:rsidR="00AA1447" w:rsidRPr="004644A0">
        <w:t>3</w:t>
      </w:r>
      <w:r w:rsidR="00172619" w:rsidRPr="004644A0">
        <w:t>700 </w:t>
      </w:r>
      <w:r w:rsidR="00D8686C" w:rsidRPr="004644A0">
        <w:t>МГц эта полоса стала важной частью инфраструктуры электросвязи во многих странах</w:t>
      </w:r>
      <w:r w:rsidR="00AA1447" w:rsidRPr="004644A0">
        <w:t xml:space="preserve">, </w:t>
      </w:r>
      <w:r w:rsidR="00D8686C" w:rsidRPr="004644A0">
        <w:t>предлагающей разнообразные услуги</w:t>
      </w:r>
      <w:r w:rsidR="00AA1447" w:rsidRPr="004644A0">
        <w:t xml:space="preserve">, </w:t>
      </w:r>
      <w:r w:rsidR="00D8686C" w:rsidRPr="004644A0">
        <w:t>в том числе сети с терминалами с очень малой апертурой</w:t>
      </w:r>
      <w:r w:rsidR="00AA1447" w:rsidRPr="004644A0">
        <w:t xml:space="preserve"> (VSAT), </w:t>
      </w:r>
      <w:r w:rsidR="00D8686C" w:rsidRPr="004644A0">
        <w:t>возможность установления соединений с поставщиками услуг интернета</w:t>
      </w:r>
      <w:r w:rsidR="00AA1447" w:rsidRPr="004644A0">
        <w:t xml:space="preserve">, </w:t>
      </w:r>
      <w:r w:rsidR="00D8686C" w:rsidRPr="004644A0">
        <w:t>линии связи пункта со многими пунктами</w:t>
      </w:r>
      <w:r w:rsidR="00AA1447" w:rsidRPr="004644A0">
        <w:t xml:space="preserve">, </w:t>
      </w:r>
      <w:r w:rsidR="00D8686C" w:rsidRPr="004644A0">
        <w:t>спутниковый сбор новостей и телевизионное радиовещание</w:t>
      </w:r>
      <w:r w:rsidR="00AA1447" w:rsidRPr="004644A0">
        <w:t xml:space="preserve">. </w:t>
      </w:r>
      <w:r w:rsidR="00D8686C" w:rsidRPr="004644A0">
        <w:t>В соответствии с этим авторы предложения считают, что данная полоса не подходит для развертывания станций ПС</w:t>
      </w:r>
      <w:r w:rsidR="00AA1447" w:rsidRPr="004644A0">
        <w:t>.</w:t>
      </w:r>
    </w:p>
    <w:p w:rsidR="00566124" w:rsidRDefault="003869BB">
      <w:pPr>
        <w:pStyle w:val="Proposal"/>
      </w:pPr>
      <w:r>
        <w:rPr>
          <w:u w:val="single"/>
        </w:rPr>
        <w:t>NOC</w:t>
      </w:r>
      <w:r>
        <w:tab/>
        <w:t>ARB/25A1A9/2</w:t>
      </w:r>
    </w:p>
    <w:p w:rsidR="008E2497" w:rsidRPr="006D7050" w:rsidRDefault="003869BB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D8686C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686C" w:rsidRDefault="003869BB" w:rsidP="004D5216">
            <w:pPr>
              <w:pStyle w:val="Tablehead"/>
              <w:rPr>
                <w:lang w:val="ru-RU"/>
              </w:rPr>
            </w:pPr>
            <w:r w:rsidRPr="00D8686C">
              <w:rPr>
                <w:lang w:val="ru-RU"/>
              </w:rPr>
              <w:t>Распределение по службам</w:t>
            </w:r>
          </w:p>
        </w:tc>
      </w:tr>
      <w:tr w:rsidR="008E2497" w:rsidRPr="00D8686C" w:rsidTr="00C67E2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686C" w:rsidRDefault="003869BB" w:rsidP="004D5216">
            <w:pPr>
              <w:pStyle w:val="Tablehead"/>
              <w:rPr>
                <w:lang w:val="ru-RU"/>
              </w:rPr>
            </w:pPr>
            <w:r w:rsidRPr="00D868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686C" w:rsidRDefault="003869BB" w:rsidP="004D5216">
            <w:pPr>
              <w:pStyle w:val="Tablehead"/>
              <w:rPr>
                <w:lang w:val="ru-RU"/>
              </w:rPr>
            </w:pPr>
            <w:r w:rsidRPr="00D868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686C" w:rsidRDefault="003869BB" w:rsidP="004D5216">
            <w:pPr>
              <w:pStyle w:val="Tablehead"/>
              <w:rPr>
                <w:lang w:val="ru-RU"/>
              </w:rPr>
            </w:pPr>
            <w:r w:rsidRPr="00D8686C">
              <w:rPr>
                <w:lang w:val="ru-RU"/>
              </w:rPr>
              <w:t>Район 3</w:t>
            </w:r>
          </w:p>
        </w:tc>
      </w:tr>
      <w:tr w:rsidR="008E2497" w:rsidRPr="00D8686C" w:rsidTr="00C67E22">
        <w:trPr>
          <w:cantSplit/>
        </w:trPr>
        <w:tc>
          <w:tcPr>
            <w:tcW w:w="1667" w:type="pct"/>
            <w:vMerge w:val="restart"/>
          </w:tcPr>
          <w:p w:rsidR="008E2497" w:rsidRPr="00D8686C" w:rsidRDefault="003869BB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8686C">
              <w:rPr>
                <w:rStyle w:val="Tablefreq"/>
                <w:szCs w:val="18"/>
                <w:lang w:val="ru-RU"/>
              </w:rPr>
              <w:t>3 600–4 200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>ФИКСИРОВАННАЯ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 xml:space="preserve">ФИКСИРОВАННАЯ СПУТНИКОВАЯ </w:t>
            </w:r>
            <w:r w:rsidRPr="00D8686C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D8686C" w:rsidRDefault="00BB1EB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8E2497" w:rsidRPr="00D8686C" w:rsidRDefault="003869BB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8686C">
              <w:rPr>
                <w:rStyle w:val="Tablefreq"/>
                <w:szCs w:val="18"/>
                <w:lang w:val="ru-RU"/>
              </w:rPr>
              <w:t>3 600–3 700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>ФИКСИРОВАННАЯ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 xml:space="preserve">ФИКСИРОВАННАЯ СПУТНИКОВАЯ </w:t>
            </w:r>
            <w:r w:rsidRPr="00D8686C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D8686C">
              <w:rPr>
                <w:szCs w:val="18"/>
                <w:lang w:val="ru-RU"/>
              </w:rPr>
              <w:t xml:space="preserve">Радиолокационная  </w:t>
            </w:r>
          </w:p>
          <w:p w:rsidR="008E2497" w:rsidRPr="00D8686C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8686C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vMerge/>
          </w:tcPr>
          <w:p w:rsidR="008E2497" w:rsidRPr="00180F4D" w:rsidRDefault="00BB1EB7" w:rsidP="004D5216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3333" w:type="pct"/>
            <w:gridSpan w:val="2"/>
          </w:tcPr>
          <w:p w:rsidR="008E2497" w:rsidRPr="00180F4D" w:rsidRDefault="003869BB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700–4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8E2497" w:rsidRPr="00180F4D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180F4D" w:rsidRDefault="003869BB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566124" w:rsidRPr="004644A0" w:rsidRDefault="003869BB" w:rsidP="00C662A3">
      <w:pPr>
        <w:pStyle w:val="Reasons"/>
      </w:pPr>
      <w:proofErr w:type="gramStart"/>
      <w:r w:rsidRPr="004644A0">
        <w:rPr>
          <w:b/>
          <w:bCs/>
        </w:rPr>
        <w:t>Основания</w:t>
      </w:r>
      <w:r w:rsidRPr="004644A0">
        <w:t>:</w:t>
      </w:r>
      <w:r w:rsidRPr="004644A0">
        <w:tab/>
      </w:r>
      <w:proofErr w:type="gramEnd"/>
      <w:r w:rsidR="00D8686C" w:rsidRPr="004644A0">
        <w:t xml:space="preserve">Без изменений относительно полосы частот </w:t>
      </w:r>
      <w:r w:rsidR="00C67E22" w:rsidRPr="004644A0">
        <w:t>3700</w:t>
      </w:r>
      <w:r w:rsidR="00C662A3">
        <w:t>−</w:t>
      </w:r>
      <w:r w:rsidR="00C67E22" w:rsidRPr="004644A0">
        <w:t>3800</w:t>
      </w:r>
      <w:r w:rsidR="00172619" w:rsidRPr="004644A0">
        <w:t> </w:t>
      </w:r>
      <w:r w:rsidR="00C67E22" w:rsidRPr="004644A0">
        <w:t xml:space="preserve">МГц. </w:t>
      </w:r>
      <w:r w:rsidR="00D8686C" w:rsidRPr="004644A0">
        <w:t xml:space="preserve">Ввиду широкого спутникового покрытия в полосе </w:t>
      </w:r>
      <w:r w:rsidR="00C67E22" w:rsidRPr="004644A0">
        <w:t>3700</w:t>
      </w:r>
      <w:r w:rsidR="00C662A3">
        <w:t>−</w:t>
      </w:r>
      <w:r w:rsidR="00C67E22" w:rsidRPr="004644A0">
        <w:t>3</w:t>
      </w:r>
      <w:r w:rsidR="00172619" w:rsidRPr="004644A0">
        <w:t>800 </w:t>
      </w:r>
      <w:r w:rsidR="00D8686C" w:rsidRPr="004644A0">
        <w:t>М</w:t>
      </w:r>
      <w:bookmarkStart w:id="11" w:name="_GoBack"/>
      <w:bookmarkEnd w:id="11"/>
      <w:r w:rsidR="00D8686C" w:rsidRPr="004644A0">
        <w:t>Гц эта полоса стала важной частью инфраструктуры электросвязи во многих странах, предлагающей разнообразные услуги, в том числе сети с терминалами с очень малой апертурой (VSAT), поставщиков услуг интернета, линии связи пункта со многими пунктами, спутниковый сбор новостей и телевизионное радиовещание. В соответствии с этим авторы предложения считают, что данная полоса не подходит для развертывания станций ПС</w:t>
      </w:r>
      <w:r w:rsidR="00C67E22" w:rsidRPr="004644A0">
        <w:t>.</w:t>
      </w:r>
    </w:p>
    <w:p w:rsidR="00172619" w:rsidRPr="00C67E22" w:rsidRDefault="00172619" w:rsidP="00172619">
      <w:pPr>
        <w:jc w:val="center"/>
      </w:pPr>
      <w:r>
        <w:t>______________</w:t>
      </w:r>
    </w:p>
    <w:sectPr w:rsidR="00172619" w:rsidRPr="00C67E2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B1EB7" w:rsidRDefault="00567276">
    <w:pPr>
      <w:ind w:right="360"/>
      <w:rPr>
        <w:lang w:val="en-GB"/>
      </w:rPr>
    </w:pPr>
    <w:r>
      <w:fldChar w:fldCharType="begin"/>
    </w:r>
    <w:r w:rsidRPr="00BB1EB7">
      <w:rPr>
        <w:lang w:val="en-GB"/>
      </w:rPr>
      <w:instrText xml:space="preserve"> FILENAME \p  \* MERGEFORMAT </w:instrText>
    </w:r>
    <w:r>
      <w:fldChar w:fldCharType="separate"/>
    </w:r>
    <w:r w:rsidR="00BB1EB7">
      <w:rPr>
        <w:noProof/>
        <w:lang w:val="en-GB"/>
      </w:rPr>
      <w:t>P:\RUS\ITU-R\CONF-R\CMR15\000\025ADD01ADD09R.docx</w:t>
    </w:r>
    <w:r>
      <w:fldChar w:fldCharType="end"/>
    </w:r>
    <w:r w:rsidRPr="00BB1EB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1EB7">
      <w:rPr>
        <w:noProof/>
      </w:rPr>
      <w:t>16.10.15</w:t>
    </w:r>
    <w:r>
      <w:fldChar w:fldCharType="end"/>
    </w:r>
    <w:r w:rsidRPr="00BB1EB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EB7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665835" w:rsidP="00665835">
    <w:pPr>
      <w:pStyle w:val="Footer"/>
    </w:pPr>
    <w:r w:rsidRPr="00665835">
      <w:rPr>
        <w:lang w:val="ru-RU"/>
      </w:rPr>
      <w:fldChar w:fldCharType="begin"/>
    </w:r>
    <w:r w:rsidRPr="009017E7">
      <w:instrText xml:space="preserve"> FILENAME \p  \* MERGEFORMAT </w:instrText>
    </w:r>
    <w:r w:rsidRPr="00665835">
      <w:rPr>
        <w:lang w:val="ru-RU"/>
      </w:rPr>
      <w:fldChar w:fldCharType="separate"/>
    </w:r>
    <w:r w:rsidR="00BB1EB7">
      <w:t>P:\RUS\ITU-R\CONF-R\CMR15\000\025ADD01ADD09R.docx</w:t>
    </w:r>
    <w:r w:rsidRPr="00665835">
      <w:fldChar w:fldCharType="end"/>
    </w:r>
    <w:r w:rsidRPr="009017E7">
      <w:t>(386846)</w:t>
    </w:r>
    <w:r w:rsidR="00567276" w:rsidRPr="009017E7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BB1EB7">
      <w:t>16.10.15</w:t>
    </w:r>
    <w:r w:rsidR="00567276">
      <w:fldChar w:fldCharType="end"/>
    </w:r>
    <w:r w:rsidR="00567276" w:rsidRPr="009017E7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BB1EB7">
      <w:t>16.10.15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017E7" w:rsidRDefault="00567276" w:rsidP="00665835">
    <w:pPr>
      <w:pStyle w:val="Footer"/>
    </w:pPr>
    <w:r>
      <w:fldChar w:fldCharType="begin"/>
    </w:r>
    <w:r w:rsidRPr="009017E7">
      <w:instrText xml:space="preserve"> FILENAME \p  \* MERGEFORMAT </w:instrText>
    </w:r>
    <w:r>
      <w:fldChar w:fldCharType="separate"/>
    </w:r>
    <w:r w:rsidR="00BB1EB7">
      <w:t>P:\RUS\ITU-R\CONF-R\CMR15\000\025ADD01ADD09R.docx</w:t>
    </w:r>
    <w:r>
      <w:fldChar w:fldCharType="end"/>
    </w:r>
    <w:r w:rsidR="00665835" w:rsidRPr="009017E7">
      <w:t>(386846)</w:t>
    </w:r>
    <w:r w:rsidRPr="009017E7">
      <w:tab/>
    </w:r>
    <w:r>
      <w:fldChar w:fldCharType="begin"/>
    </w:r>
    <w:r>
      <w:instrText xml:space="preserve"> SAVEDATE \@ DD.MM.YY </w:instrText>
    </w:r>
    <w:r>
      <w:fldChar w:fldCharType="separate"/>
    </w:r>
    <w:r w:rsidR="00BB1EB7">
      <w:t>16.10.15</w:t>
    </w:r>
    <w:r>
      <w:fldChar w:fldCharType="end"/>
    </w:r>
    <w:r w:rsidRPr="009017E7">
      <w:tab/>
    </w:r>
    <w:r>
      <w:fldChar w:fldCharType="begin"/>
    </w:r>
    <w:r>
      <w:instrText xml:space="preserve"> PRINTDATE \@ DD.MM.YY </w:instrText>
    </w:r>
    <w:r>
      <w:fldChar w:fldCharType="separate"/>
    </w:r>
    <w:r w:rsidR="00BB1EB7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1EB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</w:t>
    </w:r>
    <w:proofErr w:type="gramStart"/>
    <w:r w:rsidR="00F761D2">
      <w:t>)(</w:t>
    </w:r>
    <w:proofErr w:type="gramEnd"/>
    <w:r w:rsidR="00F761D2">
      <w:t>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2619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69BB"/>
    <w:rsid w:val="003C418E"/>
    <w:rsid w:val="003C583C"/>
    <w:rsid w:val="003F0078"/>
    <w:rsid w:val="00434A7C"/>
    <w:rsid w:val="0045143A"/>
    <w:rsid w:val="004644A0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6124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835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435A"/>
    <w:rsid w:val="008B43F2"/>
    <w:rsid w:val="008C3257"/>
    <w:rsid w:val="009017E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1447"/>
    <w:rsid w:val="00AA1B5D"/>
    <w:rsid w:val="00AC66E6"/>
    <w:rsid w:val="00B468A6"/>
    <w:rsid w:val="00B75113"/>
    <w:rsid w:val="00BA13A4"/>
    <w:rsid w:val="00BA1AA1"/>
    <w:rsid w:val="00BA35DC"/>
    <w:rsid w:val="00BB1EB7"/>
    <w:rsid w:val="00BC5313"/>
    <w:rsid w:val="00C20466"/>
    <w:rsid w:val="00C266F4"/>
    <w:rsid w:val="00C324A8"/>
    <w:rsid w:val="00C56E7A"/>
    <w:rsid w:val="00C662A3"/>
    <w:rsid w:val="00C67E22"/>
    <w:rsid w:val="00C779CE"/>
    <w:rsid w:val="00CC47C6"/>
    <w:rsid w:val="00CC4DE6"/>
    <w:rsid w:val="00CE5E47"/>
    <w:rsid w:val="00CF020F"/>
    <w:rsid w:val="00D53715"/>
    <w:rsid w:val="00D81A40"/>
    <w:rsid w:val="00D8686C"/>
    <w:rsid w:val="00DE0366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7E87503C-6C6D-44C6-965D-1E02CE37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R15-WRC15-C-0025!A1-A9!MSW-R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9451B6-1892-466C-AAEA-BF87BA183029}">
  <ds:schemaRefs>
    <ds:schemaRef ds:uri="996b2e75-67fd-4955-a3b0-5ab9934cb50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3594</Characters>
  <Application>Microsoft Office Word</Application>
  <DocSecurity>0</DocSecurity>
  <Lines>113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R15-WRC15-C-0025!A1-A9!MSW-R</vt:lpstr>
    </vt:vector>
  </TitlesOfParts>
  <Manager>General Secretariat - Pool</Manager>
  <Company>International Telecommunication Union (ITU)</Company>
  <LinksUpToDate>false</LinksUpToDate>
  <CharactersWithSpaces>4065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R15-WRC15-C-0025!A1-A9!MSW-R</dc:title>
  <dc:subject>World Radiocommunication Conference - 2015</dc:subject>
  <dc:creator>Documents Proposals Manager (DPM)</dc:creator>
  <cp:keywords>DPM_v5.2015.10.8_prod</cp:keywords>
  <dc:description/>
  <cp:lastModifiedBy>Tsarapkina, Yulia</cp:lastModifiedBy>
  <cp:revision>5</cp:revision>
  <cp:lastPrinted>2015-10-16T09:23:00Z</cp:lastPrinted>
  <dcterms:created xsi:type="dcterms:W3CDTF">2015-10-14T12:12:00Z</dcterms:created>
  <dcterms:modified xsi:type="dcterms:W3CDTF">2015-10-16T09:23:00Z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