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02785D" w:rsidTr="0050008E">
        <w:trPr>
          <w:cantSplit/>
        </w:trPr>
        <w:tc>
          <w:tcPr>
            <w:tcW w:w="6911" w:type="dxa"/>
            <w:gridSpan w:val="2"/>
          </w:tcPr>
          <w:p w:rsidR="0090121B" w:rsidRPr="00106B7F"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1" w:name="ditulogo"/>
            <w:bookmarkEnd w:id="1"/>
            <w:r>
              <w:rPr>
                <w:noProof/>
                <w:lang w:val="en-US" w:eastAsia="zh-CN"/>
              </w:rPr>
              <w:drawing>
                <wp:inline distT="0" distB="0" distL="0" distR="0" wp14:anchorId="52872628" wp14:editId="25CFADC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A60A5D">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gridSpan w:val="2"/>
            <w:shd w:val="clear" w:color="auto" w:fill="auto"/>
          </w:tcPr>
          <w:p w:rsidR="0090121B" w:rsidRPr="00106B7F" w:rsidRDefault="00AE658F" w:rsidP="0045384C">
            <w:pPr>
              <w:spacing w:before="0"/>
              <w:rPr>
                <w:rFonts w:ascii="Verdana" w:hAnsi="Verdana"/>
                <w:sz w:val="20"/>
              </w:rPr>
            </w:pPr>
            <w:r w:rsidRPr="00106B7F">
              <w:rPr>
                <w:rFonts w:ascii="Verdana" w:eastAsia="SimSun" w:hAnsi="Verdana" w:cs="Traditional Arabic"/>
                <w:b/>
                <w:sz w:val="20"/>
              </w:rPr>
              <w:t>Addéndum 7 al</w:t>
            </w:r>
            <w:r w:rsidRPr="00106B7F">
              <w:rPr>
                <w:rFonts w:ascii="Verdana" w:eastAsia="SimSun" w:hAnsi="Verdana" w:cs="Traditional Arabic"/>
                <w:b/>
                <w:sz w:val="20"/>
              </w:rPr>
              <w:br/>
              <w:t>Documento 25(Add.1)</w:t>
            </w:r>
            <w:r w:rsidR="0090121B" w:rsidRPr="00106B7F">
              <w:rPr>
                <w:rFonts w:ascii="Verdana" w:hAnsi="Verdana"/>
                <w:b/>
                <w:sz w:val="20"/>
              </w:rPr>
              <w:t>-</w:t>
            </w:r>
            <w:r w:rsidRPr="00106B7F">
              <w:rPr>
                <w:rFonts w:ascii="Verdana" w:hAnsi="Verdana"/>
                <w:b/>
                <w:sz w:val="20"/>
              </w:rPr>
              <w:t>S</w:t>
            </w:r>
          </w:p>
        </w:tc>
      </w:tr>
      <w:bookmarkEnd w:id="2"/>
      <w:tr w:rsidR="000A5B9A" w:rsidRPr="0002785D" w:rsidTr="00A60A5D">
        <w:trPr>
          <w:cantSplit/>
        </w:trPr>
        <w:tc>
          <w:tcPr>
            <w:tcW w:w="6804" w:type="dxa"/>
            <w:shd w:val="clear" w:color="auto" w:fill="auto"/>
          </w:tcPr>
          <w:p w:rsidR="000A5B9A" w:rsidRPr="00106B7F" w:rsidRDefault="000A5B9A" w:rsidP="0045384C">
            <w:pPr>
              <w:spacing w:before="0" w:after="48"/>
              <w:rPr>
                <w:rFonts w:ascii="Verdana" w:hAnsi="Verdana"/>
                <w:b/>
                <w:smallCaps/>
                <w:sz w:val="20"/>
              </w:rPr>
            </w:pPr>
          </w:p>
        </w:tc>
        <w:tc>
          <w:tcPr>
            <w:tcW w:w="3227"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10 de septiembre de 2015</w:t>
            </w:r>
          </w:p>
        </w:tc>
      </w:tr>
      <w:tr w:rsidR="000A5B9A" w:rsidRPr="0002785D" w:rsidTr="00A60A5D">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106B7F" w:rsidRDefault="000A5B9A" w:rsidP="000A5B9A">
            <w:pPr>
              <w:pStyle w:val="Source"/>
            </w:pPr>
            <w:bookmarkStart w:id="3" w:name="dsource" w:colFirst="0" w:colLast="0"/>
            <w:r w:rsidRPr="00106B7F">
              <w:t>Propuestas Comunes de los Estados Árabes</w:t>
            </w:r>
          </w:p>
        </w:tc>
      </w:tr>
      <w:tr w:rsidR="002122B3" w:rsidRPr="0002785D" w:rsidTr="0050008E">
        <w:trPr>
          <w:cantSplit/>
        </w:trPr>
        <w:tc>
          <w:tcPr>
            <w:tcW w:w="10031" w:type="dxa"/>
            <w:gridSpan w:val="3"/>
          </w:tcPr>
          <w:p w:rsidR="002122B3" w:rsidRPr="007E2FCF" w:rsidRDefault="002122B3" w:rsidP="002122B3">
            <w:pPr>
              <w:pStyle w:val="Title1"/>
            </w:pPr>
            <w:bookmarkStart w:id="4" w:name="dtitle1" w:colFirst="0" w:colLast="0"/>
            <w:bookmarkEnd w:id="3"/>
            <w:r w:rsidRPr="007E2FCF">
              <w:t>PROPUESTAS PARA LOS TRABAJOS DE LA CONFERENCIA</w:t>
            </w:r>
          </w:p>
        </w:tc>
      </w:tr>
      <w:tr w:rsidR="000A5B9A" w:rsidRPr="0002785D" w:rsidTr="0050008E">
        <w:trPr>
          <w:cantSplit/>
        </w:trPr>
        <w:tc>
          <w:tcPr>
            <w:tcW w:w="10031" w:type="dxa"/>
            <w:gridSpan w:val="3"/>
          </w:tcPr>
          <w:p w:rsidR="000A5B9A" w:rsidRPr="00106B7F" w:rsidRDefault="000A5B9A" w:rsidP="000A5B9A">
            <w:pPr>
              <w:pStyle w:val="Title2"/>
            </w:pPr>
            <w:bookmarkStart w:id="5" w:name="dtitle2" w:colFirst="0" w:colLast="0"/>
            <w:bookmarkEnd w:id="4"/>
          </w:p>
        </w:tc>
      </w:tr>
      <w:tr w:rsidR="000A5B9A" w:rsidTr="0050008E">
        <w:trPr>
          <w:cantSplit/>
        </w:trPr>
        <w:tc>
          <w:tcPr>
            <w:tcW w:w="10031" w:type="dxa"/>
            <w:gridSpan w:val="3"/>
          </w:tcPr>
          <w:p w:rsidR="000A5B9A" w:rsidRDefault="000A5B9A" w:rsidP="000A5B9A">
            <w:pPr>
              <w:pStyle w:val="Agendaitem"/>
            </w:pPr>
            <w:bookmarkStart w:id="6" w:name="dtitle3" w:colFirst="0" w:colLast="0"/>
            <w:bookmarkEnd w:id="5"/>
            <w:r w:rsidRPr="00AE658F">
              <w:t>Punto 1.1 del orden del día</w:t>
            </w:r>
          </w:p>
        </w:tc>
      </w:tr>
    </w:tbl>
    <w:bookmarkEnd w:id="6"/>
    <w:p w:rsidR="001C0E40" w:rsidRPr="00C26A0A" w:rsidRDefault="00106B7F"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2122B3" w:rsidRPr="00095C73" w:rsidRDefault="002122B3" w:rsidP="003B02FC">
      <w:pPr>
        <w:pStyle w:val="Headingb"/>
      </w:pPr>
      <w:r w:rsidRPr="00095C73">
        <w:t>Introducción</w:t>
      </w:r>
    </w:p>
    <w:p w:rsidR="002122B3" w:rsidRPr="007E2FCF" w:rsidRDefault="002122B3" w:rsidP="00F100BE">
      <w:r w:rsidRPr="007E2FCF">
        <w:t xml:space="preserve">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w:t>
      </w:r>
      <w:r w:rsidRPr="00F100BE">
        <w:t>entre ellas</w:t>
      </w:r>
      <w:r w:rsidRPr="007E2FCF">
        <w:t xml:space="preserve"> las IMT y otras aplicaciones terrenales móviles de banda ancha.</w:t>
      </w:r>
    </w:p>
    <w:p w:rsidR="002122B3" w:rsidRPr="007E2FCF" w:rsidRDefault="002122B3" w:rsidP="002122B3">
      <w:r w:rsidRPr="007E2FCF">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7E2FCF">
        <w:rPr>
          <w:i/>
          <w:iCs/>
        </w:rPr>
        <w:t>resuelve invitar al UIT-R</w:t>
      </w:r>
      <w:r w:rsidRPr="007E2FCF">
        <w:t xml:space="preserve"> de la Resolución 233 (CMR</w:t>
      </w:r>
      <w:r w:rsidRPr="007E2FCF">
        <w:noBreakHyphen/>
        <w:t>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w:t>
      </w:r>
    </w:p>
    <w:p w:rsidR="002122B3" w:rsidRPr="007E2FCF" w:rsidRDefault="002122B3" w:rsidP="00A60A5D">
      <w:r w:rsidRPr="007E2FCF">
        <w:t xml:space="preserve">Sobre la base de los estudios realizados sobre la compartición y la compatibilidad con los servicios que ya tienen atribuciones en las posibles bandas candidatas y en bandas adyacentes, y teniendo en cuenta la utilización actual y prevista de estas bandas por los servicios existentes, así como la necesaria protección que ha de dárseles, las administraciones de los Estados Árabes proponen que </w:t>
      </w:r>
      <w:r>
        <w:t xml:space="preserve">no </w:t>
      </w:r>
      <w:r w:rsidRPr="007E2FCF">
        <w:t>se modifique el Reglamento de Radiocomunicaciones en lo que respecta a la banda 3 </w:t>
      </w:r>
      <w:r>
        <w:t>3</w:t>
      </w:r>
      <w:r w:rsidRPr="007E2FCF">
        <w:t>00</w:t>
      </w:r>
      <w:r w:rsidR="00A60A5D">
        <w:noBreakHyphen/>
      </w:r>
      <w:r w:rsidRPr="007E2FCF">
        <w:t>3 </w:t>
      </w:r>
      <w:r>
        <w:t>4</w:t>
      </w:r>
      <w:r w:rsidRPr="007E2FCF">
        <w:t>00 MHz.</w:t>
      </w:r>
    </w:p>
    <w:p w:rsidR="002122B3" w:rsidRPr="00543DDB" w:rsidRDefault="002122B3" w:rsidP="002122B3">
      <w:pPr>
        <w:pStyle w:val="Headingb"/>
      </w:pPr>
      <w:r w:rsidRPr="00543DDB">
        <w:t>Propuesta</w:t>
      </w:r>
    </w:p>
    <w:p w:rsidR="002122B3" w:rsidRPr="00543DDB" w:rsidRDefault="002122B3" w:rsidP="002122B3">
      <w:pPr>
        <w:tabs>
          <w:tab w:val="clear" w:pos="1134"/>
          <w:tab w:val="clear" w:pos="1871"/>
          <w:tab w:val="clear" w:pos="2268"/>
        </w:tabs>
        <w:overflowPunct/>
        <w:autoSpaceDE/>
        <w:autoSpaceDN/>
        <w:adjustRightInd/>
        <w:spacing w:before="0"/>
        <w:textAlignment w:val="auto"/>
      </w:pPr>
      <w:r w:rsidRPr="00543DDB">
        <w:br w:type="page"/>
      </w:r>
    </w:p>
    <w:p w:rsidR="00F008F3" w:rsidRPr="00245062" w:rsidRDefault="00106B7F" w:rsidP="00D44B91">
      <w:pPr>
        <w:pStyle w:val="ArtNo"/>
      </w:pPr>
      <w:r w:rsidRPr="00245062">
        <w:lastRenderedPageBreak/>
        <w:t xml:space="preserve">ARTÍCULO </w:t>
      </w:r>
      <w:r w:rsidRPr="00245062">
        <w:rPr>
          <w:rStyle w:val="href"/>
        </w:rPr>
        <w:t>5</w:t>
      </w:r>
    </w:p>
    <w:p w:rsidR="00F008F3" w:rsidRPr="00F63BD5" w:rsidRDefault="00106B7F" w:rsidP="00D44B91">
      <w:pPr>
        <w:pStyle w:val="Arttitle"/>
      </w:pPr>
      <w:r w:rsidRPr="00245062">
        <w:t>Atribuciones de frecuencia</w:t>
      </w:r>
    </w:p>
    <w:p w:rsidR="00F008F3" w:rsidRPr="00245062" w:rsidRDefault="00106B7F"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0D3E94" w:rsidRDefault="00106B7F">
      <w:pPr>
        <w:pStyle w:val="Proposal"/>
      </w:pPr>
      <w:r>
        <w:rPr>
          <w:u w:val="single"/>
        </w:rPr>
        <w:t>NOC</w:t>
      </w:r>
      <w:r>
        <w:tab/>
        <w:t>ARB/25A1A7/1</w:t>
      </w:r>
    </w:p>
    <w:p w:rsidR="002122B3" w:rsidRPr="00DB6482" w:rsidRDefault="002122B3" w:rsidP="002122B3">
      <w:pPr>
        <w:pStyle w:val="Tabletitle"/>
      </w:pPr>
      <w:r w:rsidRPr="00DB6482">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122B3" w:rsidRPr="00DB6482" w:rsidTr="003661A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122B3" w:rsidRPr="00DB6482" w:rsidRDefault="002122B3" w:rsidP="003661A9">
            <w:pPr>
              <w:pStyle w:val="Tablehead"/>
            </w:pPr>
            <w:r w:rsidRPr="002F19EA">
              <w:t>Atribución a los servicios</w:t>
            </w:r>
          </w:p>
        </w:tc>
      </w:tr>
      <w:tr w:rsidR="002122B3" w:rsidRPr="002F19EA" w:rsidTr="003661A9">
        <w:trPr>
          <w:cantSplit/>
          <w:jc w:val="center"/>
        </w:trPr>
        <w:tc>
          <w:tcPr>
            <w:tcW w:w="3093" w:type="dxa"/>
            <w:tcBorders>
              <w:top w:val="single" w:sz="6" w:space="0" w:color="auto"/>
              <w:left w:val="single" w:sz="6" w:space="0" w:color="auto"/>
              <w:bottom w:val="single" w:sz="6" w:space="0" w:color="auto"/>
              <w:right w:val="single" w:sz="6" w:space="0" w:color="auto"/>
            </w:tcBorders>
          </w:tcPr>
          <w:p w:rsidR="002122B3" w:rsidRPr="002F19EA" w:rsidRDefault="002122B3" w:rsidP="003661A9">
            <w:pPr>
              <w:pStyle w:val="Tablehead"/>
              <w:rPr>
                <w:color w:val="000000"/>
              </w:rPr>
            </w:pPr>
            <w:r w:rsidRPr="002F19EA">
              <w:rPr>
                <w:color w:val="000000"/>
              </w:rPr>
              <w:t>Región 1</w:t>
            </w:r>
          </w:p>
        </w:tc>
        <w:tc>
          <w:tcPr>
            <w:tcW w:w="3109" w:type="dxa"/>
            <w:tcBorders>
              <w:top w:val="single" w:sz="6" w:space="0" w:color="auto"/>
              <w:left w:val="single" w:sz="6" w:space="0" w:color="auto"/>
              <w:bottom w:val="single" w:sz="6" w:space="0" w:color="auto"/>
              <w:right w:val="single" w:sz="6" w:space="0" w:color="auto"/>
            </w:tcBorders>
          </w:tcPr>
          <w:p w:rsidR="002122B3" w:rsidRPr="002F19EA" w:rsidRDefault="002122B3" w:rsidP="003661A9">
            <w:pPr>
              <w:pStyle w:val="Tablehead"/>
              <w:rPr>
                <w:color w:val="000000"/>
              </w:rPr>
            </w:pPr>
            <w:r w:rsidRPr="002F19EA">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2122B3" w:rsidRPr="002F19EA" w:rsidRDefault="002122B3" w:rsidP="003661A9">
            <w:pPr>
              <w:pStyle w:val="Tablehead"/>
              <w:rPr>
                <w:color w:val="000000"/>
              </w:rPr>
            </w:pPr>
            <w:r w:rsidRPr="002F19EA">
              <w:rPr>
                <w:color w:val="000000"/>
              </w:rPr>
              <w:t>Región 3</w:t>
            </w:r>
          </w:p>
        </w:tc>
      </w:tr>
      <w:tr w:rsidR="002122B3" w:rsidRPr="00DB6482" w:rsidTr="003661A9">
        <w:trPr>
          <w:cantSplit/>
          <w:jc w:val="center"/>
        </w:trPr>
        <w:tc>
          <w:tcPr>
            <w:tcW w:w="3093" w:type="dxa"/>
            <w:tcBorders>
              <w:top w:val="single" w:sz="6" w:space="0" w:color="auto"/>
              <w:left w:val="single" w:sz="6" w:space="0" w:color="auto"/>
              <w:right w:val="single" w:sz="6" w:space="0" w:color="auto"/>
            </w:tcBorders>
          </w:tcPr>
          <w:p w:rsidR="002122B3" w:rsidRPr="00DB6482" w:rsidRDefault="002122B3" w:rsidP="003661A9">
            <w:pPr>
              <w:pStyle w:val="TableTextS5"/>
              <w:spacing w:before="20" w:after="20"/>
              <w:ind w:left="170" w:hanging="170"/>
              <w:rPr>
                <w:rStyle w:val="Tablefreq"/>
              </w:rPr>
            </w:pPr>
            <w:r w:rsidRPr="00DB6482">
              <w:rPr>
                <w:rStyle w:val="Tablefreq"/>
              </w:rPr>
              <w:t>3 300-3 400</w:t>
            </w:r>
          </w:p>
          <w:p w:rsidR="002122B3" w:rsidRPr="00DB6482" w:rsidRDefault="002122B3" w:rsidP="003661A9">
            <w:pPr>
              <w:pStyle w:val="TableTextS5"/>
            </w:pPr>
            <w:r w:rsidRPr="002F19EA">
              <w:rPr>
                <w:color w:val="000000"/>
              </w:rPr>
              <w:t>RADIOLOCALIZACIÓN</w:t>
            </w:r>
          </w:p>
        </w:tc>
        <w:tc>
          <w:tcPr>
            <w:tcW w:w="3109" w:type="dxa"/>
            <w:tcBorders>
              <w:top w:val="single" w:sz="6" w:space="0" w:color="auto"/>
              <w:left w:val="single" w:sz="6" w:space="0" w:color="auto"/>
              <w:right w:val="single" w:sz="6" w:space="0" w:color="auto"/>
            </w:tcBorders>
          </w:tcPr>
          <w:p w:rsidR="002122B3" w:rsidRPr="00DB6482" w:rsidRDefault="002122B3" w:rsidP="003661A9">
            <w:pPr>
              <w:pStyle w:val="TableTextS5"/>
              <w:spacing w:before="20" w:after="20"/>
              <w:ind w:left="170" w:hanging="170"/>
              <w:rPr>
                <w:rStyle w:val="Tablefreq"/>
              </w:rPr>
            </w:pPr>
            <w:r w:rsidRPr="00DB6482">
              <w:rPr>
                <w:rStyle w:val="Tablefreq"/>
              </w:rPr>
              <w:t>3 300-3 400</w:t>
            </w:r>
          </w:p>
          <w:p w:rsidR="002122B3" w:rsidRPr="00DB6482" w:rsidRDefault="002122B3" w:rsidP="003661A9">
            <w:pPr>
              <w:pStyle w:val="TableTextS5"/>
              <w:spacing w:before="20" w:after="20"/>
              <w:ind w:left="170" w:hanging="170"/>
              <w:rPr>
                <w:color w:val="000000"/>
              </w:rPr>
            </w:pPr>
            <w:r w:rsidRPr="002F19EA">
              <w:rPr>
                <w:color w:val="000000"/>
              </w:rPr>
              <w:t>RADIOLOCALIZACIÓN</w:t>
            </w:r>
          </w:p>
          <w:p w:rsidR="002122B3" w:rsidRPr="00DB6482" w:rsidRDefault="002122B3" w:rsidP="003661A9">
            <w:pPr>
              <w:pStyle w:val="TableTextS5"/>
              <w:spacing w:before="20" w:after="20"/>
              <w:ind w:left="170" w:hanging="170"/>
              <w:rPr>
                <w:color w:val="000000"/>
              </w:rPr>
            </w:pPr>
            <w:r>
              <w:rPr>
                <w:color w:val="000000"/>
              </w:rPr>
              <w:t>Aficionado</w:t>
            </w:r>
          </w:p>
          <w:p w:rsidR="002122B3" w:rsidRPr="00DB6482" w:rsidRDefault="002122B3" w:rsidP="003661A9">
            <w:pPr>
              <w:pStyle w:val="TableTextS5"/>
              <w:spacing w:before="20" w:after="20"/>
              <w:ind w:left="170" w:hanging="170"/>
              <w:rPr>
                <w:color w:val="000000"/>
              </w:rPr>
            </w:pPr>
            <w:r>
              <w:rPr>
                <w:color w:val="000000"/>
              </w:rPr>
              <w:t>Fijo</w:t>
            </w:r>
          </w:p>
          <w:p w:rsidR="002122B3" w:rsidRPr="00DB6482" w:rsidRDefault="002122B3" w:rsidP="003661A9">
            <w:pPr>
              <w:pStyle w:val="TableTextS5"/>
            </w:pPr>
            <w:r>
              <w:rPr>
                <w:color w:val="000000"/>
              </w:rPr>
              <w:t>Móvil</w:t>
            </w:r>
          </w:p>
        </w:tc>
        <w:tc>
          <w:tcPr>
            <w:tcW w:w="3101" w:type="dxa"/>
            <w:tcBorders>
              <w:top w:val="single" w:sz="6" w:space="0" w:color="auto"/>
              <w:left w:val="single" w:sz="6" w:space="0" w:color="auto"/>
              <w:right w:val="single" w:sz="6" w:space="0" w:color="auto"/>
            </w:tcBorders>
          </w:tcPr>
          <w:p w:rsidR="002122B3" w:rsidRPr="00DB6482" w:rsidRDefault="002122B3" w:rsidP="003661A9">
            <w:pPr>
              <w:pStyle w:val="TableTextS5"/>
              <w:spacing w:before="20" w:after="20"/>
              <w:ind w:left="170" w:hanging="170"/>
              <w:rPr>
                <w:rStyle w:val="Tablefreq"/>
              </w:rPr>
            </w:pPr>
            <w:r w:rsidRPr="00DB6482">
              <w:rPr>
                <w:rStyle w:val="Tablefreq"/>
              </w:rPr>
              <w:t>3 300-3 400</w:t>
            </w:r>
          </w:p>
          <w:p w:rsidR="002122B3" w:rsidRPr="00DB6482" w:rsidRDefault="002122B3" w:rsidP="003661A9">
            <w:pPr>
              <w:pStyle w:val="TableTextS5"/>
              <w:spacing w:before="20" w:after="20"/>
              <w:ind w:left="170" w:hanging="170"/>
              <w:rPr>
                <w:color w:val="000000"/>
              </w:rPr>
            </w:pPr>
            <w:r w:rsidRPr="002F19EA">
              <w:rPr>
                <w:color w:val="000000"/>
              </w:rPr>
              <w:t>RADIOLOCALIZACIÓN</w:t>
            </w:r>
          </w:p>
          <w:p w:rsidR="002122B3" w:rsidRPr="00DB6482" w:rsidRDefault="002122B3" w:rsidP="003661A9">
            <w:pPr>
              <w:pStyle w:val="TableTextS5"/>
              <w:spacing w:before="0"/>
            </w:pPr>
            <w:r>
              <w:rPr>
                <w:color w:val="000000"/>
              </w:rPr>
              <w:t>Aficionado</w:t>
            </w:r>
          </w:p>
        </w:tc>
      </w:tr>
      <w:tr w:rsidR="002122B3" w:rsidRPr="00DB6482" w:rsidTr="003661A9">
        <w:trPr>
          <w:cantSplit/>
          <w:jc w:val="center"/>
        </w:trPr>
        <w:tc>
          <w:tcPr>
            <w:tcW w:w="3093" w:type="dxa"/>
            <w:tcBorders>
              <w:left w:val="single" w:sz="6" w:space="0" w:color="auto"/>
              <w:bottom w:val="single" w:sz="6" w:space="0" w:color="auto"/>
              <w:right w:val="single" w:sz="6" w:space="0" w:color="auto"/>
            </w:tcBorders>
          </w:tcPr>
          <w:p w:rsidR="002122B3" w:rsidRPr="00DB6482" w:rsidRDefault="002122B3" w:rsidP="003661A9">
            <w:pPr>
              <w:pStyle w:val="TableTextS5"/>
            </w:pPr>
            <w:r w:rsidRPr="00DB6482">
              <w:rPr>
                <w:rStyle w:val="Artref"/>
                <w:color w:val="000000"/>
              </w:rPr>
              <w:t>5.149</w:t>
            </w:r>
            <w:r w:rsidRPr="00DB6482">
              <w:rPr>
                <w:color w:val="000000"/>
              </w:rPr>
              <w:t xml:space="preserve">  </w:t>
            </w:r>
            <w:r w:rsidRPr="00DB6482">
              <w:rPr>
                <w:rStyle w:val="Artref"/>
                <w:color w:val="000000"/>
              </w:rPr>
              <w:t>5.429</w:t>
            </w:r>
            <w:r w:rsidRPr="00DB6482">
              <w:rPr>
                <w:color w:val="000000"/>
              </w:rPr>
              <w:t xml:space="preserve">  </w:t>
            </w:r>
            <w:r w:rsidRPr="00DB6482">
              <w:rPr>
                <w:rStyle w:val="Artref"/>
                <w:color w:val="000000"/>
              </w:rPr>
              <w:t>5.430</w:t>
            </w:r>
          </w:p>
        </w:tc>
        <w:tc>
          <w:tcPr>
            <w:tcW w:w="3109" w:type="dxa"/>
            <w:tcBorders>
              <w:left w:val="single" w:sz="6" w:space="0" w:color="auto"/>
              <w:bottom w:val="single" w:sz="4" w:space="0" w:color="auto"/>
              <w:right w:val="single" w:sz="6" w:space="0" w:color="auto"/>
            </w:tcBorders>
          </w:tcPr>
          <w:p w:rsidR="002122B3" w:rsidRPr="00DB6482" w:rsidRDefault="002122B3" w:rsidP="003661A9">
            <w:pPr>
              <w:pStyle w:val="TableTextS5"/>
            </w:pPr>
            <w:r w:rsidRPr="00DB6482">
              <w:rPr>
                <w:rStyle w:val="Artref"/>
                <w:color w:val="000000"/>
              </w:rPr>
              <w:t>5.149</w:t>
            </w:r>
          </w:p>
        </w:tc>
        <w:tc>
          <w:tcPr>
            <w:tcW w:w="3101" w:type="dxa"/>
            <w:tcBorders>
              <w:left w:val="single" w:sz="6" w:space="0" w:color="auto"/>
              <w:bottom w:val="single" w:sz="4" w:space="0" w:color="auto"/>
              <w:right w:val="single" w:sz="6" w:space="0" w:color="auto"/>
            </w:tcBorders>
          </w:tcPr>
          <w:p w:rsidR="002122B3" w:rsidRPr="00DB6482" w:rsidRDefault="002122B3" w:rsidP="003661A9">
            <w:pPr>
              <w:pStyle w:val="TableTextS5"/>
            </w:pPr>
            <w:r w:rsidRPr="00DB6482">
              <w:rPr>
                <w:rStyle w:val="Artref"/>
                <w:color w:val="000000"/>
              </w:rPr>
              <w:t>5.149</w:t>
            </w:r>
            <w:r w:rsidRPr="00DB6482">
              <w:rPr>
                <w:color w:val="000000"/>
              </w:rPr>
              <w:t xml:space="preserve">  </w:t>
            </w:r>
            <w:r w:rsidRPr="00DB6482">
              <w:rPr>
                <w:rStyle w:val="Artref"/>
                <w:color w:val="000000"/>
              </w:rPr>
              <w:t>5.429</w:t>
            </w:r>
          </w:p>
        </w:tc>
      </w:tr>
    </w:tbl>
    <w:p w:rsidR="002122B3" w:rsidRDefault="002122B3" w:rsidP="002122B3">
      <w:pPr>
        <w:pStyle w:val="Reasons"/>
        <w:rPr>
          <w:lang w:val="es-ES"/>
        </w:rPr>
      </w:pPr>
      <w:r w:rsidRPr="00A14540">
        <w:rPr>
          <w:b/>
          <w:lang w:val="es-ES"/>
        </w:rPr>
        <w:t>Motivos:</w:t>
      </w:r>
      <w:r w:rsidRPr="00A14540">
        <w:rPr>
          <w:lang w:val="es-ES"/>
        </w:rPr>
        <w:tab/>
        <w:t xml:space="preserve">Sin modificación relativa a la banda de frecuencias 3 300-3 400 MHz, </w:t>
      </w:r>
      <w:r>
        <w:rPr>
          <w:lang w:val="es-ES"/>
        </w:rPr>
        <w:t xml:space="preserve">pues se utiliza </w:t>
      </w:r>
      <w:r w:rsidRPr="00A14540">
        <w:rPr>
          <w:lang w:val="es-ES"/>
        </w:rPr>
        <w:t xml:space="preserve">ampliamente por varias aplicaciones de radar. Los estudios de compartición </w:t>
      </w:r>
      <w:r>
        <w:rPr>
          <w:lang w:val="es-ES"/>
        </w:rPr>
        <w:t>muestran</w:t>
      </w:r>
      <w:r w:rsidRPr="00A14540">
        <w:rPr>
          <w:lang w:val="es-ES"/>
        </w:rPr>
        <w:t xml:space="preserve"> que la coexistencia entre los servicios de radiolocalización y los servicios de teléfono móvil (IMT) no son posibles en la misma regi</w:t>
      </w:r>
      <w:r w:rsidR="003B02FC">
        <w:rPr>
          <w:lang w:val="es-ES"/>
        </w:rPr>
        <w:t>ón.</w:t>
      </w:r>
    </w:p>
    <w:p w:rsidR="003B02FC" w:rsidRPr="00A14540" w:rsidRDefault="003B02FC" w:rsidP="002122B3">
      <w:pPr>
        <w:pStyle w:val="Reasons"/>
        <w:rPr>
          <w:lang w:val="es-ES"/>
        </w:rPr>
      </w:pPr>
    </w:p>
    <w:p w:rsidR="002122B3" w:rsidRPr="00DB6482" w:rsidRDefault="002122B3" w:rsidP="002122B3">
      <w:pPr>
        <w:jc w:val="center"/>
      </w:pPr>
      <w:r w:rsidRPr="00DB6482">
        <w:t>______________</w:t>
      </w:r>
    </w:p>
    <w:sectPr w:rsidR="002122B3" w:rsidRPr="00DB648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B02FC" w:rsidRDefault="0077084A">
    <w:pPr>
      <w:ind w:right="360"/>
    </w:pPr>
    <w:r>
      <w:fldChar w:fldCharType="begin"/>
    </w:r>
    <w:r w:rsidRPr="003B02FC">
      <w:instrText xml:space="preserve"> FILENAME \p  \* MERGEFORMAT </w:instrText>
    </w:r>
    <w:r>
      <w:fldChar w:fldCharType="separate"/>
    </w:r>
    <w:r w:rsidR="003B02FC" w:rsidRPr="003B02FC">
      <w:rPr>
        <w:noProof/>
      </w:rPr>
      <w:t>P:\ESP\ITU-R\CONF-R\CMR15\000\025ADD01ADD07S.docx</w:t>
    </w:r>
    <w:r>
      <w:fldChar w:fldCharType="end"/>
    </w:r>
    <w:r w:rsidRPr="003B02FC">
      <w:tab/>
    </w:r>
    <w:r>
      <w:fldChar w:fldCharType="begin"/>
    </w:r>
    <w:r>
      <w:instrText xml:space="preserve"> SAVEDATE \@ DD.MM.YY </w:instrText>
    </w:r>
    <w:r>
      <w:fldChar w:fldCharType="separate"/>
    </w:r>
    <w:r w:rsidR="003B02FC">
      <w:rPr>
        <w:noProof/>
      </w:rPr>
      <w:t>21.10.15</w:t>
    </w:r>
    <w:r>
      <w:fldChar w:fldCharType="end"/>
    </w:r>
    <w:r w:rsidRPr="003B02FC">
      <w:tab/>
    </w:r>
    <w:r>
      <w:fldChar w:fldCharType="begin"/>
    </w:r>
    <w:r>
      <w:instrText xml:space="preserve"> PRINTDATE \@ DD.MM.YY </w:instrText>
    </w:r>
    <w:r>
      <w:fldChar w:fldCharType="separate"/>
    </w:r>
    <w:r w:rsidR="003B02FC">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7F" w:rsidRDefault="00106B7F" w:rsidP="00106B7F">
    <w:pPr>
      <w:pStyle w:val="Footer"/>
    </w:pPr>
    <w:fldSimple w:instr=" FILENAME \p  \* MERGEFORMAT ">
      <w:r w:rsidR="003B02FC">
        <w:t>P:\ESP\ITU-R\CONF-R\CMR15\000\025ADD01ADD07S.docx</w:t>
      </w:r>
    </w:fldSimple>
    <w:r>
      <w:t xml:space="preserve"> (386843)</w:t>
    </w:r>
    <w:r>
      <w:tab/>
    </w:r>
    <w:r>
      <w:fldChar w:fldCharType="begin"/>
    </w:r>
    <w:r>
      <w:instrText xml:space="preserve"> SAVEDATE \@ DD.MM.YY </w:instrText>
    </w:r>
    <w:r>
      <w:fldChar w:fldCharType="separate"/>
    </w:r>
    <w:r w:rsidR="003B02FC">
      <w:t>21.10.15</w:t>
    </w:r>
    <w:r>
      <w:fldChar w:fldCharType="end"/>
    </w:r>
    <w:r>
      <w:tab/>
    </w:r>
    <w:r>
      <w:fldChar w:fldCharType="begin"/>
    </w:r>
    <w:r>
      <w:instrText xml:space="preserve"> PRINTDATE \@ DD.MM.YY </w:instrText>
    </w:r>
    <w:r>
      <w:fldChar w:fldCharType="separate"/>
    </w:r>
    <w:r w:rsidR="003B02FC">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7F" w:rsidRDefault="00F100BE">
    <w:pPr>
      <w:pStyle w:val="Footer"/>
    </w:pPr>
    <w:r>
      <w:fldChar w:fldCharType="begin"/>
    </w:r>
    <w:r>
      <w:instrText xml:space="preserve"> FILENAME \p  \* MERGEFORMAT </w:instrText>
    </w:r>
    <w:r>
      <w:fldChar w:fldCharType="separate"/>
    </w:r>
    <w:r w:rsidR="003B02FC">
      <w:t>P:\ESP\ITU-R\CONF-R\CMR15\000\025ADD01ADD07S.docx</w:t>
    </w:r>
    <w:r>
      <w:fldChar w:fldCharType="end"/>
    </w:r>
    <w:r w:rsidR="00106B7F">
      <w:t xml:space="preserve"> (386843)</w:t>
    </w:r>
    <w:r w:rsidR="00106B7F">
      <w:tab/>
    </w:r>
    <w:r w:rsidR="00106B7F">
      <w:fldChar w:fldCharType="begin"/>
    </w:r>
    <w:r w:rsidR="00106B7F">
      <w:instrText xml:space="preserve"> SAVEDATE \@ DD.MM.YY </w:instrText>
    </w:r>
    <w:r w:rsidR="00106B7F">
      <w:fldChar w:fldCharType="separate"/>
    </w:r>
    <w:r w:rsidR="003B02FC">
      <w:t>21.10.15</w:t>
    </w:r>
    <w:r w:rsidR="00106B7F">
      <w:fldChar w:fldCharType="end"/>
    </w:r>
    <w:r w:rsidR="00106B7F">
      <w:tab/>
    </w:r>
    <w:r w:rsidR="00106B7F">
      <w:fldChar w:fldCharType="begin"/>
    </w:r>
    <w:r w:rsidR="00106B7F">
      <w:instrText xml:space="preserve"> PRINTDATE \@ DD.MM.YY </w:instrText>
    </w:r>
    <w:r w:rsidR="00106B7F">
      <w:fldChar w:fldCharType="separate"/>
    </w:r>
    <w:r w:rsidR="003B02FC">
      <w:t>22.10.15</w:t>
    </w:r>
    <w:r w:rsidR="00106B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100B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3E94"/>
    <w:rsid w:val="000E5BF9"/>
    <w:rsid w:val="000F0E6D"/>
    <w:rsid w:val="00106B7F"/>
    <w:rsid w:val="00121170"/>
    <w:rsid w:val="00123CC5"/>
    <w:rsid w:val="0015142D"/>
    <w:rsid w:val="001616DC"/>
    <w:rsid w:val="00163962"/>
    <w:rsid w:val="00191A97"/>
    <w:rsid w:val="001A083F"/>
    <w:rsid w:val="001C41FA"/>
    <w:rsid w:val="001E2B52"/>
    <w:rsid w:val="001E3F27"/>
    <w:rsid w:val="002122B3"/>
    <w:rsid w:val="00236D2A"/>
    <w:rsid w:val="00255F12"/>
    <w:rsid w:val="00262C09"/>
    <w:rsid w:val="002A791F"/>
    <w:rsid w:val="002C1B26"/>
    <w:rsid w:val="002C5D6C"/>
    <w:rsid w:val="002E701F"/>
    <w:rsid w:val="003248A9"/>
    <w:rsid w:val="00324FFA"/>
    <w:rsid w:val="0032680B"/>
    <w:rsid w:val="00363A65"/>
    <w:rsid w:val="003B02FC"/>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60A5D"/>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100BE"/>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3E10EB3-B250-482F-A1F0-D1DC2A21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R15-WRC15-C-0025!A1-A7!MSW-S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46B26-AB71-4991-8AA0-93834B411DB7}">
  <ds:schemaRefs>
    <ds:schemaRef ds:uri="http://schemas.openxmlformats.org/package/2006/metadata/core-properties"/>
    <ds:schemaRef ds:uri="http://schemas.microsoft.com/office/2006/documentManagement/types"/>
    <ds:schemaRef ds:uri="http://www.w3.org/XML/1998/namespace"/>
    <ds:schemaRef ds:uri="996b2e75-67fd-4955-a3b0-5ab9934cb50b"/>
    <ds:schemaRef ds:uri="http://purl.org/dc/elements/1.1/"/>
    <ds:schemaRef ds:uri="http://schemas.microsoft.com/office/2006/metadata/properties"/>
    <ds:schemaRef ds:uri="32a1a8c5-2265-4ebc-b7a0-2071e2c5c9bb"/>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8822410-F5D2-47EF-828A-310F48C0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492</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R15-WRC15-C-0025!A1-A7!MSW-S</vt:lpstr>
    </vt:vector>
  </TitlesOfParts>
  <Manager>Secretaría General - Pool</Manager>
  <Company>Unión Internacional de Telecomunicaciones (UIT)</Company>
  <LinksUpToDate>false</LinksUpToDate>
  <CharactersWithSpaces>3190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R15-WRC15-C-0025!A1-A7!MSW-S</dc:title>
  <dc:subject>Conferencia Mundial de Radiocomunicaciones - 2015</dc:subject>
  <dc:creator>Documents Proposals Manager (DPM)</dc:creator>
  <cp:keywords>DPM_v5.2015.10.15_prod</cp:keywords>
  <dc:description/>
  <cp:lastModifiedBy>spanish</cp:lastModifiedBy>
  <cp:revision>4</cp:revision>
  <cp:lastPrinted>2015-10-22T10:19:00Z</cp:lastPrinted>
  <dcterms:created xsi:type="dcterms:W3CDTF">2015-10-21T10:13:00Z</dcterms:created>
  <dcterms:modified xsi:type="dcterms:W3CDTF">2015-10-22T10:44:00Z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