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ED3325" w:rsidRDefault="006D4724" w:rsidP="00BA5BD0">
            <w:pPr>
              <w:spacing w:before="0"/>
              <w:rPr>
                <w:rFonts w:ascii="Verdana" w:hAnsi="Verdana"/>
                <w:sz w:val="20"/>
              </w:rPr>
            </w:pPr>
            <w:r w:rsidRPr="00ED3325">
              <w:rPr>
                <w:rFonts w:ascii="Verdana" w:eastAsia="SimSun" w:hAnsi="Verdana" w:cs="Traditional Arabic"/>
                <w:b/>
                <w:sz w:val="20"/>
              </w:rPr>
              <w:t>Addendum 7 au</w:t>
            </w:r>
            <w:r w:rsidRPr="00ED3325">
              <w:rPr>
                <w:rFonts w:ascii="Verdana" w:eastAsia="SimSun" w:hAnsi="Verdana" w:cs="Traditional Arabic"/>
                <w:b/>
                <w:sz w:val="20"/>
              </w:rPr>
              <w:br/>
              <w:t>Document 25(Add.1)</w:t>
            </w:r>
            <w:r w:rsidR="00BB1D82" w:rsidRPr="00ED3325">
              <w:rPr>
                <w:rFonts w:ascii="Verdana" w:hAnsi="Verdana"/>
                <w:b/>
                <w:sz w:val="20"/>
              </w:rPr>
              <w:t>-</w:t>
            </w:r>
            <w:r w:rsidRPr="00ED3325">
              <w:rPr>
                <w:rFonts w:ascii="Verdana" w:hAnsi="Verdana"/>
                <w:b/>
                <w:sz w:val="20"/>
              </w:rPr>
              <w:t>F</w:t>
            </w:r>
          </w:p>
        </w:tc>
      </w:tr>
      <w:bookmarkEnd w:id="2"/>
      <w:tr w:rsidR="00690C7B" w:rsidRPr="002A6F8F" w:rsidTr="00BB1D82">
        <w:trPr>
          <w:cantSplit/>
        </w:trPr>
        <w:tc>
          <w:tcPr>
            <w:tcW w:w="6911" w:type="dxa"/>
            <w:shd w:val="clear" w:color="auto" w:fill="auto"/>
          </w:tcPr>
          <w:p w:rsidR="00690C7B" w:rsidRPr="00ED3325"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D3325" w:rsidRDefault="00690C7B" w:rsidP="00690C7B">
            <w:pPr>
              <w:pStyle w:val="Source"/>
            </w:pPr>
            <w:bookmarkStart w:id="3" w:name="dsource" w:colFirst="0" w:colLast="0"/>
            <w:r w:rsidRPr="00ED3325">
              <w:t>Propositions communes des Etats arabes</w:t>
            </w:r>
          </w:p>
        </w:tc>
      </w:tr>
      <w:tr w:rsidR="00690C7B" w:rsidRPr="002A6F8F" w:rsidTr="0050008E">
        <w:trPr>
          <w:cantSplit/>
        </w:trPr>
        <w:tc>
          <w:tcPr>
            <w:tcW w:w="10031" w:type="dxa"/>
            <w:gridSpan w:val="2"/>
          </w:tcPr>
          <w:p w:rsidR="00690C7B" w:rsidRPr="00ED3325" w:rsidRDefault="00ED3325" w:rsidP="00ED3325">
            <w:pPr>
              <w:pStyle w:val="Title1"/>
            </w:pPr>
            <w:bookmarkStart w:id="4" w:name="dtitle1" w:colFirst="0" w:colLast="0"/>
            <w:bookmarkEnd w:id="3"/>
            <w:r w:rsidRPr="00ED3325">
              <w:t>PROPOSITIONS POUR LES TRAVAUX DE LA CONF</w:t>
            </w:r>
            <w:r>
              <w:t>é</w:t>
            </w:r>
            <w:r w:rsidRPr="00ED3325">
              <w:t>RENCE</w:t>
            </w:r>
          </w:p>
        </w:tc>
      </w:tr>
      <w:tr w:rsidR="00690C7B" w:rsidRPr="002A6F8F" w:rsidTr="0050008E">
        <w:trPr>
          <w:cantSplit/>
        </w:trPr>
        <w:tc>
          <w:tcPr>
            <w:tcW w:w="10031" w:type="dxa"/>
            <w:gridSpan w:val="2"/>
          </w:tcPr>
          <w:p w:rsidR="00690C7B" w:rsidRPr="00ED3325"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E548D2"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F12602" w:rsidRPr="006F39E2" w:rsidRDefault="00F12602" w:rsidP="00E03BD6">
      <w:pPr>
        <w:pStyle w:val="Headingb"/>
        <w:rPr>
          <w:lang w:val="fr-CH"/>
        </w:rPr>
      </w:pPr>
      <w:r w:rsidRPr="006F39E2">
        <w:rPr>
          <w:lang w:val="fr-CH"/>
        </w:rPr>
        <w:t>Introduction</w:t>
      </w:r>
    </w:p>
    <w:p w:rsidR="00E03BD6" w:rsidRPr="00447D31" w:rsidRDefault="00E03BD6" w:rsidP="00E03BD6">
      <w:pPr>
        <w:rPr>
          <w:lang w:val="fr-CH"/>
        </w:rPr>
      </w:pPr>
      <w:r w:rsidRPr="00447D31">
        <w:rPr>
          <w:lang w:val="fr-CH"/>
        </w:rPr>
        <w:t xml:space="preserve">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w:t>
      </w:r>
      <w:r>
        <w:rPr>
          <w:lang w:val="fr-CH"/>
        </w:rPr>
        <w:t>télécommunications mobiles à large bande</w:t>
      </w:r>
      <w:r w:rsidRPr="00447D31">
        <w:rPr>
          <w:lang w:val="fr-CH"/>
        </w:rPr>
        <w:t>,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E03BD6" w:rsidRPr="00447D31" w:rsidRDefault="00E03BD6" w:rsidP="00E03BD6">
      <w:pPr>
        <w:rPr>
          <w:lang w:val="fr-CH"/>
        </w:rPr>
      </w:pPr>
      <w:r w:rsidRPr="00447D31">
        <w:rPr>
          <w:lang w:val="fr-CH"/>
        </w:rPr>
        <w:t xml:space="preserve">Des études ont </w:t>
      </w:r>
      <w:r>
        <w:rPr>
          <w:lang w:val="fr-CH"/>
        </w:rPr>
        <w:t>été menées</w:t>
      </w:r>
      <w:r w:rsidRPr="00447D31">
        <w:rPr>
          <w:lang w:val="fr-CH"/>
        </w:rPr>
        <w:t xml:space="preserve"> </w:t>
      </w:r>
      <w:r>
        <w:rPr>
          <w:lang w:val="fr-CH"/>
        </w:rPr>
        <w:t>sur l</w:t>
      </w:r>
      <w:r w:rsidRPr="00447D31">
        <w:rPr>
          <w:lang w:val="fr-CH"/>
        </w:rPr>
        <w:t xml:space="preserve">es futurs besoins de spectre et </w:t>
      </w:r>
      <w:r>
        <w:rPr>
          <w:lang w:val="fr-CH"/>
        </w:rPr>
        <w:t>l</w:t>
      </w:r>
      <w:r w:rsidRPr="00447D31">
        <w:rPr>
          <w:lang w:val="fr-CH"/>
        </w:rPr>
        <w:t xml:space="preserve">es bandes qui pourraient être envisagées pour les IMT, ainsi que sur d'autres applications mobiles à large bande de Terre. Les administrations ont proposé, conformément au point 2 du </w:t>
      </w:r>
      <w:r w:rsidRPr="00447D31">
        <w:rPr>
          <w:i/>
          <w:iCs/>
          <w:lang w:val="fr-CH"/>
        </w:rPr>
        <w:t>décide d'inviter l'UIT-R</w:t>
      </w:r>
      <w:r>
        <w:rPr>
          <w:lang w:val="fr-CH"/>
        </w:rPr>
        <w:t xml:space="preserve"> de la Résolution </w:t>
      </w:r>
      <w:r w:rsidRPr="00447D31">
        <w:rPr>
          <w:lang w:val="fr-CH"/>
        </w:rPr>
        <w:t xml:space="preserve">233 (CMR-12), que des études soient menées sur les bandes de fréquences suivantes: </w:t>
      </w:r>
      <w:r>
        <w:rPr>
          <w:lang w:val="fr-CH"/>
        </w:rPr>
        <w:t>470</w:t>
      </w:r>
      <w:r>
        <w:rPr>
          <w:lang w:val="fr-CH"/>
        </w:rPr>
        <w:noBreakHyphen/>
      </w:r>
      <w:r w:rsidRPr="00447D31">
        <w:rPr>
          <w:lang w:val="fr-CH"/>
        </w:rPr>
        <w:t>694/698 MHz, 1 300-1 525 MHz, 1 695-1 710 MHz, 2 025-2 110 MHz, 2 200-2 290 MHz, 2 700-2 900 MHz, 2 900-3 100 MHz, 3 300-3 400 MHz, 3 400-3 600 MHz, 3 600-4 200 MHz, 4 400-4 900 MHz, 4 800-5 000 MHz, 5 350-5 470 MHz, 5 725-5 850 MHz et 5 925-6 425 MHz.</w:t>
      </w:r>
    </w:p>
    <w:p w:rsidR="00F12602" w:rsidRPr="00E03BD6" w:rsidRDefault="00E03BD6" w:rsidP="00E03BD6">
      <w:pPr>
        <w:rPr>
          <w:lang w:val="fr-CH"/>
        </w:rPr>
      </w:pPr>
      <w:r w:rsidRPr="00447D31">
        <w:rPr>
          <w:lang w:val="fr-CH"/>
        </w:rPr>
        <w:t xml:space="preserve">Compte tenu des résultats 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d'une protection suffisante, les administrations des </w:t>
      </w:r>
      <w:r>
        <w:rPr>
          <w:lang w:val="fr-CH"/>
        </w:rPr>
        <w:t>E</w:t>
      </w:r>
      <w:r w:rsidRPr="00447D31">
        <w:rPr>
          <w:lang w:val="fr-CH"/>
        </w:rPr>
        <w:t xml:space="preserve">tats arabes proposent de </w:t>
      </w:r>
      <w:r>
        <w:rPr>
          <w:lang w:val="fr-CH"/>
        </w:rPr>
        <w:t>n'apporter aucune modification au</w:t>
      </w:r>
      <w:r w:rsidRPr="00447D31">
        <w:rPr>
          <w:lang w:val="fr-CH"/>
        </w:rPr>
        <w:t xml:space="preserve"> Règlement des radiocommunications en ce qui concerne la bande </w:t>
      </w:r>
      <w:r>
        <w:rPr>
          <w:lang w:val="fr-CH"/>
        </w:rPr>
        <w:t xml:space="preserve">de fréquences </w:t>
      </w:r>
      <w:r>
        <w:rPr>
          <w:spacing w:val="8"/>
          <w:lang w:val="fr-CH"/>
        </w:rPr>
        <w:t>3 300-3 400</w:t>
      </w:r>
      <w:r w:rsidRPr="00C06B72">
        <w:rPr>
          <w:spacing w:val="8"/>
          <w:lang w:val="fr-CH"/>
        </w:rPr>
        <w:t> MHz.</w:t>
      </w:r>
    </w:p>
    <w:p w:rsidR="003A583E" w:rsidRPr="00E03BD6" w:rsidRDefault="00F12602" w:rsidP="006F39E2">
      <w:pPr>
        <w:pStyle w:val="Headingb"/>
        <w:keepNext w:val="0"/>
        <w:rPr>
          <w:lang w:val="fr-CH"/>
        </w:rPr>
      </w:pPr>
      <w:r w:rsidRPr="00E03BD6">
        <w:rPr>
          <w:lang w:val="fr-CH"/>
        </w:rPr>
        <w:lastRenderedPageBreak/>
        <w:t>Proposition</w:t>
      </w:r>
    </w:p>
    <w:p w:rsidR="004A6A8C" w:rsidRDefault="00E548D2" w:rsidP="00D94B99">
      <w:pPr>
        <w:pStyle w:val="ArtNo"/>
      </w:pPr>
      <w:r>
        <w:t xml:space="preserve">ARTICLE </w:t>
      </w:r>
      <w:r>
        <w:rPr>
          <w:rStyle w:val="href"/>
          <w:color w:val="000000"/>
        </w:rPr>
        <w:t>5</w:t>
      </w:r>
    </w:p>
    <w:p w:rsidR="004A6A8C" w:rsidRDefault="00E548D2" w:rsidP="00D94B99">
      <w:pPr>
        <w:pStyle w:val="Arttitle"/>
        <w:rPr>
          <w:lang w:val="fr-CH"/>
        </w:rPr>
      </w:pPr>
      <w:r>
        <w:rPr>
          <w:lang w:val="fr-CH"/>
        </w:rPr>
        <w:t>Attribution des bandes de fréquences</w:t>
      </w:r>
    </w:p>
    <w:p w:rsidR="004A6A8C" w:rsidRPr="00375EEA" w:rsidRDefault="00E548D2" w:rsidP="00D94B99">
      <w:pPr>
        <w:pStyle w:val="Section1"/>
        <w:keepNext/>
      </w:pPr>
      <w:r>
        <w:t>Section IV –</w:t>
      </w:r>
      <w:r w:rsidRPr="00375EEA">
        <w:t xml:space="preserve"> Tableau d'attribution des bandes de fréquences</w:t>
      </w:r>
      <w:r w:rsidRPr="00375EEA">
        <w:br/>
      </w:r>
      <w:r w:rsidRPr="0000487B">
        <w:rPr>
          <w:b w:val="0"/>
          <w:bCs/>
        </w:rPr>
        <w:t>(</w:t>
      </w:r>
      <w:r w:rsidRPr="00664F2E">
        <w:rPr>
          <w:b w:val="0"/>
          <w:bCs/>
        </w:rPr>
        <w:t>Voir le numéro</w:t>
      </w:r>
      <w:r w:rsidRPr="00260AE5">
        <w:t xml:space="preserve"> 2.1</w:t>
      </w:r>
      <w:r w:rsidRPr="0000487B">
        <w:rPr>
          <w:b w:val="0"/>
          <w:bCs/>
        </w:rPr>
        <w:t>)</w:t>
      </w:r>
      <w:r>
        <w:rPr>
          <w:b w:val="0"/>
          <w:color w:val="000000"/>
        </w:rPr>
        <w:br/>
      </w:r>
      <w:r>
        <w:rPr>
          <w:b w:val="0"/>
          <w:color w:val="000000"/>
        </w:rPr>
        <w:br/>
      </w:r>
    </w:p>
    <w:p w:rsidR="005A63C0" w:rsidRDefault="00E548D2">
      <w:pPr>
        <w:pStyle w:val="Proposal"/>
      </w:pPr>
      <w:r>
        <w:rPr>
          <w:u w:val="single"/>
        </w:rPr>
        <w:t>NOC</w:t>
      </w:r>
      <w:r>
        <w:tab/>
        <w:t>ARB/25A1A7/1</w:t>
      </w:r>
    </w:p>
    <w:p w:rsidR="004A6A8C" w:rsidRDefault="00E548D2"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253"/>
        <w:gridCol w:w="3118"/>
        <w:gridCol w:w="3127"/>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E548D2" w:rsidP="00D94B99">
            <w:pPr>
              <w:pStyle w:val="Tablehead"/>
              <w:rPr>
                <w:color w:val="000000"/>
              </w:rPr>
            </w:pPr>
            <w:r>
              <w:rPr>
                <w:color w:val="000000"/>
              </w:rPr>
              <w:t>Attribution aux services</w:t>
            </w:r>
          </w:p>
        </w:tc>
      </w:tr>
      <w:tr w:rsidR="004A6A8C" w:rsidTr="006F39E2">
        <w:trPr>
          <w:cantSplit/>
          <w:jc w:val="center"/>
        </w:trPr>
        <w:tc>
          <w:tcPr>
            <w:tcW w:w="3253" w:type="dxa"/>
            <w:tcBorders>
              <w:top w:val="single" w:sz="6" w:space="0" w:color="auto"/>
              <w:left w:val="single" w:sz="6" w:space="0" w:color="auto"/>
              <w:bottom w:val="single" w:sz="6" w:space="0" w:color="auto"/>
              <w:right w:val="single" w:sz="6" w:space="0" w:color="auto"/>
            </w:tcBorders>
          </w:tcPr>
          <w:p w:rsidR="004A6A8C" w:rsidRDefault="00E548D2"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E548D2" w:rsidP="00D94B99">
            <w:pPr>
              <w:pStyle w:val="Tablehead"/>
              <w:rPr>
                <w:color w:val="000000"/>
              </w:rPr>
            </w:pPr>
            <w:r>
              <w:rPr>
                <w:color w:val="000000"/>
              </w:rPr>
              <w:t>Région 2</w:t>
            </w:r>
          </w:p>
        </w:tc>
        <w:tc>
          <w:tcPr>
            <w:tcW w:w="3127" w:type="dxa"/>
            <w:tcBorders>
              <w:top w:val="single" w:sz="6" w:space="0" w:color="auto"/>
              <w:left w:val="single" w:sz="6" w:space="0" w:color="auto"/>
              <w:bottom w:val="single" w:sz="6" w:space="0" w:color="auto"/>
              <w:right w:val="single" w:sz="6" w:space="0" w:color="auto"/>
            </w:tcBorders>
          </w:tcPr>
          <w:p w:rsidR="004A6A8C" w:rsidRDefault="00E548D2" w:rsidP="00D94B99">
            <w:pPr>
              <w:pStyle w:val="Tablehead"/>
              <w:rPr>
                <w:color w:val="000000"/>
              </w:rPr>
            </w:pPr>
            <w:r>
              <w:rPr>
                <w:color w:val="000000"/>
              </w:rPr>
              <w:t>Région 3</w:t>
            </w:r>
          </w:p>
        </w:tc>
      </w:tr>
      <w:tr w:rsidR="004A6A8C" w:rsidTr="006F39E2">
        <w:tblPrEx>
          <w:tblCellMar>
            <w:left w:w="0" w:type="dxa"/>
            <w:right w:w="0" w:type="dxa"/>
          </w:tblCellMar>
        </w:tblPrEx>
        <w:trPr>
          <w:cantSplit/>
          <w:jc w:val="center"/>
        </w:trPr>
        <w:tc>
          <w:tcPr>
            <w:tcW w:w="3253" w:type="dxa"/>
            <w:tcBorders>
              <w:top w:val="single" w:sz="6" w:space="0" w:color="auto"/>
              <w:left w:val="single" w:sz="6" w:space="0" w:color="auto"/>
              <w:right w:val="single" w:sz="6" w:space="0" w:color="auto"/>
            </w:tcBorders>
          </w:tcPr>
          <w:p w:rsidR="004A6A8C" w:rsidRPr="0046453D" w:rsidRDefault="00E548D2" w:rsidP="00D94B99">
            <w:pPr>
              <w:pStyle w:val="TableTextS5"/>
              <w:spacing w:before="10" w:after="10"/>
              <w:ind w:left="130" w:right="130"/>
              <w:rPr>
                <w:rStyle w:val="Tablefreq"/>
              </w:rPr>
            </w:pPr>
            <w:r w:rsidRPr="0046453D">
              <w:rPr>
                <w:rStyle w:val="Tablefreq"/>
              </w:rPr>
              <w:t>3 300-3 400</w:t>
            </w:r>
          </w:p>
          <w:p w:rsidR="004A6A8C" w:rsidRDefault="00E548D2" w:rsidP="00D94B99">
            <w:pPr>
              <w:pStyle w:val="TableTextS5"/>
              <w:spacing w:before="10" w:after="10"/>
              <w:ind w:left="130" w:right="130"/>
              <w:rPr>
                <w:color w:val="000000"/>
                <w:lang w:val="fr-CH"/>
              </w:rPr>
            </w:pPr>
            <w:r>
              <w:rPr>
                <w:color w:val="000000"/>
                <w:lang w:val="fr-CH"/>
              </w:rPr>
              <w:t>RADIOLOCALISATION</w:t>
            </w:r>
          </w:p>
        </w:tc>
        <w:tc>
          <w:tcPr>
            <w:tcW w:w="3118" w:type="dxa"/>
            <w:tcBorders>
              <w:top w:val="single" w:sz="6" w:space="0" w:color="auto"/>
              <w:left w:val="single" w:sz="6" w:space="0" w:color="auto"/>
              <w:right w:val="single" w:sz="6" w:space="0" w:color="auto"/>
            </w:tcBorders>
          </w:tcPr>
          <w:p w:rsidR="004A6A8C" w:rsidRPr="0046453D" w:rsidRDefault="00E548D2" w:rsidP="00D94B99">
            <w:pPr>
              <w:pStyle w:val="TableTextS5"/>
              <w:spacing w:before="10" w:after="10"/>
              <w:ind w:left="130" w:right="130"/>
              <w:rPr>
                <w:rStyle w:val="Tablefreq"/>
              </w:rPr>
            </w:pPr>
            <w:r w:rsidRPr="0046453D">
              <w:rPr>
                <w:rStyle w:val="Tablefreq"/>
              </w:rPr>
              <w:t>3 300-3 400</w:t>
            </w:r>
          </w:p>
          <w:p w:rsidR="004A6A8C" w:rsidRDefault="00E548D2" w:rsidP="00D94B99">
            <w:pPr>
              <w:pStyle w:val="TableTextS5"/>
              <w:spacing w:before="10" w:after="10"/>
              <w:ind w:left="130" w:right="130"/>
              <w:rPr>
                <w:color w:val="000000"/>
              </w:rPr>
            </w:pPr>
            <w:r>
              <w:rPr>
                <w:color w:val="000000"/>
              </w:rPr>
              <w:t>RADIOLOCALISATION</w:t>
            </w:r>
          </w:p>
          <w:p w:rsidR="004A6A8C" w:rsidRDefault="00E548D2" w:rsidP="00D94B99">
            <w:pPr>
              <w:pStyle w:val="TableTextS5"/>
              <w:spacing w:before="10" w:after="10"/>
              <w:ind w:left="130" w:right="130"/>
              <w:rPr>
                <w:color w:val="000000"/>
              </w:rPr>
            </w:pPr>
            <w:r>
              <w:rPr>
                <w:color w:val="000000"/>
              </w:rPr>
              <w:t>Amateur</w:t>
            </w:r>
          </w:p>
          <w:p w:rsidR="004A6A8C" w:rsidRDefault="00E548D2" w:rsidP="00D94B99">
            <w:pPr>
              <w:pStyle w:val="TableTextS5"/>
              <w:spacing w:before="10" w:after="10"/>
              <w:ind w:left="130" w:right="130"/>
              <w:rPr>
                <w:color w:val="000000"/>
              </w:rPr>
            </w:pPr>
            <w:r>
              <w:rPr>
                <w:color w:val="000000"/>
              </w:rPr>
              <w:t>Fixe</w:t>
            </w:r>
          </w:p>
          <w:p w:rsidR="004A6A8C" w:rsidRDefault="00E548D2" w:rsidP="00D94B99">
            <w:pPr>
              <w:pStyle w:val="TableTextS5"/>
              <w:spacing w:before="10" w:after="10"/>
              <w:ind w:left="130" w:right="130"/>
              <w:rPr>
                <w:color w:val="000000"/>
              </w:rPr>
            </w:pPr>
            <w:r>
              <w:rPr>
                <w:color w:val="000000"/>
              </w:rPr>
              <w:t>Mobile</w:t>
            </w:r>
          </w:p>
        </w:tc>
        <w:tc>
          <w:tcPr>
            <w:tcW w:w="3127" w:type="dxa"/>
            <w:tcBorders>
              <w:top w:val="single" w:sz="6" w:space="0" w:color="auto"/>
              <w:left w:val="single" w:sz="6" w:space="0" w:color="auto"/>
              <w:right w:val="single" w:sz="6" w:space="0" w:color="auto"/>
            </w:tcBorders>
          </w:tcPr>
          <w:p w:rsidR="004A6A8C" w:rsidRPr="0046453D" w:rsidRDefault="00E548D2" w:rsidP="00D94B99">
            <w:pPr>
              <w:pStyle w:val="TableTextS5"/>
              <w:spacing w:before="10" w:after="10"/>
              <w:ind w:left="130" w:right="130"/>
              <w:rPr>
                <w:rStyle w:val="Tablefreq"/>
              </w:rPr>
            </w:pPr>
            <w:r w:rsidRPr="0046453D">
              <w:rPr>
                <w:rStyle w:val="Tablefreq"/>
              </w:rPr>
              <w:t>3 300-3 400</w:t>
            </w:r>
          </w:p>
          <w:p w:rsidR="004A6A8C" w:rsidRDefault="00E548D2" w:rsidP="00D94B99">
            <w:pPr>
              <w:pStyle w:val="TableTextS5"/>
              <w:spacing w:before="10" w:after="10"/>
              <w:ind w:left="130" w:right="130"/>
              <w:rPr>
                <w:color w:val="000000"/>
                <w:lang w:val="fr-CH"/>
              </w:rPr>
            </w:pPr>
            <w:r>
              <w:rPr>
                <w:color w:val="000000"/>
                <w:lang w:val="fr-CH"/>
              </w:rPr>
              <w:t>RADIOLOCALISATION</w:t>
            </w:r>
          </w:p>
          <w:p w:rsidR="004A6A8C" w:rsidRDefault="00E548D2" w:rsidP="00D94B99">
            <w:pPr>
              <w:pStyle w:val="TableTextS5"/>
              <w:spacing w:before="10" w:after="10"/>
              <w:ind w:left="130" w:right="130"/>
              <w:rPr>
                <w:color w:val="000000"/>
                <w:lang w:val="fr-CH"/>
              </w:rPr>
            </w:pPr>
            <w:r>
              <w:rPr>
                <w:color w:val="000000"/>
                <w:lang w:val="fr-CH"/>
              </w:rPr>
              <w:t>Amateur</w:t>
            </w:r>
          </w:p>
        </w:tc>
      </w:tr>
      <w:tr w:rsidR="004A6A8C" w:rsidTr="006F39E2">
        <w:tblPrEx>
          <w:tblCellMar>
            <w:left w:w="0" w:type="dxa"/>
            <w:right w:w="0" w:type="dxa"/>
          </w:tblCellMar>
        </w:tblPrEx>
        <w:trPr>
          <w:cantSplit/>
          <w:jc w:val="center"/>
        </w:trPr>
        <w:tc>
          <w:tcPr>
            <w:tcW w:w="3253" w:type="dxa"/>
            <w:tcBorders>
              <w:left w:val="single" w:sz="6" w:space="0" w:color="auto"/>
              <w:bottom w:val="single" w:sz="6" w:space="0" w:color="auto"/>
              <w:right w:val="single" w:sz="6" w:space="0" w:color="auto"/>
            </w:tcBorders>
          </w:tcPr>
          <w:p w:rsidR="004A6A8C" w:rsidRDefault="00E548D2" w:rsidP="00D94B99">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r>
              <w:rPr>
                <w:color w:val="000000"/>
                <w:lang w:val="fr-CH"/>
              </w:rPr>
              <w:t xml:space="preserve">  </w:t>
            </w:r>
            <w:r>
              <w:rPr>
                <w:rStyle w:val="Artref"/>
                <w:color w:val="000000"/>
                <w:lang w:val="fr-CH"/>
              </w:rPr>
              <w:t>5.430</w:t>
            </w:r>
          </w:p>
        </w:tc>
        <w:tc>
          <w:tcPr>
            <w:tcW w:w="3118" w:type="dxa"/>
            <w:tcBorders>
              <w:left w:val="single" w:sz="6" w:space="0" w:color="auto"/>
              <w:bottom w:val="single" w:sz="6" w:space="0" w:color="auto"/>
              <w:right w:val="single" w:sz="6" w:space="0" w:color="auto"/>
            </w:tcBorders>
          </w:tcPr>
          <w:p w:rsidR="004A6A8C" w:rsidRDefault="00E548D2" w:rsidP="00D94B99">
            <w:pPr>
              <w:pStyle w:val="TableTextS5"/>
              <w:spacing w:before="10" w:after="10"/>
              <w:ind w:left="130" w:right="130"/>
              <w:rPr>
                <w:color w:val="000000"/>
                <w:lang w:val="fr-CH"/>
              </w:rPr>
            </w:pPr>
            <w:r>
              <w:rPr>
                <w:rStyle w:val="Artref"/>
                <w:color w:val="000000"/>
                <w:lang w:val="fr-CH"/>
              </w:rPr>
              <w:t>5.149</w:t>
            </w:r>
          </w:p>
        </w:tc>
        <w:tc>
          <w:tcPr>
            <w:tcW w:w="3127" w:type="dxa"/>
            <w:tcBorders>
              <w:left w:val="single" w:sz="6" w:space="0" w:color="auto"/>
              <w:bottom w:val="single" w:sz="6" w:space="0" w:color="auto"/>
              <w:right w:val="single" w:sz="6" w:space="0" w:color="auto"/>
            </w:tcBorders>
          </w:tcPr>
          <w:p w:rsidR="004A6A8C" w:rsidRDefault="00E548D2" w:rsidP="00D94B99">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p>
        </w:tc>
      </w:tr>
    </w:tbl>
    <w:p w:rsidR="00E63D0E" w:rsidRPr="00E63D0E" w:rsidRDefault="00E548D2" w:rsidP="00E63D0E">
      <w:pPr>
        <w:pStyle w:val="Reasons"/>
        <w:rPr>
          <w:lang w:val="fr-CH"/>
        </w:rPr>
      </w:pPr>
      <w:r w:rsidRPr="00E63D0E">
        <w:rPr>
          <w:b/>
          <w:lang w:val="fr-CH"/>
        </w:rPr>
        <w:t>Motifs:</w:t>
      </w:r>
      <w:r w:rsidRPr="00E63D0E">
        <w:rPr>
          <w:lang w:val="fr-CH"/>
        </w:rPr>
        <w:tab/>
      </w:r>
      <w:r w:rsidR="00E63D0E" w:rsidRPr="00E63D0E">
        <w:rPr>
          <w:lang w:val="fr-CH"/>
        </w:rPr>
        <w:t xml:space="preserve">Il est proposé de n'apporter aucune modification en ce </w:t>
      </w:r>
      <w:r w:rsidR="00E63D0E">
        <w:rPr>
          <w:lang w:val="fr-CH"/>
        </w:rPr>
        <w:t>qui concerne la bande de fréquences 3 300</w:t>
      </w:r>
      <w:r w:rsidR="00E63D0E">
        <w:rPr>
          <w:lang w:val="fr-CH"/>
        </w:rPr>
        <w:noBreakHyphen/>
        <w:t xml:space="preserve">3 400 MHz, étant donné que celle-ci est largement utilisée par diverses applications radar. Les études de partage montrent que la coexistence entre le service de radiolocalisation et les télécommunications mobiles internationales </w:t>
      </w:r>
      <w:r w:rsidR="002A3EE6">
        <w:rPr>
          <w:lang w:val="fr-CH"/>
        </w:rPr>
        <w:t xml:space="preserve">(IMT) </w:t>
      </w:r>
      <w:r w:rsidR="00E63D0E">
        <w:rPr>
          <w:lang w:val="fr-CH"/>
        </w:rPr>
        <w:t>n'est pas possible dans la même région géographique.</w:t>
      </w:r>
    </w:p>
    <w:p w:rsidR="005A63C0" w:rsidRPr="002A3EE6" w:rsidRDefault="005A63C0" w:rsidP="00664F2E">
      <w:pPr>
        <w:pStyle w:val="Reasons"/>
        <w:spacing w:line="480" w:lineRule="auto"/>
        <w:rPr>
          <w:lang w:val="fr-CH"/>
        </w:rPr>
      </w:pPr>
    </w:p>
    <w:p w:rsidR="00221705" w:rsidRDefault="00221705">
      <w:pPr>
        <w:jc w:val="center"/>
      </w:pPr>
      <w:r>
        <w:t>______________</w:t>
      </w:r>
    </w:p>
    <w:sectPr w:rsidR="0022170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C1309">
      <w:rPr>
        <w:noProof/>
        <w:lang w:val="en-US"/>
      </w:rPr>
      <w:t>P:\FRA\ITU-R\CONF-R\CMR15\000\025ADD01ADD07F.docx</w:t>
    </w:r>
    <w:r>
      <w:fldChar w:fldCharType="end"/>
    </w:r>
    <w:r>
      <w:rPr>
        <w:lang w:val="en-US"/>
      </w:rPr>
      <w:tab/>
    </w:r>
    <w:r>
      <w:fldChar w:fldCharType="begin"/>
    </w:r>
    <w:r>
      <w:instrText xml:space="preserve"> SAVEDATE \@ DD.MM.YY </w:instrText>
    </w:r>
    <w:r>
      <w:fldChar w:fldCharType="separate"/>
    </w:r>
    <w:r w:rsidR="00EC1309">
      <w:rPr>
        <w:noProof/>
      </w:rPr>
      <w:t>18.10.15</w:t>
    </w:r>
    <w:r>
      <w:fldChar w:fldCharType="end"/>
    </w:r>
    <w:r>
      <w:rPr>
        <w:lang w:val="en-US"/>
      </w:rPr>
      <w:tab/>
    </w:r>
    <w:r>
      <w:fldChar w:fldCharType="begin"/>
    </w:r>
    <w:r>
      <w:instrText xml:space="preserve"> PRINTDATE \@ DD.MM.YY </w:instrText>
    </w:r>
    <w:r>
      <w:fldChar w:fldCharType="separate"/>
    </w:r>
    <w:r w:rsidR="00EC1309">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C1309">
      <w:rPr>
        <w:lang w:val="en-US"/>
      </w:rPr>
      <w:t>P:\FRA\ITU-R\CONF-R\CMR15\000\025ADD01ADD07F.docx</w:t>
    </w:r>
    <w:r>
      <w:fldChar w:fldCharType="end"/>
    </w:r>
    <w:r w:rsidR="00E548D2">
      <w:t xml:space="preserve"> (386843)</w:t>
    </w:r>
    <w:r>
      <w:rPr>
        <w:lang w:val="en-US"/>
      </w:rPr>
      <w:tab/>
    </w:r>
    <w:r>
      <w:fldChar w:fldCharType="begin"/>
    </w:r>
    <w:r>
      <w:instrText xml:space="preserve"> SAVEDATE \@ DD.MM.YY </w:instrText>
    </w:r>
    <w:r>
      <w:fldChar w:fldCharType="separate"/>
    </w:r>
    <w:r w:rsidR="00EC1309">
      <w:t>18.10.15</w:t>
    </w:r>
    <w:r>
      <w:fldChar w:fldCharType="end"/>
    </w:r>
    <w:r>
      <w:rPr>
        <w:lang w:val="en-US"/>
      </w:rPr>
      <w:tab/>
    </w:r>
    <w:r>
      <w:fldChar w:fldCharType="begin"/>
    </w:r>
    <w:r>
      <w:instrText xml:space="preserve"> PRINTDATE \@ DD.MM.YY </w:instrText>
    </w:r>
    <w:r>
      <w:fldChar w:fldCharType="separate"/>
    </w:r>
    <w:r w:rsidR="00EC1309">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C1309">
      <w:rPr>
        <w:lang w:val="en-US"/>
      </w:rPr>
      <w:t>P:\FRA\ITU-R\CONF-R\CMR15\000\025ADD01ADD07F.docx</w:t>
    </w:r>
    <w:r>
      <w:fldChar w:fldCharType="end"/>
    </w:r>
    <w:r w:rsidR="00E548D2">
      <w:t xml:space="preserve"> (386843)</w:t>
    </w:r>
    <w:r>
      <w:rPr>
        <w:lang w:val="en-US"/>
      </w:rPr>
      <w:tab/>
    </w:r>
    <w:r>
      <w:fldChar w:fldCharType="begin"/>
    </w:r>
    <w:r>
      <w:instrText xml:space="preserve"> SAVEDATE \@ DD.MM.YY </w:instrText>
    </w:r>
    <w:r>
      <w:fldChar w:fldCharType="separate"/>
    </w:r>
    <w:r w:rsidR="00EC1309">
      <w:t>18.10.15</w:t>
    </w:r>
    <w:r>
      <w:fldChar w:fldCharType="end"/>
    </w:r>
    <w:r>
      <w:rPr>
        <w:lang w:val="en-US"/>
      </w:rPr>
      <w:tab/>
    </w:r>
    <w:r>
      <w:fldChar w:fldCharType="begin"/>
    </w:r>
    <w:r>
      <w:instrText xml:space="preserve"> PRINTDATE \@ DD.MM.YY </w:instrText>
    </w:r>
    <w:r>
      <w:fldChar w:fldCharType="separate"/>
    </w:r>
    <w:r w:rsidR="00EC1309">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C1309">
      <w:rPr>
        <w:noProof/>
      </w:rPr>
      <w:t>2</w:t>
    </w:r>
    <w:r>
      <w:fldChar w:fldCharType="end"/>
    </w:r>
  </w:p>
  <w:p w:rsidR="004F1F8E" w:rsidRDefault="004F1F8E" w:rsidP="002C28A4">
    <w:pPr>
      <w:pStyle w:val="Header"/>
    </w:pPr>
    <w:r>
      <w:t>CMR1</w:t>
    </w:r>
    <w:r w:rsidR="002C28A4">
      <w:t>5</w:t>
    </w:r>
    <w:r>
      <w:t>/</w:t>
    </w:r>
    <w:r w:rsidR="006A4B45">
      <w:t>25(Add.1)(Add.7)-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487B"/>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21705"/>
    <w:rsid w:val="00232FD2"/>
    <w:rsid w:val="0026554E"/>
    <w:rsid w:val="002A3EE6"/>
    <w:rsid w:val="002A4622"/>
    <w:rsid w:val="002A6F8F"/>
    <w:rsid w:val="002B17E5"/>
    <w:rsid w:val="002B7169"/>
    <w:rsid w:val="002C0EBF"/>
    <w:rsid w:val="002C28A4"/>
    <w:rsid w:val="00315AFE"/>
    <w:rsid w:val="003606A6"/>
    <w:rsid w:val="0036650C"/>
    <w:rsid w:val="00384DC6"/>
    <w:rsid w:val="00393ACD"/>
    <w:rsid w:val="003A583E"/>
    <w:rsid w:val="003E112B"/>
    <w:rsid w:val="003E1D1C"/>
    <w:rsid w:val="003E7B05"/>
    <w:rsid w:val="00466211"/>
    <w:rsid w:val="004834A9"/>
    <w:rsid w:val="004D01FC"/>
    <w:rsid w:val="004E28C3"/>
    <w:rsid w:val="004F1F8E"/>
    <w:rsid w:val="00512A32"/>
    <w:rsid w:val="00586CF2"/>
    <w:rsid w:val="005A63C0"/>
    <w:rsid w:val="005C3768"/>
    <w:rsid w:val="005C6C3F"/>
    <w:rsid w:val="005E7586"/>
    <w:rsid w:val="00613635"/>
    <w:rsid w:val="0062093D"/>
    <w:rsid w:val="00637ECF"/>
    <w:rsid w:val="00647B59"/>
    <w:rsid w:val="00664F2E"/>
    <w:rsid w:val="00690C7B"/>
    <w:rsid w:val="006A4B45"/>
    <w:rsid w:val="006D4724"/>
    <w:rsid w:val="006F39E2"/>
    <w:rsid w:val="00701BAE"/>
    <w:rsid w:val="00721F04"/>
    <w:rsid w:val="00730E95"/>
    <w:rsid w:val="007426B9"/>
    <w:rsid w:val="00764342"/>
    <w:rsid w:val="00774362"/>
    <w:rsid w:val="00786598"/>
    <w:rsid w:val="007A04E8"/>
    <w:rsid w:val="007A3602"/>
    <w:rsid w:val="00851625"/>
    <w:rsid w:val="00863C0A"/>
    <w:rsid w:val="008A3120"/>
    <w:rsid w:val="008D41BE"/>
    <w:rsid w:val="008D58D3"/>
    <w:rsid w:val="008D6927"/>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96EA4"/>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3BD6"/>
    <w:rsid w:val="00E049F1"/>
    <w:rsid w:val="00E37A25"/>
    <w:rsid w:val="00E537FF"/>
    <w:rsid w:val="00E548D2"/>
    <w:rsid w:val="00E63D0E"/>
    <w:rsid w:val="00E6539B"/>
    <w:rsid w:val="00E70A31"/>
    <w:rsid w:val="00EA3F38"/>
    <w:rsid w:val="00EA5AB6"/>
    <w:rsid w:val="00EC1309"/>
    <w:rsid w:val="00EC7615"/>
    <w:rsid w:val="00ED16AA"/>
    <w:rsid w:val="00ED3325"/>
    <w:rsid w:val="00EF662E"/>
    <w:rsid w:val="00F12602"/>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B658E4-D50A-4F3E-9631-CC5568D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2FE33-D9AA-4D3E-8DE1-B7E5BDA309F1}">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2a1a8c5-2265-4ebc-b7a0-2071e2c5c9bb"/>
    <ds:schemaRef ds:uri="http://schemas.openxmlformats.org/package/2006/metadata/core-propertie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508</Words>
  <Characters>2840</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R15-WRC15-C-0025!A1-A7!MSW-F</vt:lpstr>
    </vt:vector>
  </TitlesOfParts>
  <Manager>Secrétariat général - Pool</Manager>
  <Company>Union internationale des télécommunications (UIT)</Company>
  <LinksUpToDate>false</LinksUpToDate>
  <CharactersWithSpaces>3315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R15-WRC15-C-0025!A1-A7!MSW-F</dc:title>
  <dc:subject>Conférence mondiale des radiocommunications - 2015</dc:subject>
  <dc:creator>Documents Proposals Manager (DPM)</dc:creator>
  <cp:keywords>DPM_v5.2015.9.16_prod</cp:keywords>
  <dc:description/>
  <cp:lastModifiedBy>Germain, Catherine</cp:lastModifiedBy>
  <cp:revision>10</cp:revision>
  <cp:lastPrinted>2015-10-18T12:48:00Z</cp:lastPrinted>
  <dcterms:created xsi:type="dcterms:W3CDTF">2015-10-18T12:32:00Z</dcterms:created>
  <dcterms:modified xsi:type="dcterms:W3CDTF">2015-10-18T12:48:00Z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