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894F94" w:rsidRDefault="006D4724" w:rsidP="00BA5BD0">
            <w:pPr>
              <w:spacing w:before="0"/>
              <w:rPr>
                <w:rFonts w:ascii="Verdana" w:hAnsi="Verdana"/>
                <w:sz w:val="20"/>
                <w:lang w:val="fr-CH"/>
              </w:rPr>
            </w:pPr>
            <w:r w:rsidRPr="00894F94">
              <w:rPr>
                <w:rFonts w:ascii="Verdana" w:eastAsia="SimSun" w:hAnsi="Verdana" w:cs="Traditional Arabic"/>
                <w:b/>
                <w:sz w:val="20"/>
                <w:lang w:val="fr-CH"/>
              </w:rPr>
              <w:t>Addendum 2 au</w:t>
            </w:r>
            <w:r w:rsidRPr="00894F94">
              <w:rPr>
                <w:rFonts w:ascii="Verdana" w:eastAsia="SimSun" w:hAnsi="Verdana" w:cs="Traditional Arabic"/>
                <w:b/>
                <w:sz w:val="20"/>
                <w:lang w:val="fr-CH"/>
              </w:rPr>
              <w:br/>
              <w:t>Document 25(Add.1)</w:t>
            </w:r>
            <w:r w:rsidR="00BB1D82" w:rsidRPr="00894F94">
              <w:rPr>
                <w:rFonts w:ascii="Verdana" w:hAnsi="Verdana"/>
                <w:b/>
                <w:sz w:val="20"/>
                <w:lang w:val="fr-CH"/>
              </w:rPr>
              <w:t>-</w:t>
            </w:r>
            <w:r w:rsidRPr="00894F94">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894F94"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bookmarkStart w:id="2" w:name="_GoBack"/>
            <w:bookmarkEnd w:id="2"/>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arabe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894F94" w:rsidRDefault="00690C7B" w:rsidP="00690C7B">
            <w:pPr>
              <w:pStyle w:val="Source"/>
              <w:rPr>
                <w:lang w:val="fr-CH"/>
              </w:rPr>
            </w:pPr>
            <w:bookmarkStart w:id="3" w:name="dsource" w:colFirst="0" w:colLast="0"/>
            <w:r w:rsidRPr="00894F94">
              <w:rPr>
                <w:lang w:val="fr-CH"/>
              </w:rPr>
              <w:t>Propositions communes des Etats arabes</w:t>
            </w:r>
          </w:p>
        </w:tc>
      </w:tr>
      <w:tr w:rsidR="00690C7B" w:rsidRPr="003F5318" w:rsidTr="0050008E">
        <w:trPr>
          <w:cantSplit/>
        </w:trPr>
        <w:tc>
          <w:tcPr>
            <w:tcW w:w="10031" w:type="dxa"/>
            <w:gridSpan w:val="2"/>
          </w:tcPr>
          <w:p w:rsidR="00690C7B" w:rsidRPr="003F5318" w:rsidRDefault="003F5318" w:rsidP="00690C7B">
            <w:pPr>
              <w:pStyle w:val="Title1"/>
              <w:rPr>
                <w:lang w:val="fr-CH"/>
              </w:rPr>
            </w:pPr>
            <w:bookmarkStart w:id="4" w:name="dtitle1" w:colFirst="0" w:colLast="0"/>
            <w:bookmarkEnd w:id="3"/>
            <w:r w:rsidRPr="003F5318">
              <w:rPr>
                <w:lang w:val="fr-CH"/>
              </w:rPr>
              <w:t>propositions pour les travaux de la conférence</w:t>
            </w:r>
          </w:p>
        </w:tc>
      </w:tr>
      <w:tr w:rsidR="00690C7B" w:rsidRPr="003F5318" w:rsidTr="0050008E">
        <w:trPr>
          <w:cantSplit/>
        </w:trPr>
        <w:tc>
          <w:tcPr>
            <w:tcW w:w="10031" w:type="dxa"/>
            <w:gridSpan w:val="2"/>
          </w:tcPr>
          <w:p w:rsidR="00690C7B" w:rsidRPr="003F5318"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 de l'ordre du jour</w:t>
            </w:r>
          </w:p>
        </w:tc>
      </w:tr>
    </w:tbl>
    <w:bookmarkEnd w:id="6"/>
    <w:p w:rsidR="001C0E40" w:rsidRPr="0000257F" w:rsidRDefault="00167D0C"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3A583E" w:rsidRPr="00F1039C" w:rsidRDefault="00F1039C" w:rsidP="00786598">
      <w:pPr>
        <w:rPr>
          <w:b/>
          <w:bCs/>
        </w:rPr>
      </w:pPr>
      <w:r w:rsidRPr="00F1039C">
        <w:rPr>
          <w:b/>
          <w:bCs/>
        </w:rPr>
        <w:t>Introduction</w:t>
      </w:r>
    </w:p>
    <w:p w:rsidR="00F1039C" w:rsidRPr="00447D31" w:rsidRDefault="00F1039C" w:rsidP="00F1039C">
      <w:pPr>
        <w:rPr>
          <w:lang w:val="fr-CH"/>
        </w:rPr>
      </w:pPr>
      <w:r w:rsidRPr="00447D31">
        <w:rPr>
          <w:lang w:val="fr-CH"/>
        </w:rPr>
        <w:t xml:space="preserve">Dans la Résolution 233, la CMR-12 a invité l'UIT-R à mener des études sur les questions liées aux fréquences pour les Télécommunications mobiles internationales (IMT) et d'autres applications mobiles à large bande de Terre, étant donné que les télécommunications mobiles, y compris les </w:t>
      </w:r>
      <w:r>
        <w:rPr>
          <w:lang w:val="fr-CH"/>
        </w:rPr>
        <w:t>IMT</w:t>
      </w:r>
      <w:r w:rsidRPr="00447D31">
        <w:rPr>
          <w:lang w:val="fr-CH"/>
        </w:rPr>
        <w:t>, contribuent au développement économique et social des pays développés et des pays en développement. De nombreuses administrations étudient une large gamme d'applications et de systèmes de manière approfondie dans le but de réduire la fracture numérique, notamment au moyen des IMT et d'autres applications mobiles à large bande de Terre.</w:t>
      </w:r>
    </w:p>
    <w:p w:rsidR="00F1039C" w:rsidRPr="00447D31" w:rsidRDefault="00F1039C" w:rsidP="003F5318">
      <w:pPr>
        <w:rPr>
          <w:lang w:val="fr-CH"/>
        </w:rPr>
      </w:pPr>
      <w:r w:rsidRPr="00447D31">
        <w:rPr>
          <w:lang w:val="fr-CH"/>
        </w:rPr>
        <w:t xml:space="preserve">Des études ont </w:t>
      </w:r>
      <w:r w:rsidR="003F5318">
        <w:rPr>
          <w:lang w:val="fr-CH"/>
        </w:rPr>
        <w:t>été menées</w:t>
      </w:r>
      <w:r w:rsidRPr="00447D31">
        <w:rPr>
          <w:lang w:val="fr-CH"/>
        </w:rPr>
        <w:t xml:space="preserve"> </w:t>
      </w:r>
      <w:r w:rsidR="003F5318">
        <w:rPr>
          <w:lang w:val="fr-CH"/>
        </w:rPr>
        <w:t>sur l</w:t>
      </w:r>
      <w:r w:rsidRPr="00447D31">
        <w:rPr>
          <w:lang w:val="fr-CH"/>
        </w:rPr>
        <w:t xml:space="preserve">es </w:t>
      </w:r>
      <w:r w:rsidR="003F5318" w:rsidRPr="00447D31">
        <w:rPr>
          <w:lang w:val="fr-CH"/>
        </w:rPr>
        <w:t xml:space="preserve">futurs </w:t>
      </w:r>
      <w:r w:rsidRPr="00447D31">
        <w:rPr>
          <w:lang w:val="fr-CH"/>
        </w:rPr>
        <w:t xml:space="preserve">besoins de spectre et </w:t>
      </w:r>
      <w:r w:rsidR="003F5318">
        <w:rPr>
          <w:lang w:val="fr-CH"/>
        </w:rPr>
        <w:t>l</w:t>
      </w:r>
      <w:r w:rsidRPr="00447D31">
        <w:rPr>
          <w:lang w:val="fr-CH"/>
        </w:rPr>
        <w:t xml:space="preserve">es bandes qui pourraient être envisagées pour les IMT, ainsi que sur d'autres applications mobiles à large bande de Terre. Les administrations ont proposé, conformément au point 2 du </w:t>
      </w:r>
      <w:r w:rsidRPr="00447D31">
        <w:rPr>
          <w:i/>
          <w:iCs/>
          <w:lang w:val="fr-CH"/>
        </w:rPr>
        <w:t>décide d'inviter l'UIT-R</w:t>
      </w:r>
      <w:r w:rsidR="00460199">
        <w:rPr>
          <w:lang w:val="fr-CH"/>
        </w:rPr>
        <w:t xml:space="preserve"> de la Résolution </w:t>
      </w:r>
      <w:r w:rsidRPr="00447D31">
        <w:rPr>
          <w:lang w:val="fr-CH"/>
        </w:rPr>
        <w:t xml:space="preserve">233 (CMR-12), que des études soient menées sur les bandes de fréquences suivantes: </w:t>
      </w:r>
      <w:r>
        <w:rPr>
          <w:lang w:val="fr-CH"/>
        </w:rPr>
        <w:t>470</w:t>
      </w:r>
      <w:r>
        <w:rPr>
          <w:lang w:val="fr-CH"/>
        </w:rPr>
        <w:noBreakHyphen/>
      </w:r>
      <w:r w:rsidRPr="00447D31">
        <w:rPr>
          <w:lang w:val="fr-CH"/>
        </w:rPr>
        <w:t>694/698 MHz, 1 300-1 525 MHz, 1 695-1 710 MHz, 2 025-2 110 MHz, 2 200-2 290 MHz, 2 700-2 900 MHz, 2 900-3 100 MHz, 3 300-3 400 MHz, 3 400-3 600 MHz, 3 600-4 200 MHz, 4 400-4 900 MHz, 4 800-5 000 MHz, 5 350-5 470 MHz, 5 725-5 850 MHz et 5 925-6 425 MHz.</w:t>
      </w:r>
    </w:p>
    <w:p w:rsidR="00F1039C" w:rsidRDefault="00F1039C" w:rsidP="00F1039C">
      <w:pPr>
        <w:rPr>
          <w:lang w:val="fr-CH"/>
        </w:rPr>
      </w:pPr>
      <w:r w:rsidRPr="00447D31">
        <w:rPr>
          <w:lang w:val="fr-CH"/>
        </w:rPr>
        <w:t xml:space="preserve">Compte tenu des résultats des études sur le partage et la compatibilité avec les services bénéficiant déjà d'attributions dans les bandes qui pourraient être envisagées et dans des bandes adjacentes, et de l'utilisation actuelle ou prévue de ces bandes par les services existants, et étant donné que ces bandes doivent bénéficier d'une protection suffisante, les administrations des </w:t>
      </w:r>
      <w:r>
        <w:rPr>
          <w:lang w:val="fr-CH"/>
        </w:rPr>
        <w:t>E</w:t>
      </w:r>
      <w:r w:rsidRPr="00447D31">
        <w:rPr>
          <w:lang w:val="fr-CH"/>
        </w:rPr>
        <w:t xml:space="preserve">tats arabes proposent de </w:t>
      </w:r>
      <w:r>
        <w:rPr>
          <w:lang w:val="fr-CH"/>
        </w:rPr>
        <w:t>n'apporter aucune modification au</w:t>
      </w:r>
      <w:r w:rsidRPr="00447D31">
        <w:rPr>
          <w:lang w:val="fr-CH"/>
        </w:rPr>
        <w:t xml:space="preserve"> Règlement des radiocommunications en ce qui concerne la bande </w:t>
      </w:r>
      <w:r>
        <w:rPr>
          <w:lang w:val="fr-CH"/>
        </w:rPr>
        <w:t>1</w:t>
      </w:r>
      <w:r w:rsidRPr="00447D31">
        <w:rPr>
          <w:lang w:val="fr-CH"/>
        </w:rPr>
        <w:t> </w:t>
      </w:r>
      <w:r>
        <w:rPr>
          <w:lang w:val="fr-CH"/>
        </w:rPr>
        <w:t>350</w:t>
      </w:r>
      <w:r w:rsidRPr="00447D31">
        <w:rPr>
          <w:lang w:val="fr-CH"/>
        </w:rPr>
        <w:t>-</w:t>
      </w:r>
      <w:r>
        <w:rPr>
          <w:lang w:val="fr-CH"/>
        </w:rPr>
        <w:t>1</w:t>
      </w:r>
      <w:r w:rsidRPr="00447D31">
        <w:rPr>
          <w:lang w:val="fr-CH"/>
        </w:rPr>
        <w:t> </w:t>
      </w:r>
      <w:r>
        <w:rPr>
          <w:lang w:val="fr-CH"/>
        </w:rPr>
        <w:t>4</w:t>
      </w:r>
      <w:r w:rsidRPr="00447D31">
        <w:rPr>
          <w:lang w:val="fr-CH"/>
        </w:rPr>
        <w:t>00 MHz.</w:t>
      </w:r>
    </w:p>
    <w:p w:rsidR="0015203F" w:rsidRDefault="00F1039C" w:rsidP="00F1039C">
      <w:r w:rsidRPr="00F1039C">
        <w:rPr>
          <w:b/>
          <w:bCs/>
          <w:lang w:val="fr-CH"/>
        </w:rPr>
        <w:t>Proposition</w:t>
      </w:r>
      <w:r w:rsidR="0015203F">
        <w:br w:type="page"/>
      </w:r>
    </w:p>
    <w:p w:rsidR="004A6A8C" w:rsidRDefault="00167D0C" w:rsidP="00D94B99">
      <w:pPr>
        <w:pStyle w:val="ArtNo"/>
      </w:pPr>
      <w:r>
        <w:lastRenderedPageBreak/>
        <w:t xml:space="preserve">ARTICLE </w:t>
      </w:r>
      <w:r>
        <w:rPr>
          <w:rStyle w:val="href"/>
          <w:color w:val="000000"/>
        </w:rPr>
        <w:t>5</w:t>
      </w:r>
    </w:p>
    <w:p w:rsidR="004A6A8C" w:rsidRDefault="00167D0C" w:rsidP="00D94B99">
      <w:pPr>
        <w:pStyle w:val="Arttitle"/>
        <w:rPr>
          <w:lang w:val="fr-CH"/>
        </w:rPr>
      </w:pPr>
      <w:r>
        <w:rPr>
          <w:lang w:val="fr-CH"/>
        </w:rPr>
        <w:t>Attribution des bandes de fréquences</w:t>
      </w:r>
    </w:p>
    <w:p w:rsidR="004A6A8C" w:rsidRPr="00375EEA" w:rsidRDefault="00167D0C" w:rsidP="00D94B99">
      <w:pPr>
        <w:pStyle w:val="Section1"/>
        <w:keepNext/>
      </w:pPr>
      <w:r>
        <w:t>Section IV –</w:t>
      </w:r>
      <w:r w:rsidRPr="00375EEA">
        <w:t xml:space="preserve"> Tableau d'attribution des bandes de fréquences</w:t>
      </w:r>
      <w:r w:rsidRPr="00375EEA">
        <w:br/>
      </w:r>
      <w:r w:rsidRPr="00260AE5">
        <w:t>(Voir le numéro 2.1)</w:t>
      </w:r>
      <w:r>
        <w:rPr>
          <w:b w:val="0"/>
          <w:color w:val="000000"/>
        </w:rPr>
        <w:br/>
      </w:r>
      <w:r>
        <w:rPr>
          <w:b w:val="0"/>
          <w:color w:val="000000"/>
        </w:rPr>
        <w:br/>
      </w:r>
    </w:p>
    <w:p w:rsidR="00CA30FF" w:rsidRDefault="00167D0C">
      <w:pPr>
        <w:pStyle w:val="Proposal"/>
      </w:pPr>
      <w:r>
        <w:rPr>
          <w:u w:val="single"/>
        </w:rPr>
        <w:t>NOC</w:t>
      </w:r>
      <w:r>
        <w:tab/>
        <w:t>ARB/25A1A2/1</w:t>
      </w:r>
    </w:p>
    <w:p w:rsidR="004A6A8C" w:rsidRDefault="00167D0C" w:rsidP="00D94B99">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4A6A8C" w:rsidRPr="0079631D" w:rsidTr="00D94B99">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4A6A8C" w:rsidRPr="0079631D" w:rsidRDefault="00167D0C" w:rsidP="00D94B99">
            <w:pPr>
              <w:pStyle w:val="Tablehead"/>
            </w:pPr>
            <w:r w:rsidRPr="0079631D">
              <w:t>Attribution aux services</w:t>
            </w:r>
          </w:p>
        </w:tc>
      </w:tr>
      <w:tr w:rsidR="004A6A8C" w:rsidTr="00D94B99">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Default="00167D0C" w:rsidP="00D94B99">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4A6A8C" w:rsidRDefault="00167D0C" w:rsidP="00D94B99">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4A6A8C" w:rsidRDefault="00167D0C" w:rsidP="00D94B99">
            <w:pPr>
              <w:pStyle w:val="Tablehead"/>
              <w:rPr>
                <w:color w:val="000000"/>
              </w:rPr>
            </w:pPr>
            <w:r>
              <w:rPr>
                <w:color w:val="000000"/>
              </w:rPr>
              <w:t>Région 3</w:t>
            </w:r>
          </w:p>
        </w:tc>
      </w:tr>
      <w:tr w:rsidR="004A6A8C" w:rsidTr="00D94B99">
        <w:trPr>
          <w:cantSplit/>
          <w:jc w:val="center"/>
        </w:trPr>
        <w:tc>
          <w:tcPr>
            <w:tcW w:w="3119" w:type="dxa"/>
            <w:tcBorders>
              <w:top w:val="single" w:sz="6" w:space="0" w:color="auto"/>
              <w:left w:val="single" w:sz="6" w:space="0" w:color="auto"/>
              <w:right w:val="single" w:sz="6" w:space="0" w:color="auto"/>
            </w:tcBorders>
          </w:tcPr>
          <w:p w:rsidR="004A6A8C" w:rsidRPr="00282A99" w:rsidRDefault="00167D0C" w:rsidP="00D94B99">
            <w:pPr>
              <w:pStyle w:val="TableTextS5"/>
              <w:rPr>
                <w:rStyle w:val="Tablefreq"/>
              </w:rPr>
            </w:pPr>
            <w:r w:rsidRPr="00282A99">
              <w:rPr>
                <w:rStyle w:val="Tablefreq"/>
              </w:rPr>
              <w:t>1 350-1 400</w:t>
            </w:r>
          </w:p>
          <w:p w:rsidR="004A6A8C" w:rsidRDefault="00167D0C" w:rsidP="00D94B99">
            <w:pPr>
              <w:pStyle w:val="TableTextS5"/>
              <w:rPr>
                <w:color w:val="000000"/>
                <w:lang w:val="fr-CH"/>
              </w:rPr>
            </w:pPr>
            <w:r>
              <w:rPr>
                <w:color w:val="000000"/>
                <w:lang w:val="fr-CH"/>
              </w:rPr>
              <w:t>FIXE</w:t>
            </w:r>
          </w:p>
          <w:p w:rsidR="004A6A8C" w:rsidRDefault="00167D0C" w:rsidP="00D94B99">
            <w:pPr>
              <w:pStyle w:val="TableTextS5"/>
              <w:rPr>
                <w:color w:val="000000"/>
                <w:lang w:val="fr-CH"/>
              </w:rPr>
            </w:pPr>
            <w:r>
              <w:rPr>
                <w:color w:val="000000"/>
                <w:lang w:val="fr-CH"/>
              </w:rPr>
              <w:t>MOBILE</w:t>
            </w:r>
          </w:p>
          <w:p w:rsidR="004A6A8C" w:rsidRDefault="00167D0C" w:rsidP="00D94B99">
            <w:pPr>
              <w:pStyle w:val="TableTextS5"/>
              <w:rPr>
                <w:color w:val="000000"/>
                <w:lang w:val="fr-CH"/>
              </w:rPr>
            </w:pPr>
            <w:r>
              <w:rPr>
                <w:color w:val="000000"/>
                <w:lang w:val="fr-CH"/>
              </w:rPr>
              <w:t>RADIOLOCALISATION</w:t>
            </w:r>
          </w:p>
        </w:tc>
        <w:tc>
          <w:tcPr>
            <w:tcW w:w="6237" w:type="dxa"/>
            <w:gridSpan w:val="2"/>
            <w:tcBorders>
              <w:top w:val="single" w:sz="6" w:space="0" w:color="auto"/>
              <w:left w:val="single" w:sz="6" w:space="0" w:color="auto"/>
              <w:right w:val="single" w:sz="6" w:space="0" w:color="auto"/>
            </w:tcBorders>
          </w:tcPr>
          <w:p w:rsidR="004A6A8C" w:rsidRDefault="00167D0C" w:rsidP="00D94B99">
            <w:pPr>
              <w:pStyle w:val="TableTextS5"/>
              <w:tabs>
                <w:tab w:val="clear" w:pos="170"/>
                <w:tab w:val="clear" w:pos="737"/>
                <w:tab w:val="clear" w:pos="2977"/>
                <w:tab w:val="clear" w:pos="3266"/>
              </w:tabs>
              <w:rPr>
                <w:color w:val="000000"/>
              </w:rPr>
            </w:pPr>
            <w:r w:rsidRPr="0046453D">
              <w:rPr>
                <w:rStyle w:val="Tablefreq"/>
              </w:rPr>
              <w:t>1</w:t>
            </w:r>
            <w:r>
              <w:rPr>
                <w:rStyle w:val="Tablefreq"/>
              </w:rPr>
              <w:t> </w:t>
            </w:r>
            <w:r w:rsidRPr="0046453D">
              <w:rPr>
                <w:rStyle w:val="Tablefreq"/>
              </w:rPr>
              <w:t>350-1</w:t>
            </w:r>
            <w:r>
              <w:rPr>
                <w:rStyle w:val="Tablefreq"/>
              </w:rPr>
              <w:t> </w:t>
            </w:r>
            <w:r w:rsidRPr="0046453D">
              <w:rPr>
                <w:rStyle w:val="Tablefreq"/>
              </w:rPr>
              <w:t>400</w:t>
            </w:r>
          </w:p>
          <w:p w:rsidR="004A6A8C" w:rsidRDefault="00167D0C" w:rsidP="00D94B99">
            <w:pPr>
              <w:pStyle w:val="TableTextS5"/>
              <w:tabs>
                <w:tab w:val="clear" w:pos="170"/>
                <w:tab w:val="clear" w:pos="737"/>
                <w:tab w:val="clear" w:pos="2977"/>
                <w:tab w:val="clear" w:pos="3266"/>
              </w:tabs>
              <w:rPr>
                <w:color w:val="000000"/>
                <w:lang w:val="fr-CH"/>
              </w:rPr>
            </w:pPr>
            <w:r>
              <w:rPr>
                <w:color w:val="000000"/>
                <w:lang w:val="fr-CH"/>
              </w:rPr>
              <w:tab/>
              <w:t>RADIOLOCALISATION  5.338A</w:t>
            </w:r>
          </w:p>
        </w:tc>
      </w:tr>
      <w:tr w:rsidR="004A6A8C" w:rsidTr="00D94B99">
        <w:trPr>
          <w:cantSplit/>
          <w:jc w:val="center"/>
        </w:trPr>
        <w:tc>
          <w:tcPr>
            <w:tcW w:w="3119" w:type="dxa"/>
            <w:tcBorders>
              <w:left w:val="single" w:sz="6" w:space="0" w:color="auto"/>
              <w:bottom w:val="single" w:sz="6" w:space="0" w:color="auto"/>
              <w:right w:val="single" w:sz="6" w:space="0" w:color="auto"/>
            </w:tcBorders>
          </w:tcPr>
          <w:p w:rsidR="004A6A8C" w:rsidRDefault="00167D0C" w:rsidP="00D94B99">
            <w:pPr>
              <w:pStyle w:val="TableTextS5"/>
              <w:rPr>
                <w:rStyle w:val="Tablefreq"/>
                <w:color w:val="000000"/>
                <w:lang w:val="fr-CH"/>
              </w:rPr>
            </w:pPr>
            <w:r w:rsidRPr="00880E98">
              <w:t>5.149</w:t>
            </w:r>
            <w:r>
              <w:rPr>
                <w:color w:val="000000"/>
                <w:lang w:val="fr-CH"/>
              </w:rPr>
              <w:t xml:space="preserve">  </w:t>
            </w:r>
            <w:r w:rsidRPr="00880E98">
              <w:t>5.338</w:t>
            </w:r>
            <w:r>
              <w:rPr>
                <w:color w:val="000000"/>
                <w:lang w:val="fr-CH"/>
              </w:rPr>
              <w:t xml:space="preserve">  </w:t>
            </w:r>
            <w:r w:rsidRPr="00880E98">
              <w:t>5.338A</w:t>
            </w:r>
            <w:r>
              <w:rPr>
                <w:color w:val="000000"/>
              </w:rPr>
              <w:t xml:space="preserve">  </w:t>
            </w:r>
            <w:r w:rsidRPr="00880E98">
              <w:t>5.339</w:t>
            </w:r>
          </w:p>
        </w:tc>
        <w:tc>
          <w:tcPr>
            <w:tcW w:w="6237" w:type="dxa"/>
            <w:gridSpan w:val="2"/>
            <w:tcBorders>
              <w:left w:val="single" w:sz="6" w:space="0" w:color="auto"/>
              <w:bottom w:val="single" w:sz="6" w:space="0" w:color="auto"/>
              <w:right w:val="single" w:sz="6" w:space="0" w:color="auto"/>
            </w:tcBorders>
          </w:tcPr>
          <w:p w:rsidR="004A6A8C" w:rsidRDefault="00167D0C" w:rsidP="00D94B99">
            <w:pPr>
              <w:pStyle w:val="TableTextS5"/>
              <w:tabs>
                <w:tab w:val="clear" w:pos="170"/>
                <w:tab w:val="clear" w:pos="737"/>
                <w:tab w:val="clear" w:pos="2977"/>
                <w:tab w:val="clear" w:pos="3266"/>
              </w:tabs>
              <w:rPr>
                <w:rStyle w:val="Tablefreq"/>
                <w:color w:val="000000"/>
                <w:lang w:val="fr-CH"/>
              </w:rPr>
            </w:pPr>
            <w:r w:rsidRPr="00880E98">
              <w:tab/>
              <w:t>5.149</w:t>
            </w:r>
            <w:r>
              <w:rPr>
                <w:color w:val="000000"/>
                <w:lang w:val="fr-CH"/>
              </w:rPr>
              <w:t xml:space="preserve">  </w:t>
            </w:r>
            <w:r w:rsidRPr="00880E98">
              <w:t>5.334</w:t>
            </w:r>
            <w:r>
              <w:rPr>
                <w:color w:val="000000"/>
                <w:lang w:val="fr-CH"/>
              </w:rPr>
              <w:t xml:space="preserve">  </w:t>
            </w:r>
            <w:r w:rsidRPr="00880E98">
              <w:t>5.339</w:t>
            </w:r>
          </w:p>
        </w:tc>
      </w:tr>
    </w:tbl>
    <w:p w:rsidR="00CA30FF" w:rsidRDefault="00167D0C" w:rsidP="003F5318">
      <w:pPr>
        <w:pStyle w:val="Reasons"/>
      </w:pPr>
      <w:r>
        <w:rPr>
          <w:b/>
        </w:rPr>
        <w:t>Motifs:</w:t>
      </w:r>
      <w:r>
        <w:tab/>
      </w:r>
      <w:r w:rsidR="00F1039C">
        <w:t xml:space="preserve">Il est proposé de n'apporter aucune modification </w:t>
      </w:r>
      <w:r w:rsidR="003F2521">
        <w:t>en ce qui concerne</w:t>
      </w:r>
      <w:r w:rsidR="00F1039C">
        <w:t xml:space="preserve"> la bande 1</w:t>
      </w:r>
      <w:r w:rsidR="003F2521">
        <w:t> </w:t>
      </w:r>
      <w:r w:rsidR="00F1039C">
        <w:t>350</w:t>
      </w:r>
      <w:r w:rsidR="003F2521">
        <w:noBreakHyphen/>
      </w:r>
      <w:r w:rsidR="00F1039C">
        <w:t>1</w:t>
      </w:r>
      <w:r w:rsidR="003F2521">
        <w:t> </w:t>
      </w:r>
      <w:r w:rsidR="00F1039C">
        <w:t xml:space="preserve">400 MHz, étant donné que celle-ci est attribuée au SRL, au SF et au SM. Les études de partage montrent qu'il n'est pas possible d'exploiter des systèmes mobiles à large bande et des radars sur </w:t>
      </w:r>
      <w:r w:rsidR="003F2521">
        <w:t>la même</w:t>
      </w:r>
      <w:r w:rsidR="00F1039C">
        <w:t xml:space="preserve"> fréquence dans </w:t>
      </w:r>
      <w:r w:rsidR="003F5318">
        <w:t>une</w:t>
      </w:r>
      <w:r w:rsidR="00F1039C">
        <w:t xml:space="preserve"> même région</w:t>
      </w:r>
      <w:r w:rsidR="003F2521">
        <w:t xml:space="preserve"> géographique</w:t>
      </w:r>
      <w:r w:rsidR="00F1039C">
        <w:t>.</w:t>
      </w:r>
      <w:r w:rsidR="003F2521">
        <w:t xml:space="preserve"> Pour ce qui est de la coexistence avec le SF, les distances de séparation calculées dans le cas d'une exploitation dans le même canal dans les cas les plus défavorables sont très grandes. Par conséquent, le service mobile risque de ne pas pouvoir utiliser la totalité ou une partie de cette bande de fréquences d'une manière coordonnée afin de mettre en oeuvre les IMT, en particulier à l'échelle mondiale.</w:t>
      </w:r>
    </w:p>
    <w:p w:rsidR="003F2521" w:rsidRDefault="003F2521" w:rsidP="003F2521"/>
    <w:p w:rsidR="004D77C3" w:rsidRDefault="004D77C3" w:rsidP="0032202E">
      <w:pPr>
        <w:pStyle w:val="Reasons"/>
      </w:pPr>
    </w:p>
    <w:p w:rsidR="004D77C3" w:rsidRDefault="004D77C3">
      <w:pPr>
        <w:jc w:val="center"/>
      </w:pPr>
      <w:r>
        <w:t>______________</w:t>
      </w:r>
    </w:p>
    <w:p w:rsidR="003F2521" w:rsidRPr="00752C42" w:rsidRDefault="003F2521" w:rsidP="003F2521">
      <w:pPr>
        <w:jc w:val="center"/>
      </w:pPr>
    </w:p>
    <w:p w:rsidR="003F2521" w:rsidRDefault="003F2521" w:rsidP="00F1039C">
      <w:pPr>
        <w:pStyle w:val="Reasons"/>
      </w:pPr>
    </w:p>
    <w:sectPr w:rsidR="003F2521">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A34D7D">
      <w:rPr>
        <w:noProof/>
        <w:lang w:val="en-US"/>
      </w:rPr>
      <w:t>P:\FRA\ITU-R\CONF-R\CMR15\000\025ADD01ADD02F.docx</w:t>
    </w:r>
    <w:r>
      <w:fldChar w:fldCharType="end"/>
    </w:r>
    <w:r>
      <w:rPr>
        <w:lang w:val="en-US"/>
      </w:rPr>
      <w:tab/>
    </w:r>
    <w:r>
      <w:fldChar w:fldCharType="begin"/>
    </w:r>
    <w:r>
      <w:instrText xml:space="preserve"> SAVEDATE \@ DD.MM.YY </w:instrText>
    </w:r>
    <w:r>
      <w:fldChar w:fldCharType="separate"/>
    </w:r>
    <w:r w:rsidR="00A34D7D">
      <w:rPr>
        <w:noProof/>
      </w:rPr>
      <w:t>14.10.15</w:t>
    </w:r>
    <w:r>
      <w:fldChar w:fldCharType="end"/>
    </w:r>
    <w:r>
      <w:rPr>
        <w:lang w:val="en-US"/>
      </w:rPr>
      <w:tab/>
    </w:r>
    <w:r>
      <w:fldChar w:fldCharType="begin"/>
    </w:r>
    <w:r>
      <w:instrText xml:space="preserve"> PRINTDATE \@ DD.MM.YY </w:instrText>
    </w:r>
    <w:r>
      <w:fldChar w:fldCharType="separate"/>
    </w:r>
    <w:r w:rsidR="00A34D7D">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A34D7D">
      <w:rPr>
        <w:lang w:val="en-US"/>
      </w:rPr>
      <w:t>P:\FRA\ITU-R\CONF-R\CMR15\000\025ADD01ADD02F.docx</w:t>
    </w:r>
    <w:r>
      <w:fldChar w:fldCharType="end"/>
    </w:r>
    <w:r w:rsidR="004D77C3">
      <w:t xml:space="preserve"> </w:t>
    </w:r>
    <w:r w:rsidR="004D77C3">
      <w:rPr>
        <w:lang w:val="fr-CH"/>
      </w:rPr>
      <w:t>(386837)</w:t>
    </w:r>
    <w:r>
      <w:rPr>
        <w:lang w:val="en-US"/>
      </w:rPr>
      <w:tab/>
    </w:r>
    <w:r>
      <w:fldChar w:fldCharType="begin"/>
    </w:r>
    <w:r>
      <w:instrText xml:space="preserve"> SAVEDATE \@ DD.MM.YY </w:instrText>
    </w:r>
    <w:r>
      <w:fldChar w:fldCharType="separate"/>
    </w:r>
    <w:r w:rsidR="00A34D7D">
      <w:t>14.10.15</w:t>
    </w:r>
    <w:r>
      <w:fldChar w:fldCharType="end"/>
    </w:r>
    <w:r>
      <w:rPr>
        <w:lang w:val="en-US"/>
      </w:rPr>
      <w:tab/>
    </w:r>
    <w:r>
      <w:fldChar w:fldCharType="begin"/>
    </w:r>
    <w:r>
      <w:instrText xml:space="preserve"> PRINTDATE \@ DD.MM.YY </w:instrText>
    </w:r>
    <w:r>
      <w:fldChar w:fldCharType="separate"/>
    </w:r>
    <w:r w:rsidR="00A34D7D">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A34D7D">
      <w:rPr>
        <w:lang w:val="en-US"/>
      </w:rPr>
      <w:t>P:\FRA\ITU-R\CONF-R\CMR15\000\025ADD01ADD02F.docx</w:t>
    </w:r>
    <w:r>
      <w:fldChar w:fldCharType="end"/>
    </w:r>
    <w:r w:rsidR="004D77C3">
      <w:t xml:space="preserve"> (386837)</w:t>
    </w:r>
    <w:r>
      <w:rPr>
        <w:lang w:val="en-US"/>
      </w:rPr>
      <w:tab/>
    </w:r>
    <w:r>
      <w:fldChar w:fldCharType="begin"/>
    </w:r>
    <w:r>
      <w:instrText xml:space="preserve"> SAVEDATE \@ DD.MM.YY </w:instrText>
    </w:r>
    <w:r>
      <w:fldChar w:fldCharType="separate"/>
    </w:r>
    <w:r w:rsidR="00A34D7D">
      <w:t>14.10.15</w:t>
    </w:r>
    <w:r>
      <w:fldChar w:fldCharType="end"/>
    </w:r>
    <w:r>
      <w:rPr>
        <w:lang w:val="en-US"/>
      </w:rPr>
      <w:tab/>
    </w:r>
    <w:r>
      <w:fldChar w:fldCharType="begin"/>
    </w:r>
    <w:r>
      <w:instrText xml:space="preserve"> PRINTDATE \@ DD.MM.YY </w:instrText>
    </w:r>
    <w:r>
      <w:fldChar w:fldCharType="separate"/>
    </w:r>
    <w:r w:rsidR="00A34D7D">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34D7D">
      <w:rPr>
        <w:noProof/>
      </w:rPr>
      <w:t>2</w:t>
    </w:r>
    <w:r>
      <w:fldChar w:fldCharType="end"/>
    </w:r>
  </w:p>
  <w:p w:rsidR="004F1F8E" w:rsidRDefault="004F1F8E" w:rsidP="002C28A4">
    <w:pPr>
      <w:pStyle w:val="Header"/>
    </w:pPr>
    <w:r>
      <w:t>CMR1</w:t>
    </w:r>
    <w:r w:rsidR="002C28A4">
      <w:t>5</w:t>
    </w:r>
    <w:r>
      <w:t>/</w:t>
    </w:r>
    <w:r w:rsidR="006A4B45">
      <w:t>25(Add.1)(Add.2)-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67D0C"/>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3F2521"/>
    <w:rsid w:val="003F5318"/>
    <w:rsid w:val="00460199"/>
    <w:rsid w:val="00466211"/>
    <w:rsid w:val="004834A9"/>
    <w:rsid w:val="004D01FC"/>
    <w:rsid w:val="004D77C3"/>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75ADC"/>
    <w:rsid w:val="00894F94"/>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4D7D"/>
    <w:rsid w:val="00A37105"/>
    <w:rsid w:val="00A606C3"/>
    <w:rsid w:val="00A83B09"/>
    <w:rsid w:val="00A84541"/>
    <w:rsid w:val="00AE36A0"/>
    <w:rsid w:val="00B00294"/>
    <w:rsid w:val="00B63220"/>
    <w:rsid w:val="00B64FD0"/>
    <w:rsid w:val="00BA5BD0"/>
    <w:rsid w:val="00BB1D82"/>
    <w:rsid w:val="00BF26E7"/>
    <w:rsid w:val="00C53FCA"/>
    <w:rsid w:val="00C76BAF"/>
    <w:rsid w:val="00C814B9"/>
    <w:rsid w:val="00CA30FF"/>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039C"/>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50D3DF8-422C-4EBD-8203-0D8DE313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
    <DPM_x0020_Author xmlns="32a1a8c5-2265-4ebc-b7a0-2071e2c5c9bb" xsi:nil="false"/>
    <DPM_x0020_Version xmlns="32a1a8c5-2265-4ebc-b7a0-2071e2c5c9bb" xsi:nil="false"/>
    <_dlc_DocId xmlns="996b2e75-67fd-4955-a3b0-5ab9934cb50b" xsi:nil="true"/>
    <_dlc_DocIdUrl xmlns="996b2e75-67fd-4955-a3b0-5ab9934cb50b">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2EDC9-31C9-4E6B-B8E1-35B8DBF387C1}">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32a1a8c5-2265-4ebc-b7a0-2071e2c5c9bb"/>
    <ds:schemaRef ds:uri="996b2e75-67fd-4955-a3b0-5ab9934cb50b"/>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568</Words>
  <Characters>3049</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R15-WRC15-C-0025!A1-A2!MSW-F</vt:lpstr>
    </vt:vector>
  </TitlesOfParts>
  <Manager>Secrétariat général - Pool</Manager>
  <Company>Union internationale des télécommunications (UIT)</Company>
  <LinksUpToDate>false</LinksUpToDate>
  <CharactersWithSpaces>3594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R15-WRC15-C-0025!A1-A2!MSW-F</dc:title>
  <dc:subject>Conférence mondiale des radiocommunications - 2015</dc:subject>
  <dc:creator>Documents Proposals Manager (DPM)</dc:creator>
  <cp:keywords>DPM_v5.2015.10.8_prod</cp:keywords>
  <dc:description/>
  <cp:lastModifiedBy>Jones, Jacqueline</cp:lastModifiedBy>
  <cp:revision>5</cp:revision>
  <cp:lastPrinted>2015-10-14T20:28:00Z</cp:lastPrinted>
  <dcterms:created xsi:type="dcterms:W3CDTF">2015-10-13T09:29:00Z</dcterms:created>
  <dcterms:modified xsi:type="dcterms:W3CDTF">2015-10-14T20:28:00Z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