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0F12F3">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0F12F3">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0F12F3">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0F12F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00B0C" w:rsidRDefault="003E1608" w:rsidP="000F12F3">
            <w:pPr>
              <w:pStyle w:val="Adress"/>
              <w:framePr w:hSpace="0" w:wrap="auto" w:xAlign="left" w:yAlign="inline"/>
              <w:spacing w:before="0"/>
              <w:rPr>
                <w:rtl/>
              </w:rPr>
            </w:pPr>
            <w:r w:rsidRPr="00E00B0C">
              <w:rPr>
                <w:rtl/>
              </w:rPr>
              <w:t xml:space="preserve">الإضافة </w:t>
            </w:r>
            <w:r w:rsidRPr="00E00B0C">
              <w:t>1</w:t>
            </w:r>
            <w:r w:rsidRPr="00E00B0C">
              <w:br/>
            </w:r>
            <w:r w:rsidRPr="00E00B0C">
              <w:rPr>
                <w:rtl/>
              </w:rPr>
              <w:t xml:space="preserve">للوثيقة </w:t>
            </w:r>
            <w:r w:rsidRPr="00E00B0C">
              <w:t>13-</w:t>
            </w:r>
            <w:r w:rsidR="00E00B0C">
              <w:t>A</w:t>
            </w:r>
          </w:p>
        </w:tc>
      </w:tr>
      <w:tr w:rsidR="00764079" w:rsidTr="003E1608">
        <w:trPr>
          <w:cantSplit/>
        </w:trPr>
        <w:tc>
          <w:tcPr>
            <w:tcW w:w="6619" w:type="dxa"/>
            <w:shd w:val="clear" w:color="auto" w:fill="auto"/>
          </w:tcPr>
          <w:p w:rsidR="00764079" w:rsidRPr="00BD6EF3" w:rsidRDefault="00764079" w:rsidP="000F12F3">
            <w:pPr>
              <w:pStyle w:val="Adress"/>
              <w:framePr w:hSpace="0" w:wrap="auto" w:xAlign="left" w:yAlign="inline"/>
              <w:spacing w:before="0"/>
              <w:rPr>
                <w:rtl/>
              </w:rPr>
            </w:pPr>
          </w:p>
        </w:tc>
        <w:tc>
          <w:tcPr>
            <w:tcW w:w="3053" w:type="dxa"/>
            <w:shd w:val="clear" w:color="auto" w:fill="auto"/>
            <w:vAlign w:val="center"/>
          </w:tcPr>
          <w:p w:rsidR="00764079" w:rsidRPr="00E00B0C" w:rsidRDefault="00E00B0C" w:rsidP="000F12F3">
            <w:pPr>
              <w:pStyle w:val="Adress"/>
              <w:framePr w:hSpace="0" w:wrap="auto" w:xAlign="left" w:yAlign="inline"/>
              <w:spacing w:before="0"/>
              <w:rPr>
                <w:rtl/>
              </w:rPr>
            </w:pPr>
            <w:r>
              <w:rPr>
                <w:rFonts w:eastAsia="SimSun"/>
              </w:rPr>
              <w:t>13</w:t>
            </w:r>
            <w:r w:rsidR="00764079" w:rsidRPr="00E00B0C">
              <w:rPr>
                <w:rFonts w:eastAsia="SimSun"/>
                <w:rtl/>
              </w:rPr>
              <w:t xml:space="preserve"> أكتوبر </w:t>
            </w:r>
            <w:r w:rsidR="00764079" w:rsidRPr="00E00B0C">
              <w:rPr>
                <w:rFonts w:eastAsia="SimSun"/>
              </w:rPr>
              <w:t>2015</w:t>
            </w:r>
          </w:p>
        </w:tc>
      </w:tr>
      <w:tr w:rsidR="00764079" w:rsidTr="003E1608">
        <w:trPr>
          <w:cantSplit/>
        </w:trPr>
        <w:tc>
          <w:tcPr>
            <w:tcW w:w="6619" w:type="dxa"/>
          </w:tcPr>
          <w:p w:rsidR="00764079" w:rsidRPr="00BD6EF3" w:rsidRDefault="00764079" w:rsidP="000F12F3">
            <w:pPr>
              <w:pStyle w:val="Adress"/>
              <w:framePr w:hSpace="0" w:wrap="auto" w:xAlign="left" w:yAlign="inline"/>
              <w:spacing w:before="0"/>
              <w:rPr>
                <w:rFonts w:eastAsia="SimSun" w:hint="eastAsia"/>
                <w:rtl/>
              </w:rPr>
            </w:pPr>
          </w:p>
        </w:tc>
        <w:tc>
          <w:tcPr>
            <w:tcW w:w="3053" w:type="dxa"/>
            <w:vAlign w:val="center"/>
          </w:tcPr>
          <w:p w:rsidR="00764079" w:rsidRPr="00E00B0C" w:rsidRDefault="00764079" w:rsidP="000F12F3">
            <w:pPr>
              <w:pStyle w:val="Adress"/>
              <w:framePr w:hSpace="0" w:wrap="auto" w:xAlign="left" w:yAlign="inline"/>
              <w:spacing w:before="0"/>
              <w:rPr>
                <w:rFonts w:eastAsia="SimSun" w:hint="eastAsia"/>
              </w:rPr>
            </w:pPr>
            <w:r w:rsidRPr="00E00B0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E00B0C" w:rsidP="00D44350">
            <w:pPr>
              <w:pStyle w:val="Source"/>
              <w:rPr>
                <w:rtl/>
              </w:rPr>
            </w:pPr>
            <w:r>
              <w:rPr>
                <w:rFonts w:hint="cs"/>
                <w:snapToGrid/>
                <w:w w:val="120"/>
                <w:rtl/>
              </w:rPr>
              <w:t xml:space="preserve">مذكرة من </w:t>
            </w:r>
            <w:r w:rsidRPr="00822DEE">
              <w:rPr>
                <w:rFonts w:hint="cs"/>
                <w:snapToGrid/>
                <w:w w:val="120"/>
                <w:rtl/>
              </w:rPr>
              <w:t>الأمين العام</w:t>
            </w:r>
          </w:p>
        </w:tc>
      </w:tr>
      <w:tr w:rsidR="00764079" w:rsidTr="003E1608">
        <w:trPr>
          <w:cantSplit/>
        </w:trPr>
        <w:tc>
          <w:tcPr>
            <w:tcW w:w="9672" w:type="dxa"/>
            <w:gridSpan w:val="2"/>
          </w:tcPr>
          <w:p w:rsidR="00764079" w:rsidRPr="00BD6EF3" w:rsidRDefault="00E00B0C" w:rsidP="00D44350">
            <w:pPr>
              <w:pStyle w:val="Title1"/>
              <w:spacing w:before="240"/>
              <w:rPr>
                <w:rtl/>
              </w:rPr>
            </w:pPr>
            <w:r w:rsidRPr="00FF1CA0">
              <w:rPr>
                <w:rtl/>
              </w:rPr>
              <w:t>موقف ال</w:t>
            </w:r>
            <w:r w:rsidR="008B0BE8">
              <w:rPr>
                <w:rFonts w:hint="cs"/>
                <w:rtl/>
              </w:rPr>
              <w:t>‍</w:t>
            </w:r>
            <w:r w:rsidRPr="00FF1CA0">
              <w:rPr>
                <w:rtl/>
              </w:rPr>
              <w:t>منظمة البحرية الدولية</w:t>
            </w:r>
            <w:r w:rsidRPr="00FF1CA0">
              <w:rPr>
                <w:rtl/>
              </w:rPr>
              <w:br/>
              <w:t>بشأن بنود جدول أعمال ال</w:t>
            </w:r>
            <w:r w:rsidR="008B0BE8">
              <w:rPr>
                <w:rFonts w:hint="cs"/>
                <w:rtl/>
              </w:rPr>
              <w:t>‍</w:t>
            </w:r>
            <w:r w:rsidRPr="00FF1CA0">
              <w:rPr>
                <w:rtl/>
              </w:rPr>
              <w:t>مؤت</w:t>
            </w:r>
            <w:r w:rsidR="008B0BE8">
              <w:rPr>
                <w:rFonts w:hint="cs"/>
                <w:rtl/>
              </w:rPr>
              <w:t>‍</w:t>
            </w:r>
            <w:r w:rsidRPr="00FF1CA0">
              <w:rPr>
                <w:rtl/>
              </w:rPr>
              <w:t>مر العال</w:t>
            </w:r>
            <w:r w:rsidR="008B0BE8">
              <w:rPr>
                <w:rFonts w:hint="cs"/>
                <w:rtl/>
              </w:rPr>
              <w:t>‍</w:t>
            </w:r>
            <w:r w:rsidRPr="00FF1CA0">
              <w:rPr>
                <w:rtl/>
              </w:rPr>
              <w:t xml:space="preserve">مي للاتصالات الراديوية لعام </w:t>
            </w:r>
            <w:r w:rsidRPr="00FF1CA0">
              <w:t>2015</w:t>
            </w:r>
            <w:r w:rsidRPr="00FF1CA0">
              <w:rPr>
                <w:rtl/>
              </w:rPr>
              <w:br/>
              <w:t>ال</w:t>
            </w:r>
            <w:r w:rsidR="008B0BE8">
              <w:rPr>
                <w:rFonts w:hint="cs"/>
                <w:rtl/>
              </w:rPr>
              <w:t>‍</w:t>
            </w:r>
            <w:r w:rsidRPr="00FF1CA0">
              <w:rPr>
                <w:rtl/>
              </w:rPr>
              <w:t>متعلقة بال</w:t>
            </w:r>
            <w:r w:rsidR="008B0BE8">
              <w:rPr>
                <w:rFonts w:hint="cs"/>
                <w:rtl/>
              </w:rPr>
              <w:t>‍</w:t>
            </w:r>
            <w:r w:rsidRPr="00FF1CA0">
              <w:rPr>
                <w:rtl/>
              </w:rPr>
              <w:t xml:space="preserve">مسائل ذات الصلة </w:t>
            </w:r>
            <w:proofErr w:type="spellStart"/>
            <w:r w:rsidRPr="00FF1CA0">
              <w:rPr>
                <w:rtl/>
              </w:rPr>
              <w:t>بال</w:t>
            </w:r>
            <w:r w:rsidR="008B0BE8">
              <w:rPr>
                <w:rFonts w:hint="cs"/>
                <w:rtl/>
              </w:rPr>
              <w:t>‍</w:t>
            </w:r>
            <w:r w:rsidRPr="00FF1CA0">
              <w:rPr>
                <w:rtl/>
              </w:rPr>
              <w:t>خدمات</w:t>
            </w:r>
            <w:proofErr w:type="spellEnd"/>
            <w:r w:rsidRPr="00FF1CA0">
              <w:rPr>
                <w:rtl/>
              </w:rPr>
              <w:t xml:space="preserve"> البحرية</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bookmarkStart w:id="1" w:name="_GoBack"/>
            <w:bookmarkEnd w:id="1"/>
          </w:p>
        </w:tc>
      </w:tr>
    </w:tbl>
    <w:p w:rsidR="00E00B0C" w:rsidRPr="00FF1CA0" w:rsidRDefault="00E00B0C" w:rsidP="000F12F3">
      <w:pPr>
        <w:pStyle w:val="Normalaftertitle"/>
        <w:rPr>
          <w:rtl/>
        </w:rPr>
      </w:pPr>
      <w:r w:rsidRPr="00FF1CA0">
        <w:rPr>
          <w:rFonts w:hint="cs"/>
          <w:rtl/>
        </w:rPr>
        <w:t xml:space="preserve">بناءً على طلب المنظمة البحرية الدولية </w:t>
      </w:r>
      <w:r w:rsidRPr="00FF1CA0">
        <w:t>(IMO)</w:t>
      </w:r>
      <w:r w:rsidRPr="00FF1CA0">
        <w:rPr>
          <w:rFonts w:hint="cs"/>
          <w:rtl/>
        </w:rPr>
        <w:t xml:space="preserve">، يشرِّفني أن </w:t>
      </w:r>
      <w:r w:rsidR="000F12F3">
        <w:rPr>
          <w:rFonts w:hint="cs"/>
          <w:rtl/>
        </w:rPr>
        <w:t>ا</w:t>
      </w:r>
      <w:r w:rsidRPr="00FF1CA0">
        <w:rPr>
          <w:rFonts w:hint="cs"/>
          <w:rtl/>
        </w:rPr>
        <w:t>سترعي عناية المؤتمر إلى ورقة المعلومات الملحقة بهذه الوثيقة.</w:t>
      </w:r>
    </w:p>
    <w:p w:rsidR="00F16602" w:rsidRDefault="00E00B0C" w:rsidP="008B0BE8">
      <w:pPr>
        <w:spacing w:before="1440"/>
        <w:ind w:left="5761"/>
        <w:jc w:val="center"/>
        <w:rPr>
          <w:rtl/>
        </w:rPr>
      </w:pPr>
      <w:r>
        <w:rPr>
          <w:rFonts w:hint="cs"/>
          <w:rtl/>
        </w:rPr>
        <w:t>هولين جاو</w:t>
      </w:r>
      <w:r w:rsidRPr="002919E1">
        <w:rPr>
          <w:rFonts w:hint="cs"/>
          <w:rtl/>
        </w:rPr>
        <w:br/>
        <w:t>الأمين العام</w:t>
      </w:r>
    </w:p>
    <w:p w:rsidR="00E00B0C" w:rsidRDefault="00E00B0C">
      <w:pPr>
        <w:tabs>
          <w:tab w:val="clear" w:pos="1134"/>
        </w:tabs>
        <w:bidi w:val="0"/>
        <w:spacing w:before="0" w:line="240" w:lineRule="auto"/>
        <w:jc w:val="left"/>
        <w:rPr>
          <w:rtl/>
        </w:rPr>
      </w:pPr>
      <w:r>
        <w:rPr>
          <w:rtl/>
        </w:rPr>
        <w:br w:type="page"/>
      </w:r>
    </w:p>
    <w:p w:rsidR="00E70AC6" w:rsidRPr="00E00B0C" w:rsidRDefault="0095025E" w:rsidP="0095025E">
      <w:pPr>
        <w:rPr>
          <w:rtl/>
          <w:lang w:bidi="ar-JO"/>
        </w:rPr>
      </w:pPr>
      <w:r w:rsidRPr="00E00B0C">
        <w:rPr>
          <w:rFonts w:hint="cs"/>
          <w:rtl/>
          <w:lang w:bidi="ar-EG"/>
        </w:rPr>
        <w:lastRenderedPageBreak/>
        <w:t xml:space="preserve">تتضمن الوثيقة </w:t>
      </w:r>
      <w:r w:rsidRPr="00E00B0C">
        <w:rPr>
          <w:lang w:val="en-GB"/>
        </w:rPr>
        <w:t>13</w:t>
      </w:r>
      <w:r w:rsidRPr="00E00B0C">
        <w:rPr>
          <w:rFonts w:hint="cs"/>
          <w:rtl/>
          <w:lang w:bidi="ar-EG"/>
        </w:rPr>
        <w:t xml:space="preserve"> </w:t>
      </w:r>
      <w:proofErr w:type="spellStart"/>
      <w:r w:rsidRPr="00E00B0C">
        <w:rPr>
          <w:rFonts w:hint="cs"/>
          <w:rtl/>
          <w:lang w:bidi="ar-EG"/>
        </w:rPr>
        <w:t>ل</w:t>
      </w:r>
      <w:r w:rsidRPr="00E00B0C">
        <w:rPr>
          <w:rtl/>
          <w:lang w:bidi="ar-EG"/>
        </w:rPr>
        <w:t>ل‍مؤت‍مر</w:t>
      </w:r>
      <w:proofErr w:type="spellEnd"/>
      <w:r w:rsidRPr="00E00B0C">
        <w:rPr>
          <w:rtl/>
          <w:lang w:bidi="ar-EG"/>
        </w:rPr>
        <w:t xml:space="preserve"> العال‍مي للاتصالات الراديوية لعام </w:t>
      </w:r>
      <w:r w:rsidRPr="00E00B0C">
        <w:rPr>
          <w:lang w:val="en-GB"/>
        </w:rPr>
        <w:t>2015</w:t>
      </w:r>
      <w:r w:rsidRPr="00E00B0C">
        <w:rPr>
          <w:rFonts w:hint="cs"/>
          <w:rtl/>
          <w:lang w:bidi="ar-EG"/>
        </w:rPr>
        <w:t xml:space="preserve"> </w:t>
      </w:r>
      <w:r w:rsidRPr="00E00B0C">
        <w:rPr>
          <w:lang w:val="en-GB"/>
        </w:rPr>
        <w:t>(WRC-15)</w:t>
      </w:r>
      <w:r w:rsidRPr="00E00B0C">
        <w:rPr>
          <w:rFonts w:hint="cs"/>
          <w:rtl/>
          <w:lang w:bidi="ar-EG"/>
        </w:rPr>
        <w:t xml:space="preserve"> </w:t>
      </w:r>
      <w:r w:rsidRPr="00E00B0C">
        <w:rPr>
          <w:rtl/>
          <w:lang w:bidi="ar-EG"/>
        </w:rPr>
        <w:t>موقف ال‍منظمة البحرية الدولية بشأن بنود جدول أعمال</w:t>
      </w:r>
      <w:r w:rsidRPr="00E00B0C">
        <w:rPr>
          <w:rFonts w:hint="cs"/>
          <w:rtl/>
          <w:lang w:bidi="ar-EG"/>
        </w:rPr>
        <w:t>ه</w:t>
      </w:r>
      <w:r w:rsidRPr="00E00B0C">
        <w:rPr>
          <w:rtl/>
          <w:lang w:bidi="ar-EG"/>
        </w:rPr>
        <w:t xml:space="preserve"> </w:t>
      </w:r>
      <w:r w:rsidRPr="00E00B0C">
        <w:rPr>
          <w:rtl/>
        </w:rPr>
        <w:t>المتعلقة بالمسائل ذات الصلة بالخدمات البحرية</w:t>
      </w:r>
      <w:r w:rsidRPr="00E00B0C">
        <w:rPr>
          <w:rFonts w:hint="cs"/>
          <w:rtl/>
        </w:rPr>
        <w:t xml:space="preserve">. وكما يشار إليه في الصفحة </w:t>
      </w:r>
      <w:r w:rsidRPr="00E00B0C">
        <w:rPr>
          <w:lang w:val="en-GB"/>
        </w:rPr>
        <w:t>8</w:t>
      </w:r>
      <w:r w:rsidRPr="00E00B0C">
        <w:rPr>
          <w:rFonts w:hint="cs"/>
          <w:rtl/>
        </w:rPr>
        <w:t xml:space="preserve"> من </w:t>
      </w:r>
      <w:r w:rsidRPr="00E00B0C">
        <w:rPr>
          <w:rFonts w:hint="cs"/>
          <w:rtl/>
          <w:lang w:bidi="ar-EG"/>
        </w:rPr>
        <w:t xml:space="preserve">الوثيقة </w:t>
      </w:r>
      <w:r w:rsidRPr="00E00B0C">
        <w:rPr>
          <w:lang w:val="en-GB"/>
        </w:rPr>
        <w:t>13</w:t>
      </w:r>
      <w:r w:rsidRPr="00E00B0C">
        <w:rPr>
          <w:rFonts w:hint="cs"/>
          <w:rtl/>
          <w:lang w:bidi="ar-EG"/>
        </w:rPr>
        <w:t xml:space="preserve"> المعنية، نظر فريق الخبراء المشترك بين المنظمة البحرية الدولية والاتحاد الدولي للاتصالات والمعني بمسائل الاتصالات الراديوية البحرية، خلال اجتماعه الذي عُقد من </w:t>
      </w:r>
      <w:r w:rsidRPr="00E00B0C">
        <w:rPr>
          <w:lang w:val="en-GB"/>
        </w:rPr>
        <w:t>5</w:t>
      </w:r>
      <w:r w:rsidRPr="00E00B0C">
        <w:rPr>
          <w:rFonts w:hint="cs"/>
          <w:rtl/>
          <w:lang w:bidi="ar-EG"/>
        </w:rPr>
        <w:t xml:space="preserve"> إلى </w:t>
      </w:r>
      <w:r w:rsidRPr="00E00B0C">
        <w:rPr>
          <w:lang w:val="en-GB"/>
        </w:rPr>
        <w:t>9</w:t>
      </w:r>
      <w:r w:rsidRPr="00E00B0C">
        <w:rPr>
          <w:rFonts w:hint="cs"/>
          <w:rtl/>
          <w:lang w:bidi="ar-EG"/>
        </w:rPr>
        <w:t xml:space="preserve"> أكتوبر </w:t>
      </w:r>
      <w:r w:rsidRPr="00E00B0C">
        <w:rPr>
          <w:lang w:val="en-GB"/>
        </w:rPr>
        <w:t>2015</w:t>
      </w:r>
      <w:r w:rsidRPr="00E00B0C">
        <w:rPr>
          <w:rFonts w:hint="cs"/>
          <w:rtl/>
          <w:lang w:bidi="ar-EG"/>
        </w:rPr>
        <w:t xml:space="preserve">، في المسائل المتعلقة بالبند </w:t>
      </w:r>
      <w:r w:rsidRPr="00E00B0C">
        <w:rPr>
          <w:lang w:val="en-GB"/>
        </w:rPr>
        <w:t>10</w:t>
      </w:r>
      <w:r w:rsidRPr="00E00B0C">
        <w:rPr>
          <w:rFonts w:hint="cs"/>
          <w:rtl/>
          <w:lang w:bidi="ar-EG"/>
        </w:rPr>
        <w:t xml:space="preserve"> من جدول أعمال المؤتمر العالمي للاتصالات الراديوية لعام</w:t>
      </w:r>
      <w:r>
        <w:rPr>
          <w:rFonts w:hint="eastAsia"/>
          <w:rtl/>
          <w:lang w:bidi="ar-EG"/>
        </w:rPr>
        <w:t> </w:t>
      </w:r>
      <w:r w:rsidRPr="00E00B0C">
        <w:rPr>
          <w:lang w:val="en-GB"/>
        </w:rPr>
        <w:t>2015</w:t>
      </w:r>
      <w:r>
        <w:rPr>
          <w:rFonts w:hint="eastAsia"/>
          <w:rtl/>
          <w:lang w:bidi="ar-EG"/>
        </w:rPr>
        <w:t> </w:t>
      </w:r>
      <w:r w:rsidRPr="00E00B0C">
        <w:rPr>
          <w:lang w:val="en-GB"/>
        </w:rPr>
        <w:t>(WRC-15)</w:t>
      </w:r>
      <w:r w:rsidRPr="00E00B0C">
        <w:rPr>
          <w:rFonts w:hint="cs"/>
          <w:rtl/>
          <w:lang w:bidi="ar-EG"/>
        </w:rPr>
        <w:t xml:space="preserve">. </w:t>
      </w:r>
      <w:r w:rsidRPr="00E00B0C">
        <w:rPr>
          <w:rFonts w:hint="cs"/>
          <w:rtl/>
          <w:lang w:bidi="ar-JO"/>
        </w:rPr>
        <w:t xml:space="preserve">ونتيجةً لذلك تُعْلِم المنظمة البحرية الدولية المؤتمر </w:t>
      </w:r>
      <w:r w:rsidRPr="00E00B0C">
        <w:rPr>
          <w:lang w:val="en-GB"/>
        </w:rPr>
        <w:t>WRC-15</w:t>
      </w:r>
      <w:r w:rsidRPr="00E00B0C">
        <w:rPr>
          <w:rFonts w:hint="cs"/>
          <w:rtl/>
          <w:lang w:bidi="ar-JO"/>
        </w:rPr>
        <w:t xml:space="preserve"> فيما يخص وثيقته </w:t>
      </w:r>
      <w:r w:rsidRPr="00E00B0C">
        <w:t>13</w:t>
      </w:r>
      <w:r w:rsidRPr="00E00B0C">
        <w:rPr>
          <w:rFonts w:hint="cs"/>
          <w:rtl/>
          <w:lang w:bidi="ar-JO"/>
        </w:rPr>
        <w:t xml:space="preserve"> بأنه ينبغي أن يستعاض عن المعلومات المتعلقة بالبند </w:t>
      </w:r>
      <w:r w:rsidRPr="00E00B0C">
        <w:t>10</w:t>
      </w:r>
      <w:r w:rsidRPr="00E00B0C">
        <w:rPr>
          <w:rFonts w:hint="cs"/>
          <w:rtl/>
          <w:lang w:bidi="ar-JO"/>
        </w:rPr>
        <w:t xml:space="preserve"> من جدول أعماله بالنص التالي.</w:t>
      </w:r>
    </w:p>
    <w:p w:rsidR="00732E6A" w:rsidRPr="00E00B0C" w:rsidRDefault="0095025E" w:rsidP="0095025E">
      <w:pPr>
        <w:pStyle w:val="Headingb"/>
        <w:rPr>
          <w:rtl/>
        </w:rPr>
      </w:pPr>
      <w:r w:rsidRPr="00E00B0C">
        <w:rPr>
          <w:rFonts w:hint="cs"/>
          <w:rtl/>
        </w:rPr>
        <w:t xml:space="preserve">البند </w:t>
      </w:r>
      <w:r w:rsidRPr="00E00B0C">
        <w:rPr>
          <w:lang w:val="fr-FR" w:bidi="ar-SA"/>
        </w:rPr>
        <w:t>10</w:t>
      </w:r>
      <w:r w:rsidRPr="00E00B0C">
        <w:rPr>
          <w:rFonts w:hint="cs"/>
          <w:rtl/>
        </w:rPr>
        <w:t xml:space="preserve"> من جدول الأعمال</w:t>
      </w:r>
    </w:p>
    <w:p w:rsidR="00E70AC6" w:rsidRPr="00E00B0C" w:rsidRDefault="0095025E" w:rsidP="0095025E">
      <w:pPr>
        <w:rPr>
          <w:lang w:val="en-GB"/>
        </w:rPr>
      </w:pPr>
      <w:r w:rsidRPr="00E00B0C">
        <w:rPr>
          <w:lang w:val="en-GB"/>
        </w:rPr>
        <w:t>10</w:t>
      </w:r>
      <w:r w:rsidRPr="00E00B0C">
        <w:rPr>
          <w:rFonts w:hint="cs"/>
          <w:rtl/>
          <w:lang w:bidi="ar-EG"/>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Pr>
          <w:rFonts w:hint="eastAsia"/>
          <w:rtl/>
          <w:lang w:bidi="ar-EG"/>
        </w:rPr>
        <w:t> </w:t>
      </w:r>
      <w:r w:rsidRPr="00E00B0C">
        <w:rPr>
          <w:lang w:val="en-GB"/>
        </w:rPr>
        <w:t>7</w:t>
      </w:r>
      <w:r w:rsidRPr="00E00B0C">
        <w:rPr>
          <w:rFonts w:hint="cs"/>
          <w:rtl/>
          <w:lang w:bidi="ar-EG"/>
        </w:rPr>
        <w:t xml:space="preserve"> من الاتفاقية.</w:t>
      </w:r>
    </w:p>
    <w:p w:rsidR="00E00B0C" w:rsidRPr="00E00B0C" w:rsidRDefault="0095025E" w:rsidP="0095025E">
      <w:pPr>
        <w:pStyle w:val="Headingb"/>
        <w:rPr>
          <w:rtl/>
        </w:rPr>
      </w:pPr>
      <w:r>
        <w:rPr>
          <w:rtl/>
        </w:rPr>
        <w:tab/>
      </w:r>
      <w:r w:rsidR="00E00B0C" w:rsidRPr="00E00B0C">
        <w:rPr>
          <w:rFonts w:hint="cs"/>
          <w:rtl/>
        </w:rPr>
        <w:t>معلومات أساسية</w:t>
      </w:r>
    </w:p>
    <w:p w:rsidR="00E70AC6" w:rsidRPr="00E00B0C" w:rsidRDefault="0095025E" w:rsidP="0095025E">
      <w:pPr>
        <w:pStyle w:val="enumlev2"/>
        <w:ind w:left="1134" w:firstLine="0"/>
        <w:rPr>
          <w:rtl/>
        </w:rPr>
      </w:pPr>
      <w:r w:rsidRPr="00E00B0C">
        <w:rPr>
          <w:rFonts w:hint="cs"/>
          <w:rtl/>
        </w:rPr>
        <w:t xml:space="preserve">يدرج القرار </w:t>
      </w:r>
      <w:r w:rsidRPr="00E00B0C">
        <w:rPr>
          <w:b/>
          <w:bCs/>
        </w:rPr>
        <w:t>808 (WRC</w:t>
      </w:r>
      <w:r w:rsidRPr="00E00B0C">
        <w:rPr>
          <w:b/>
          <w:bCs/>
        </w:rPr>
        <w:noBreakHyphen/>
        <w:t>12)</w:t>
      </w:r>
      <w:r w:rsidRPr="00E00B0C">
        <w:rPr>
          <w:rFonts w:hint="cs"/>
          <w:rtl/>
        </w:rPr>
        <w:t xml:space="preserve"> </w:t>
      </w:r>
      <w:bookmarkStart w:id="2" w:name="_Toc327956792"/>
      <w:r w:rsidRPr="00E00B0C">
        <w:rPr>
          <w:rFonts w:hint="cs"/>
          <w:rtl/>
        </w:rPr>
        <w:t>الذي يتضمن جدول الأعمال التمهيدي للمؤتمر العالمي للاتصالات الراديوية لعام</w:t>
      </w:r>
      <w:r>
        <w:rPr>
          <w:rFonts w:hint="eastAsia"/>
          <w:rtl/>
        </w:rPr>
        <w:t> </w:t>
      </w:r>
      <w:r w:rsidRPr="00E00B0C">
        <w:t>2018</w:t>
      </w:r>
      <w:bookmarkEnd w:id="2"/>
      <w:r w:rsidRPr="00E00B0C">
        <w:rPr>
          <w:rFonts w:hint="cs"/>
          <w:rtl/>
        </w:rPr>
        <w:t>، في</w:t>
      </w:r>
      <w:r w:rsidRPr="00E00B0C">
        <w:rPr>
          <w:rFonts w:hint="eastAsia"/>
          <w:rtl/>
        </w:rPr>
        <w:t> </w:t>
      </w:r>
      <w:r w:rsidRPr="00E00B0C">
        <w:rPr>
          <w:rFonts w:hint="cs"/>
          <w:rtl/>
        </w:rPr>
        <w:t>البند</w:t>
      </w:r>
      <w:r w:rsidRPr="00E00B0C">
        <w:rPr>
          <w:rFonts w:hint="eastAsia"/>
          <w:rtl/>
        </w:rPr>
        <w:t> </w:t>
      </w:r>
      <w:r w:rsidRPr="00E00B0C">
        <w:t>1.2</w:t>
      </w:r>
      <w:r w:rsidRPr="00E00B0C">
        <w:rPr>
          <w:rFonts w:hint="cs"/>
          <w:rtl/>
        </w:rPr>
        <w:t xml:space="preserve"> ضمن جدول أعمال المؤتمر العالمي للاتصالات الراديوية لعام </w:t>
      </w:r>
      <w:r w:rsidRPr="00E00B0C">
        <w:t>2018</w:t>
      </w:r>
      <w:r w:rsidRPr="00E00B0C">
        <w:rPr>
          <w:rFonts w:hint="cs"/>
          <w:rtl/>
        </w:rPr>
        <w:t xml:space="preserve"> "النظر في الإجراءات التنظيمية، بما في ذلك توزيعات الطيف، لدعم تحديث النظام العالمي للاستغاثة والسلامة في البحر </w:t>
      </w:r>
      <w:r w:rsidRPr="00E00B0C">
        <w:t>(GMDSS)</w:t>
      </w:r>
      <w:r w:rsidRPr="00E00B0C">
        <w:rPr>
          <w:rFonts w:hint="cs"/>
          <w:rtl/>
        </w:rPr>
        <w:t xml:space="preserve"> وتنفيذ الملاحة الإلكترونية، وفقاً للقرار </w:t>
      </w:r>
      <w:r w:rsidRPr="00E00B0C">
        <w:rPr>
          <w:b/>
          <w:bCs/>
        </w:rPr>
        <w:t>359 (WRC-12)</w:t>
      </w:r>
      <w:r w:rsidRPr="00E00B0C">
        <w:rPr>
          <w:rFonts w:hint="cs"/>
          <w:b/>
          <w:bCs/>
          <w:rtl/>
        </w:rPr>
        <w:t>".</w:t>
      </w:r>
    </w:p>
    <w:p w:rsidR="00E00B0C" w:rsidRPr="00E00B0C" w:rsidRDefault="00E00B0C" w:rsidP="0095025E">
      <w:pPr>
        <w:pStyle w:val="enumlev2"/>
        <w:ind w:left="1134" w:firstLine="0"/>
      </w:pPr>
      <w:r w:rsidRPr="00E00B0C">
        <w:rPr>
          <w:rFonts w:hint="cs"/>
          <w:rtl/>
          <w:lang w:bidi="ar-EG"/>
        </w:rPr>
        <w:t xml:space="preserve">ونظراً إلى التعقيد الذي يكتنف العمل المتعلق بمراجعة النظام العالمي للاستغاثة والسلامة في البحر </w:t>
      </w:r>
      <w:r w:rsidRPr="00E00B0C">
        <w:rPr>
          <w:lang w:val="en-GB"/>
        </w:rPr>
        <w:t>(GMDSS)</w:t>
      </w:r>
      <w:r w:rsidRPr="00E00B0C">
        <w:rPr>
          <w:rFonts w:hint="cs"/>
          <w:rtl/>
          <w:lang w:bidi="ar-EG"/>
        </w:rPr>
        <w:t xml:space="preserve">، تزمِع المنظمة الدولية البحرية استكمال خطة تحديث هذا النظام في عام </w:t>
      </w:r>
      <w:r w:rsidRPr="00E00B0C">
        <w:rPr>
          <w:lang w:val="en-GB"/>
        </w:rPr>
        <w:t>2018</w:t>
      </w:r>
      <w:r w:rsidRPr="00E00B0C">
        <w:rPr>
          <w:rFonts w:hint="cs"/>
          <w:rtl/>
          <w:lang w:bidi="ar-EG"/>
        </w:rPr>
        <w:t xml:space="preserve">. ومن المتوقع تنفيذ المرحلة الأولى من العمل الإضافي بشأن إعمال الملاحة الإلكترونية في الفترة الممتدة من عام </w:t>
      </w:r>
      <w:r w:rsidRPr="00E00B0C">
        <w:rPr>
          <w:lang w:val="en-GB"/>
        </w:rPr>
        <w:t>2016</w:t>
      </w:r>
      <w:r w:rsidRPr="00E00B0C">
        <w:rPr>
          <w:rFonts w:hint="cs"/>
          <w:rtl/>
          <w:lang w:bidi="ar-EG"/>
        </w:rPr>
        <w:t xml:space="preserve"> إلى عام </w:t>
      </w:r>
      <w:r w:rsidRPr="00E00B0C">
        <w:rPr>
          <w:lang w:val="en-GB"/>
        </w:rPr>
        <w:t>2019</w:t>
      </w:r>
      <w:r w:rsidRPr="00E00B0C">
        <w:rPr>
          <w:rFonts w:hint="cs"/>
          <w:rtl/>
          <w:lang w:bidi="ar-EG"/>
        </w:rPr>
        <w:t>.</w:t>
      </w:r>
    </w:p>
    <w:p w:rsidR="00E00B0C" w:rsidRPr="00E00B0C" w:rsidRDefault="00E00B0C" w:rsidP="0095025E">
      <w:pPr>
        <w:pStyle w:val="enumlev2"/>
        <w:ind w:left="1134" w:firstLine="0"/>
        <w:rPr>
          <w:rtl/>
          <w:lang w:bidi="ar-EG"/>
        </w:rPr>
      </w:pPr>
      <w:r w:rsidRPr="00E00B0C">
        <w:rPr>
          <w:rFonts w:hint="cs"/>
          <w:rtl/>
          <w:lang w:bidi="ar-EG"/>
        </w:rPr>
        <w:t>وفي صدد لا يتعلق على نحو مباشر بتحديث النظام العالمي للاستغاثة والسلامة في البحر، استلمت المنظمة البحرية الدولية طلباً لاعتماد انضمام جهة جديدة من الجهات التي توفِّر الخدمات الساتلية إلى النظام العالمي للاستغاثة والسلامة في البحر. وإذا اعتُرف فيما يخص استعمال هذا النظام بجهة جديدة من الجهات التي توفِّر الخدمات الساتلية فقد يلزم أن ينظر الاتحاد الدولي للاتصالات فيما يترتب على ذلك من تدابير تنظيمية.</w:t>
      </w:r>
    </w:p>
    <w:p w:rsidR="00E00B0C" w:rsidRPr="00E00B0C" w:rsidRDefault="00E00B0C" w:rsidP="0095025E">
      <w:pPr>
        <w:pStyle w:val="enumlev2"/>
        <w:ind w:left="1134" w:firstLine="0"/>
        <w:rPr>
          <w:rtl/>
          <w:lang w:bidi="ar-JO"/>
        </w:rPr>
      </w:pPr>
      <w:r w:rsidRPr="00E00B0C">
        <w:rPr>
          <w:rFonts w:hint="cs"/>
          <w:rtl/>
          <w:lang w:bidi="ar-JO"/>
        </w:rPr>
        <w:t xml:space="preserve">وتعترف المنظمة البحرية الدولية بتطور ما في الأسواق من الأجهزة التي تُستعمل فيها تكنولوجيا مشابهة لنظام التعرف الأوتوماتي </w:t>
      </w:r>
      <w:r w:rsidRPr="00E00B0C">
        <w:rPr>
          <w:lang w:val="en-GB"/>
        </w:rPr>
        <w:t>(AIS)</w:t>
      </w:r>
      <w:r w:rsidRPr="00E00B0C">
        <w:rPr>
          <w:rFonts w:hint="cs"/>
          <w:rtl/>
          <w:lang w:bidi="ar-EG"/>
        </w:rPr>
        <w:t xml:space="preserve"> </w:t>
      </w:r>
      <w:r w:rsidRPr="00E00B0C">
        <w:rPr>
          <w:rFonts w:hint="cs"/>
          <w:rtl/>
          <w:lang w:bidi="ar-JO"/>
        </w:rPr>
        <w:t xml:space="preserve">من أجل السلامة </w:t>
      </w:r>
      <w:r w:rsidRPr="00E00B0C">
        <w:rPr>
          <w:rFonts w:hint="cs"/>
          <w:rtl/>
          <w:lang w:bidi="ar-EG"/>
        </w:rPr>
        <w:t>في البحر</w:t>
      </w:r>
      <w:r w:rsidRPr="00E00B0C">
        <w:rPr>
          <w:rFonts w:hint="cs"/>
          <w:rtl/>
          <w:lang w:bidi="ar-JO"/>
        </w:rPr>
        <w:t xml:space="preserve">، والتي يُتنبأ بأن يتزايد عددها في المستقبل. كما يُعترف بأن معظم الأجهزة الجديدة التي تُستعمل فيها تكنولوجيا التعرف الأوتوماتي تعمل على القناتين </w:t>
      </w:r>
      <w:r w:rsidRPr="00E00B0C">
        <w:t>AIS</w:t>
      </w:r>
      <w:r w:rsidR="000F12F3">
        <w:t> </w:t>
      </w:r>
      <w:r w:rsidRPr="00E00B0C">
        <w:t>1</w:t>
      </w:r>
      <w:r w:rsidRPr="00E00B0C">
        <w:rPr>
          <w:rFonts w:hint="cs"/>
          <w:rtl/>
          <w:lang w:bidi="ar-JO"/>
        </w:rPr>
        <w:t xml:space="preserve"> و</w:t>
      </w:r>
      <w:r w:rsidRPr="00E00B0C">
        <w:t>AIS</w:t>
      </w:r>
      <w:r w:rsidR="000F12F3">
        <w:t> </w:t>
      </w:r>
      <w:r w:rsidRPr="00E00B0C">
        <w:t>2</w:t>
      </w:r>
      <w:r w:rsidRPr="00E00B0C">
        <w:rPr>
          <w:rFonts w:hint="cs"/>
          <w:rtl/>
          <w:lang w:bidi="ar-JO"/>
        </w:rPr>
        <w:t xml:space="preserve">، فتذهب إلى حدٍ ما بموارد هويات الخدمة المتنقلة البحرية </w:t>
      </w:r>
      <w:r w:rsidRPr="00E00B0C">
        <w:t>(MMSI)</w:t>
      </w:r>
      <w:r w:rsidR="000F12F3">
        <w:rPr>
          <w:rFonts w:hint="cs"/>
          <w:rtl/>
          <w:lang w:bidi="ar-JO"/>
        </w:rPr>
        <w:t xml:space="preserve"> الخاصة بمحطات السفن أو </w:t>
      </w:r>
      <w:proofErr w:type="spellStart"/>
      <w:r w:rsidR="000F12F3">
        <w:rPr>
          <w:rFonts w:hint="cs"/>
          <w:rtl/>
          <w:lang w:bidi="ar-JO"/>
        </w:rPr>
        <w:t>بال‍</w:t>
      </w:r>
      <w:r w:rsidRPr="00E00B0C">
        <w:rPr>
          <w:rFonts w:hint="cs"/>
          <w:rtl/>
          <w:lang w:bidi="ar-JO"/>
        </w:rPr>
        <w:t>مُعِيْنات</w:t>
      </w:r>
      <w:proofErr w:type="spellEnd"/>
      <w:r w:rsidRPr="00E00B0C">
        <w:rPr>
          <w:rFonts w:hint="cs"/>
          <w:rtl/>
          <w:lang w:bidi="ar-JO"/>
        </w:rPr>
        <w:t xml:space="preserve"> على الملاحة.</w:t>
      </w:r>
    </w:p>
    <w:p w:rsidR="00E00B0C" w:rsidRPr="00E00B0C" w:rsidRDefault="00E00B0C" w:rsidP="0095025E">
      <w:pPr>
        <w:pStyle w:val="enumlev2"/>
        <w:ind w:left="1134" w:firstLine="0"/>
        <w:rPr>
          <w:rtl/>
          <w:lang w:bidi="ar-JO"/>
        </w:rPr>
      </w:pPr>
      <w:r w:rsidRPr="00E00B0C">
        <w:rPr>
          <w:rFonts w:hint="cs"/>
          <w:rtl/>
          <w:lang w:bidi="ar-JO"/>
        </w:rPr>
        <w:t>ويتمثل الغرض من نظام التعرف الأوتوماتي في تبيُّن هوية السفن، والمساعدة في تتبُّع الهدف، والعون في عمليات البحث والإنقاذ، وتبسيط تبادل المعلومات، وتوفير معلومات إضافية للمساعدة على الوعي بالأوضاع.</w:t>
      </w:r>
    </w:p>
    <w:p w:rsidR="00E00B0C" w:rsidRPr="00E00B0C" w:rsidRDefault="00E00B0C" w:rsidP="0095025E">
      <w:pPr>
        <w:pStyle w:val="enumlev2"/>
        <w:ind w:left="1134" w:firstLine="0"/>
        <w:rPr>
          <w:rtl/>
          <w:lang w:bidi="ar-JO"/>
        </w:rPr>
      </w:pPr>
      <w:r w:rsidRPr="00E00B0C">
        <w:rPr>
          <w:rFonts w:hint="cs"/>
          <w:rtl/>
          <w:lang w:bidi="ar-JO"/>
        </w:rPr>
        <w:t>كما تقرّ المنظمة البحرية الدولية بأن الأجهزة الراديوية البحرية العاملة بدون ترخيص وطني أو توصيل نظامي بالسفن أو بالمحطات الساحلية تعمل أيضاً، إلى جانب عملها بتكنولوجيا التعرف الأوتوماتي، بتكنولوجيا المناد</w:t>
      </w:r>
      <w:r w:rsidR="000F12F3">
        <w:rPr>
          <w:rFonts w:hint="cs"/>
          <w:rtl/>
          <w:lang w:bidi="ar-JO"/>
        </w:rPr>
        <w:t>ا</w:t>
      </w:r>
      <w:r w:rsidRPr="00E00B0C">
        <w:rPr>
          <w:rFonts w:hint="cs"/>
          <w:rtl/>
          <w:lang w:bidi="ar-JO"/>
        </w:rPr>
        <w:t xml:space="preserve">ة الرقمية الانتقائية </w:t>
      </w:r>
      <w:r w:rsidRPr="00E00B0C">
        <w:t>(DSC)</w:t>
      </w:r>
      <w:r w:rsidRPr="00E00B0C">
        <w:rPr>
          <w:rFonts w:hint="cs"/>
          <w:rtl/>
          <w:lang w:bidi="ar-JO"/>
        </w:rPr>
        <w:t xml:space="preserve"> أو ببث رسائل بصوت تخليقي أو بتشكيلة من هذه التكنولوجيات. إن ما يجري في هذه الأجهزة الراديوية البحرية من استعمال غير منظَّم للترددات والأرقام المذكورة في التذييل </w:t>
      </w:r>
      <w:r w:rsidRPr="00E00B0C">
        <w:t>18</w:t>
      </w:r>
      <w:r w:rsidRPr="00E00B0C">
        <w:rPr>
          <w:rFonts w:hint="cs"/>
          <w:rtl/>
          <w:lang w:bidi="ar-JO"/>
        </w:rPr>
        <w:t xml:space="preserve"> للوائح الراديو (التوصية</w:t>
      </w:r>
      <w:r w:rsidR="0095025E">
        <w:rPr>
          <w:rFonts w:hint="eastAsia"/>
          <w:rtl/>
          <w:lang w:bidi="ar-JO"/>
        </w:rPr>
        <w:t> </w:t>
      </w:r>
      <w:r w:rsidRPr="00E00B0C">
        <w:rPr>
          <w:lang w:val="en-GB"/>
        </w:rPr>
        <w:t>ITU</w:t>
      </w:r>
      <w:r w:rsidR="0095025E">
        <w:rPr>
          <w:lang w:val="en-GB"/>
        </w:rPr>
        <w:noBreakHyphen/>
        <w:t>R </w:t>
      </w:r>
      <w:r w:rsidRPr="00E00B0C">
        <w:rPr>
          <w:lang w:val="en-GB"/>
        </w:rPr>
        <w:t>M.585</w:t>
      </w:r>
      <w:r w:rsidRPr="00E00B0C">
        <w:rPr>
          <w:rFonts w:hint="cs"/>
          <w:rtl/>
          <w:lang w:bidi="ar-JO"/>
        </w:rPr>
        <w:t>) آتى التباساً وسبَّب بالفعل تداخلاً ضمن الخدمة المتنقلة البحرية.</w:t>
      </w:r>
    </w:p>
    <w:p w:rsidR="00E00B0C" w:rsidRPr="0095025E" w:rsidRDefault="0095025E" w:rsidP="0095025E">
      <w:pPr>
        <w:pStyle w:val="Headingb"/>
        <w:rPr>
          <w:rtl/>
        </w:rPr>
      </w:pPr>
      <w:r>
        <w:rPr>
          <w:rtl/>
        </w:rPr>
        <w:lastRenderedPageBreak/>
        <w:tab/>
      </w:r>
      <w:r w:rsidR="00E00B0C" w:rsidRPr="0095025E">
        <w:rPr>
          <w:rtl/>
        </w:rPr>
        <w:t>موقف المنظمة البحرية الدولية</w:t>
      </w:r>
    </w:p>
    <w:p w:rsidR="00E00B0C" w:rsidRPr="00E00B0C" w:rsidRDefault="00E00B0C" w:rsidP="0095025E">
      <w:pPr>
        <w:keepNext/>
        <w:ind w:left="1134"/>
        <w:rPr>
          <w:rtl/>
          <w:lang w:bidi="ar-JO"/>
        </w:rPr>
      </w:pPr>
      <w:r w:rsidRPr="00E00B0C">
        <w:rPr>
          <w:rFonts w:hint="cs"/>
          <w:rtl/>
          <w:lang w:bidi="ar-JO"/>
        </w:rPr>
        <w:t>تدعم المنظمة البحرية الدولية النظر في بنود جدول الأعمال المتعلقة بما يلي:</w:t>
      </w:r>
    </w:p>
    <w:p w:rsidR="00E00B0C" w:rsidRPr="0095025E" w:rsidRDefault="00E00B0C" w:rsidP="0095025E">
      <w:pPr>
        <w:pStyle w:val="enumlev2"/>
        <w:rPr>
          <w:rtl/>
        </w:rPr>
      </w:pPr>
      <w:r w:rsidRPr="00E00B0C">
        <w:rPr>
          <w:lang w:bidi="ar-JO"/>
        </w:rPr>
        <w:t>1</w:t>
      </w:r>
      <w:r w:rsidRPr="0095025E">
        <w:rPr>
          <w:rFonts w:hint="cs"/>
          <w:rtl/>
        </w:rPr>
        <w:t>)</w:t>
      </w:r>
      <w:r w:rsidRPr="0095025E">
        <w:rPr>
          <w:rFonts w:hint="cs"/>
          <w:rtl/>
        </w:rPr>
        <w:tab/>
        <w:t xml:space="preserve">مراجعة </w:t>
      </w:r>
      <w:r w:rsidRPr="0095025E">
        <w:rPr>
          <w:rtl/>
        </w:rPr>
        <w:t>النظام العالمي للاستغاثة والسلامة في البحر</w:t>
      </w:r>
      <w:r w:rsidRPr="0095025E">
        <w:rPr>
          <w:rFonts w:hint="cs"/>
          <w:rtl/>
        </w:rPr>
        <w:t xml:space="preserve"> </w:t>
      </w:r>
      <w:r w:rsidRPr="0095025E">
        <w:t>(GMDSS)</w:t>
      </w:r>
      <w:r w:rsidRPr="0095025E">
        <w:rPr>
          <w:rFonts w:hint="cs"/>
          <w:rtl/>
        </w:rPr>
        <w:t xml:space="preserve"> وإعمال الملاحة الإلكترونية، مع مراعاة سلالم التوقيت المذكورة في قسم المعلومات الأساسية؛</w:t>
      </w:r>
    </w:p>
    <w:p w:rsidR="00E00B0C" w:rsidRPr="0095025E" w:rsidRDefault="00E00B0C" w:rsidP="0095025E">
      <w:pPr>
        <w:pStyle w:val="enumlev2"/>
        <w:rPr>
          <w:rtl/>
        </w:rPr>
      </w:pPr>
      <w:r w:rsidRPr="0095025E">
        <w:t>2</w:t>
      </w:r>
      <w:r w:rsidRPr="0095025E">
        <w:rPr>
          <w:rFonts w:hint="cs"/>
          <w:rtl/>
        </w:rPr>
        <w:t>)</w:t>
      </w:r>
      <w:r w:rsidRPr="0095025E">
        <w:rPr>
          <w:rFonts w:hint="cs"/>
          <w:rtl/>
        </w:rPr>
        <w:tab/>
        <w:t xml:space="preserve">التبعات التنظيمية التي تترتب على اعتراف المنظمة البحرية الدولية بجهة جديدة من الجهات التي توفِّر الخدمات المتنقلة الساتلية ضمن إطار </w:t>
      </w:r>
      <w:r w:rsidRPr="0095025E">
        <w:rPr>
          <w:rtl/>
        </w:rPr>
        <w:t>النظام العالمي للاستغاثة والسلامة في البحر</w:t>
      </w:r>
      <w:r w:rsidRPr="0095025E">
        <w:rPr>
          <w:rFonts w:hint="cs"/>
          <w:rtl/>
        </w:rPr>
        <w:t>؛</w:t>
      </w:r>
    </w:p>
    <w:p w:rsidR="00E00B0C" w:rsidRPr="0095025E" w:rsidRDefault="00E00B0C" w:rsidP="0095025E">
      <w:pPr>
        <w:pStyle w:val="enumlev2"/>
        <w:rPr>
          <w:rtl/>
        </w:rPr>
      </w:pPr>
      <w:r w:rsidRPr="0095025E">
        <w:t>3</w:t>
      </w:r>
      <w:r w:rsidRPr="0095025E">
        <w:rPr>
          <w:rFonts w:hint="cs"/>
          <w:rtl/>
        </w:rPr>
        <w:t>)</w:t>
      </w:r>
      <w:r w:rsidRPr="0095025E">
        <w:rPr>
          <w:rFonts w:hint="cs"/>
          <w:rtl/>
        </w:rPr>
        <w:tab/>
        <w:t xml:space="preserve">حماية الغرض التشغيلي المنشود من نظام التعرف الأوتوماتي بمثابة وظيفة أولية على القناتين القائمتين </w:t>
      </w:r>
      <w:r w:rsidRPr="0095025E">
        <w:t>AIS</w:t>
      </w:r>
      <w:r w:rsidR="000F12F3">
        <w:t> </w:t>
      </w:r>
      <w:r w:rsidRPr="0095025E">
        <w:t>1</w:t>
      </w:r>
      <w:r w:rsidRPr="0095025E">
        <w:rPr>
          <w:rFonts w:hint="cs"/>
          <w:rtl/>
        </w:rPr>
        <w:t xml:space="preserve"> و</w:t>
      </w:r>
      <w:r w:rsidRPr="0095025E">
        <w:t>AIS</w:t>
      </w:r>
      <w:r w:rsidR="000F12F3">
        <w:t> </w:t>
      </w:r>
      <w:r w:rsidRPr="0095025E">
        <w:t>2</w:t>
      </w:r>
      <w:r w:rsidRPr="0095025E">
        <w:rPr>
          <w:rFonts w:hint="cs"/>
          <w:rtl/>
        </w:rPr>
        <w:t xml:space="preserve"> والأحكام التنظيمية السارية على الاستعانة بالأجهزة الجديدة التي تُستعمل فيها تكنولوجيا ال</w:t>
      </w:r>
      <w:r w:rsidR="0095025E">
        <w:rPr>
          <w:rFonts w:hint="cs"/>
          <w:rtl/>
        </w:rPr>
        <w:t>تعرف</w:t>
      </w:r>
      <w:r w:rsidR="0095025E">
        <w:rPr>
          <w:rFonts w:hint="eastAsia"/>
          <w:rtl/>
        </w:rPr>
        <w:t> </w:t>
      </w:r>
      <w:r w:rsidRPr="0095025E">
        <w:rPr>
          <w:rFonts w:hint="cs"/>
          <w:rtl/>
        </w:rPr>
        <w:t>الأوتوماتي؛</w:t>
      </w:r>
    </w:p>
    <w:p w:rsidR="002919E1" w:rsidRDefault="00E00B0C" w:rsidP="0095025E">
      <w:pPr>
        <w:pStyle w:val="enumlev2"/>
        <w:rPr>
          <w:rtl/>
        </w:rPr>
      </w:pPr>
      <w:r w:rsidRPr="0095025E">
        <w:t>4</w:t>
      </w:r>
      <w:r w:rsidRPr="0095025E">
        <w:rPr>
          <w:rFonts w:hint="cs"/>
          <w:rtl/>
        </w:rPr>
        <w:t>)</w:t>
      </w:r>
      <w:r w:rsidRPr="0095025E">
        <w:rPr>
          <w:rFonts w:hint="cs"/>
          <w:rtl/>
        </w:rPr>
        <w:tab/>
        <w:t>ما لعدمِ تنظيمِ استعمال أنساق الترددات والأرقام الذي يجري في الأجهزة الراديوية البحرية العاملة دون ترخيص وطني أو</w:t>
      </w:r>
      <w:r w:rsidRPr="0095025E">
        <w:rPr>
          <w:rFonts w:hint="eastAsia"/>
          <w:rtl/>
        </w:rPr>
        <w:t> </w:t>
      </w:r>
      <w:r w:rsidRPr="0095025E">
        <w:rPr>
          <w:rFonts w:hint="cs"/>
          <w:rtl/>
        </w:rPr>
        <w:t>توصيل نظامي بالسفن أو بالمحطات الساحلية من أثر، يُنظر فيه سهراً على سلامة الملاحة وعلى عدم الإضرار ب</w:t>
      </w:r>
      <w:r w:rsidRPr="0095025E">
        <w:rPr>
          <w:rtl/>
        </w:rPr>
        <w:t>النظام العالمي للاستغاثة والسلامة في البحر</w:t>
      </w:r>
      <w:r w:rsidRPr="0095025E">
        <w:rPr>
          <w:rFonts w:hint="cs"/>
          <w:rtl/>
        </w:rPr>
        <w:t>.</w:t>
      </w:r>
    </w:p>
    <w:p w:rsidR="0095025E" w:rsidRPr="0095025E" w:rsidRDefault="0095025E" w:rsidP="0095025E">
      <w:pPr>
        <w:spacing w:before="600"/>
        <w:jc w:val="center"/>
        <w:rPr>
          <w:rtl/>
        </w:rPr>
      </w:pPr>
      <w:r>
        <w:rPr>
          <w:rFonts w:hint="cs"/>
          <w:rtl/>
        </w:rPr>
        <w:t>__________</w:t>
      </w:r>
    </w:p>
    <w:sectPr w:rsidR="0095025E" w:rsidRPr="0095025E"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5025E">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95025E">
      <w:rPr>
        <w:noProof/>
        <w:lang w:val="es-ES"/>
      </w:rPr>
      <w:t>P:\ARA\ITU-R\CONF-R\CMR15\000\013ADD01A.docx</w:t>
    </w:r>
    <w:r w:rsidRPr="00CB4300">
      <w:fldChar w:fldCharType="end"/>
    </w:r>
    <w:r w:rsidR="0095025E">
      <w:t xml:space="preserve"> </w:t>
    </w:r>
    <w:r w:rsidRPr="00CB4300">
      <w:rPr>
        <w:lang w:val="es-ES"/>
      </w:rPr>
      <w:t xml:space="preserve">  (</w:t>
    </w:r>
    <w:r w:rsidR="0095025E">
      <w:t>388190</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8B0BE8">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5025E">
    <w:pPr>
      <w:pStyle w:val="Footer"/>
      <w:rPr>
        <w:lang w:val="es-ES"/>
      </w:rPr>
    </w:pPr>
    <w:r>
      <w:fldChar w:fldCharType="begin"/>
    </w:r>
    <w:r w:rsidRPr="00CB4300">
      <w:rPr>
        <w:lang w:val="es-ES"/>
      </w:rPr>
      <w:instrText xml:space="preserve"> FILENAME \p \* MERGEFORMAT </w:instrText>
    </w:r>
    <w:r>
      <w:fldChar w:fldCharType="separate"/>
    </w:r>
    <w:r w:rsidR="0095025E">
      <w:rPr>
        <w:noProof/>
        <w:lang w:val="es-ES"/>
      </w:rPr>
      <w:t>P:\ARA\ITU-R\CONF-R\CMR15\000\013ADD01A.docx</w:t>
    </w:r>
    <w:r>
      <w:fldChar w:fldCharType="end"/>
    </w:r>
    <w:r w:rsidRPr="00CB4300">
      <w:rPr>
        <w:lang w:val="es-ES"/>
      </w:rPr>
      <w:t xml:space="preserve">   (</w:t>
    </w:r>
    <w:r w:rsidR="0095025E">
      <w:t>388190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8B0BE8">
      <w:rPr>
        <w:noProof/>
      </w:rPr>
      <w:t>25.10.15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B0BE8">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12F3"/>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0BE8"/>
    <w:rsid w:val="008B4E93"/>
    <w:rsid w:val="008D4F14"/>
    <w:rsid w:val="008D6ACC"/>
    <w:rsid w:val="008D7AF0"/>
    <w:rsid w:val="008E32DD"/>
    <w:rsid w:val="008F4626"/>
    <w:rsid w:val="009004DF"/>
    <w:rsid w:val="00904AA5"/>
    <w:rsid w:val="00905D21"/>
    <w:rsid w:val="0095025E"/>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0B0C"/>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DD7E15E-C608-40DF-A03B-9E9A054E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R15-WRC15-C-0013!A1!MSW-A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41AA0-BE46-4AFA-9CD6-BC0C7F70970F}">
  <ds:schemaRefs>
    <ds:schemaRef ds:uri="http://purl.org/dc/dcmitype/"/>
    <ds:schemaRef ds:uri="http://schemas.microsoft.com/office/2006/documentManagement/types"/>
    <ds:schemaRef ds:uri="http://schemas.microsoft.com/office/2006/metadata/properties"/>
    <ds:schemaRef ds:uri="http://purl.org/dc/terms/"/>
    <ds:schemaRef ds:uri="996b2e75-67fd-4955-a3b0-5ab9934cb50b"/>
    <ds:schemaRef ds:uri="http://purl.org/dc/elements/1.1/"/>
    <ds:schemaRef ds:uri="32a1a8c5-2265-4ebc-b7a0-2071e2c5c9b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A05375E-F69F-4980-8F02-DB034D86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693</Words>
  <Characters>3863</Characters>
  <Application>Microsoft Office Word</Application>
  <DocSecurity>0</DocSecurity>
  <Lines>87</Lines>
  <Paragraphs>51</Paragraphs>
  <ScaleCrop>false</ScaleCrop>
  <HeadingPairs>
    <vt:vector size="2" baseType="variant">
      <vt:variant>
        <vt:lpstr>Title</vt:lpstr>
      </vt:variant>
      <vt:variant>
        <vt:i4>1</vt:i4>
      </vt:variant>
    </vt:vector>
  </HeadingPairs>
  <TitlesOfParts>
    <vt:vector size="1" baseType="lpstr">
      <vt:lpstr>R15-WRC15-C-0013!A1!MSW-A</vt:lpstr>
    </vt:vector>
  </TitlesOfParts>
  <Manager>General Secretariat - Pool</Manager>
  <Company>International Telecommunication Union (ITU)</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R15-WRC15-C-0013!A1!MSW-A</dc:title>
  <dc:creator>Documents Proposals Manager (DPM)</dc:creator>
  <cp:keywords>DPM_v5.2015.10.230_prod</cp:keywords>
  <cp:lastModifiedBy>Awad, Samy</cp:lastModifiedBy>
  <cp:revision>5</cp:revision>
  <cp:lastPrinted>2011-11-07T13:53:00Z</cp:lastPrinted>
  <dcterms:created xsi:type="dcterms:W3CDTF">2015-10-25T20:37:00Z</dcterms:created>
  <dcterms:modified xsi:type="dcterms:W3CDTF">2015-10-25T21:15:00Z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