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A190C" w:rsidRDefault="003E1608" w:rsidP="00EA328B">
            <w:pPr>
              <w:pStyle w:val="Adress"/>
              <w:framePr w:hSpace="0" w:wrap="auto" w:xAlign="left" w:yAlign="inline"/>
              <w:rPr>
                <w:rtl/>
              </w:rPr>
            </w:pPr>
            <w:r w:rsidRPr="003A190C">
              <w:rPr>
                <w:rtl/>
              </w:rPr>
              <w:t xml:space="preserve">الإضافة </w:t>
            </w:r>
            <w:r w:rsidRPr="003A190C">
              <w:t>3</w:t>
            </w:r>
            <w:r w:rsidRPr="003A190C">
              <w:br/>
            </w:r>
            <w:r w:rsidRPr="003A190C">
              <w:rPr>
                <w:rtl/>
              </w:rPr>
              <w:t xml:space="preserve">للوثيقة </w:t>
            </w:r>
            <w:r w:rsidRPr="003A190C">
              <w:t>9(Add.22)-</w:t>
            </w:r>
            <w:r w:rsidR="003A190C" w:rsidRPr="003A190C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A190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A190C">
              <w:rPr>
                <w:rFonts w:eastAsia="SimSun"/>
              </w:rPr>
              <w:t>15</w:t>
            </w:r>
            <w:r w:rsidRPr="003A190C">
              <w:rPr>
                <w:rFonts w:eastAsia="SimSun"/>
                <w:rtl/>
              </w:rPr>
              <w:t xml:space="preserve"> أكتوبر </w:t>
            </w:r>
            <w:r w:rsidRPr="003A190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A190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A190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أوروبية مشتركة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408A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408AB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9408AB">
              <w:rPr>
                <w:rFonts w:hint="cs"/>
                <w:rtl/>
              </w:rPr>
              <w:t xml:space="preserve"> </w:t>
            </w:r>
            <w:r w:rsidR="009408AB" w:rsidRPr="00431196">
              <w:rPr>
                <w:rFonts w:eastAsia="SimSun"/>
                <w:lang w:bidi="ar-SY"/>
              </w:rPr>
              <w:t>(</w:t>
            </w:r>
            <w:r w:rsidR="009408AB" w:rsidRPr="00431196">
              <w:rPr>
                <w:rFonts w:eastAsia="SimSun"/>
              </w:rPr>
              <w:t>3.1.9</w:t>
            </w:r>
            <w:r w:rsidR="009408AB" w:rsidRPr="00431196">
              <w:rPr>
                <w:rFonts w:eastAsia="SimSun"/>
                <w:lang w:bidi="ar-SY"/>
              </w:rPr>
              <w:t>)1.9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3241D7" w:rsidP="0082761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3241D7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3241D7" w:rsidP="00005490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3.1.9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11 (WRC-12)</w:t>
      </w:r>
      <w:r w:rsidRPr="00431196">
        <w:rPr>
          <w:rFonts w:eastAsia="SimSun" w:hint="cs"/>
          <w:rtl/>
        </w:rPr>
        <w:t xml:space="preserve"> - استعمال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المواقع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المدارية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الساتلية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وطيف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الترددات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المرتبط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بها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لتوفير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خدمات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الاتصالات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العمومية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الدولية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البلدان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النامية</w:t>
      </w:r>
    </w:p>
    <w:p w:rsidR="00F16602" w:rsidRDefault="00311F49" w:rsidP="00311F4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11F49" w:rsidRPr="009F080E" w:rsidRDefault="00311F49" w:rsidP="00311F49">
      <w:pPr>
        <w:rPr>
          <w:rtl/>
          <w:lang w:bidi="ar-EG"/>
        </w:rPr>
      </w:pPr>
      <w:r w:rsidRPr="009F080E">
        <w:rPr>
          <w:rFonts w:hint="cs"/>
          <w:rtl/>
          <w:lang w:bidi="ar-SY"/>
        </w:rPr>
        <w:t xml:space="preserve">لدراسة أهمية الاتصالات الساتلية في توفير خدمات الاتصالات العمومية الدولية في البلدان النامية، اعتمد المؤتمر العالمي للاتصالات الراديوية لعام </w:t>
      </w:r>
      <w:r w:rsidRPr="009F080E">
        <w:rPr>
          <w:lang w:bidi="ar-SY"/>
        </w:rPr>
        <w:t>2012</w:t>
      </w:r>
      <w:r w:rsidRPr="009F080E">
        <w:rPr>
          <w:rFonts w:hint="cs"/>
          <w:rtl/>
          <w:lang w:bidi="ar-SY"/>
        </w:rPr>
        <w:t xml:space="preserve"> </w:t>
      </w:r>
      <w:r w:rsidRPr="009F080E">
        <w:rPr>
          <w:rFonts w:hint="cs"/>
          <w:rtl/>
        </w:rPr>
        <w:t xml:space="preserve">القرار </w:t>
      </w:r>
      <w:r w:rsidRPr="009F080E">
        <w:rPr>
          <w:rStyle w:val="href"/>
        </w:rPr>
        <w:t>11</w:t>
      </w:r>
      <w:r w:rsidRPr="009F080E">
        <w:rPr>
          <w:lang w:eastAsia="x-none"/>
        </w:rPr>
        <w:t> (WRC-12)</w:t>
      </w:r>
      <w:r w:rsidRPr="009F080E">
        <w:rPr>
          <w:rFonts w:hint="cs"/>
          <w:rtl/>
          <w:lang w:bidi="ar-SY"/>
        </w:rPr>
        <w:t>.</w:t>
      </w:r>
    </w:p>
    <w:p w:rsidR="00311F49" w:rsidRPr="009F080E" w:rsidRDefault="00311F49" w:rsidP="009F080E">
      <w:pPr>
        <w:rPr>
          <w:rtl/>
          <w:lang w:bidi="ar-SY"/>
        </w:rPr>
      </w:pPr>
      <w:r w:rsidRPr="009F080E">
        <w:rPr>
          <w:rFonts w:hint="cs"/>
          <w:rtl/>
          <w:lang w:bidi="ar-SY"/>
        </w:rPr>
        <w:t>وأجرى قطاع الاتصالات الراديوية العديد من التحليلات لتوفير النفاذ المضمون إلى المدار المستقر بالنسبة إلى الأرض</w:t>
      </w:r>
      <w:r w:rsidRPr="009F080E">
        <w:rPr>
          <w:rFonts w:hint="eastAsia"/>
          <w:rtl/>
          <w:lang w:bidi="ar-SY"/>
        </w:rPr>
        <w:t> </w:t>
      </w:r>
      <w:r w:rsidRPr="009F080E">
        <w:rPr>
          <w:lang w:bidi="ar-SY"/>
        </w:rPr>
        <w:t>(GSO)</w:t>
      </w:r>
      <w:r w:rsidRPr="009F080E">
        <w:rPr>
          <w:rFonts w:hint="cs"/>
          <w:rtl/>
          <w:lang w:bidi="ar-SY"/>
        </w:rPr>
        <w:t xml:space="preserve"> واعتمد تقارير وتوصيات للنهوض بكفاءة استعمال هذا المدار.</w:t>
      </w:r>
    </w:p>
    <w:p w:rsidR="009F080E" w:rsidRDefault="00311F49" w:rsidP="00311F49">
      <w:pPr>
        <w:rPr>
          <w:rtl/>
        </w:rPr>
      </w:pPr>
      <w:r w:rsidRPr="009F080E">
        <w:rPr>
          <w:rFonts w:hint="cs"/>
          <w:rtl/>
          <w:lang w:bidi="ar-SY"/>
        </w:rPr>
        <w:t xml:space="preserve">ويسلم المؤتمر </w:t>
      </w:r>
      <w:r w:rsidRPr="009F080E">
        <w:rPr>
          <w:lang w:bidi="ar-SY"/>
        </w:rPr>
        <w:t>WRC</w:t>
      </w:r>
      <w:r w:rsidRPr="009F080E">
        <w:rPr>
          <w:lang w:bidi="ar-SY"/>
        </w:rPr>
        <w:noBreakHyphen/>
        <w:t>12</w:t>
      </w:r>
      <w:r w:rsidRPr="009F080E">
        <w:rPr>
          <w:rFonts w:hint="cs"/>
          <w:rtl/>
          <w:lang w:bidi="ar-SY"/>
        </w:rPr>
        <w:t xml:space="preserve"> في </w:t>
      </w:r>
      <w:r w:rsidRPr="009F080E">
        <w:rPr>
          <w:rFonts w:hint="cs"/>
          <w:rtl/>
        </w:rPr>
        <w:t xml:space="preserve">القرار </w:t>
      </w:r>
      <w:r w:rsidRPr="009F080E">
        <w:rPr>
          <w:rStyle w:val="href"/>
        </w:rPr>
        <w:t>11</w:t>
      </w:r>
      <w:r w:rsidRPr="009F080E">
        <w:rPr>
          <w:lang w:eastAsia="x-none"/>
        </w:rPr>
        <w:t> (WRC-12)</w:t>
      </w:r>
      <w:r w:rsidRPr="009F080E">
        <w:rPr>
          <w:rFonts w:hint="cs"/>
          <w:rtl/>
        </w:rPr>
        <w:t xml:space="preserve"> بالدور الهام والاستراتيجي للاتصالات الساتلية في كل من البلدان المتقدمة والنامية على السواء كما يبرز في قرارات ومقررات العديد من مؤتمرات الأمم المتحدة والاتحاد</w:t>
      </w:r>
      <w:r w:rsidR="009F080E">
        <w:rPr>
          <w:rFonts w:hint="cs"/>
          <w:rtl/>
        </w:rPr>
        <w:t>.</w:t>
      </w:r>
    </w:p>
    <w:p w:rsidR="009F080E" w:rsidRDefault="009F080E" w:rsidP="00827614">
      <w:pPr>
        <w:rPr>
          <w:rtl/>
          <w:lang w:eastAsia="x-none" w:bidi="ar"/>
        </w:rPr>
      </w:pPr>
      <w:r>
        <w:rPr>
          <w:rFonts w:hint="cs"/>
          <w:rtl/>
        </w:rPr>
        <w:t xml:space="preserve">وتلاحظ أوروبا الكمية الكبيرة من المعلومات التي تم جمعها </w:t>
      </w:r>
      <w:r w:rsidRPr="009F080E">
        <w:rPr>
          <w:rFonts w:hint="cs"/>
          <w:rtl/>
          <w:lang w:eastAsia="x-none"/>
        </w:rPr>
        <w:t>خلال دورة الدراسة الممتدة بين المؤتمرين العالميين للاتصالات الراديوية لعامي</w:t>
      </w:r>
      <w:r w:rsidRPr="009F080E">
        <w:rPr>
          <w:rFonts w:hint="eastAsia"/>
          <w:rtl/>
          <w:lang w:eastAsia="x-none"/>
        </w:rPr>
        <w:t> </w:t>
      </w:r>
      <w:r w:rsidRPr="009F080E">
        <w:rPr>
          <w:lang w:eastAsia="x-none"/>
        </w:rPr>
        <w:t>2012</w:t>
      </w:r>
      <w:r w:rsidRPr="009F080E">
        <w:rPr>
          <w:rFonts w:hint="cs"/>
          <w:rtl/>
          <w:lang w:eastAsia="x-none"/>
        </w:rPr>
        <w:t xml:space="preserve"> و</w:t>
      </w:r>
      <w:r w:rsidRPr="009F080E">
        <w:rPr>
          <w:lang w:eastAsia="x-none"/>
        </w:rPr>
        <w:t>2015</w:t>
      </w:r>
      <w:r w:rsidRPr="009F080E">
        <w:rPr>
          <w:rFonts w:hint="cs"/>
          <w:rtl/>
          <w:lang w:eastAsia="x-none"/>
        </w:rPr>
        <w:t xml:space="preserve"> </w:t>
      </w:r>
      <w:r>
        <w:rPr>
          <w:rFonts w:hint="cs"/>
          <w:rtl/>
          <w:lang w:bidi="ar-EG"/>
        </w:rPr>
        <w:t xml:space="preserve">بشأن إنجازات قطاع الاتصالات الراديوية وقطاع تنمية الاتصالات وممارساتهما وأنشطتهما الحالية التي تتعلق بالقرار </w:t>
      </w:r>
      <w:r>
        <w:rPr>
          <w:lang w:bidi="ar-EG"/>
        </w:rPr>
        <w:t>11 (WRC</w:t>
      </w:r>
      <w:r>
        <w:rPr>
          <w:lang w:bidi="ar-EG"/>
        </w:rPr>
        <w:noBreakHyphen/>
        <w:t>12)</w:t>
      </w:r>
      <w:r>
        <w:rPr>
          <w:rFonts w:hint="cs"/>
          <w:rtl/>
          <w:lang w:bidi="ar-EG"/>
        </w:rPr>
        <w:t xml:space="preserve">. </w:t>
      </w:r>
      <w:r w:rsidR="00A279E8" w:rsidRPr="009F080E">
        <w:rPr>
          <w:rFonts w:hint="cs"/>
          <w:rtl/>
          <w:lang w:eastAsia="x-none"/>
        </w:rPr>
        <w:t xml:space="preserve">ونظراً لعدم </w:t>
      </w:r>
      <w:r w:rsidR="00A279E8" w:rsidRPr="009F080E">
        <w:rPr>
          <w:rFonts w:hint="cs"/>
          <w:rtl/>
          <w:lang w:eastAsia="x-none" w:bidi="ar"/>
        </w:rPr>
        <w:t xml:space="preserve">تقديم أي دراسات إلى قطاع الاتصالات الراديوية لمعالجة فقرة </w:t>
      </w:r>
      <w:r w:rsidR="00A279E8" w:rsidRPr="009F080E">
        <w:rPr>
          <w:rFonts w:hint="cs"/>
          <w:i/>
          <w:iCs/>
          <w:rtl/>
          <w:lang w:eastAsia="x-none" w:bidi="ar"/>
        </w:rPr>
        <w:t>يقرر</w:t>
      </w:r>
      <w:r w:rsidR="00A279E8" w:rsidRPr="009F080E">
        <w:rPr>
          <w:rFonts w:hint="cs"/>
          <w:rtl/>
          <w:lang w:eastAsia="x-none" w:bidi="ar"/>
        </w:rPr>
        <w:t xml:space="preserve"> </w:t>
      </w:r>
      <w:r w:rsidR="00A279E8" w:rsidRPr="009F080E">
        <w:rPr>
          <w:lang w:eastAsia="x-none"/>
        </w:rPr>
        <w:t>2</w:t>
      </w:r>
      <w:r w:rsidR="00A279E8" w:rsidRPr="009F080E">
        <w:rPr>
          <w:rFonts w:hint="cs"/>
          <w:rtl/>
          <w:lang w:eastAsia="x-none" w:bidi="ar"/>
        </w:rPr>
        <w:t xml:space="preserve"> من القرار</w:t>
      </w:r>
      <w:r w:rsidR="00827614">
        <w:rPr>
          <w:rFonts w:hint="eastAsia"/>
          <w:rtl/>
          <w:lang w:eastAsia="x-none" w:bidi="ar"/>
        </w:rPr>
        <w:t> </w:t>
      </w:r>
      <w:r w:rsidR="00EA3F63">
        <w:rPr>
          <w:lang w:eastAsia="x-none"/>
        </w:rPr>
        <w:t>11 </w:t>
      </w:r>
      <w:r w:rsidR="00A279E8" w:rsidRPr="009F080E">
        <w:rPr>
          <w:lang w:eastAsia="x-none"/>
        </w:rPr>
        <w:t>(WRC</w:t>
      </w:r>
      <w:r w:rsidR="00EA3F63">
        <w:rPr>
          <w:lang w:eastAsia="x-none"/>
        </w:rPr>
        <w:noBreakHyphen/>
      </w:r>
      <w:r w:rsidR="00A279E8" w:rsidRPr="009F080E">
        <w:rPr>
          <w:lang w:eastAsia="x-none"/>
        </w:rPr>
        <w:t>12)</w:t>
      </w:r>
      <w:r w:rsidR="00A279E8" w:rsidRPr="009F080E">
        <w:rPr>
          <w:rFonts w:hint="cs"/>
          <w:rtl/>
          <w:lang w:eastAsia="x-none" w:bidi="ar"/>
        </w:rPr>
        <w:t>، يمكن استنتاج أن الأنشطة والممارسات الحالية لقطاعي الاتصالات الراديوية وتنمية الاتصالات تض</w:t>
      </w:r>
      <w:r w:rsidR="00827614">
        <w:rPr>
          <w:rFonts w:hint="cs"/>
          <w:rtl/>
          <w:lang w:eastAsia="x-none" w:bidi="ar"/>
        </w:rPr>
        <w:t>من تعزيز توفّر الخدمات الساتلية.</w:t>
      </w:r>
    </w:p>
    <w:p w:rsidR="00B06C06" w:rsidRDefault="009F080E" w:rsidP="00196D02">
      <w:pPr>
        <w:rPr>
          <w:rtl/>
          <w:lang w:bidi="ar"/>
        </w:rPr>
      </w:pPr>
      <w:r>
        <w:rPr>
          <w:rFonts w:hint="cs"/>
          <w:rtl/>
          <w:lang w:eastAsia="x-none" w:bidi="ar"/>
        </w:rPr>
        <w:lastRenderedPageBreak/>
        <w:t xml:space="preserve">وبالفعل، تلاحظ أوروبا أن النشر الساتلي الحالي في المدار المستقر بالنسبة إلى الأرض ينبغي </w:t>
      </w:r>
      <w:r w:rsidR="006E5D75" w:rsidRPr="009F080E">
        <w:rPr>
          <w:rFonts w:hint="cs"/>
          <w:rtl/>
          <w:lang w:bidi="ar"/>
        </w:rPr>
        <w:t>أن يلبي الطلب على خدمات الاتصالات الدولية العمومية</w:t>
      </w:r>
      <w:r w:rsidR="00B06C06">
        <w:rPr>
          <w:rFonts w:hint="cs"/>
          <w:rtl/>
          <w:lang w:bidi="ar"/>
        </w:rPr>
        <w:t xml:space="preserve"> وأن أكبر مشكلة </w:t>
      </w:r>
      <w:proofErr w:type="spellStart"/>
      <w:r w:rsidR="00B06C06">
        <w:rPr>
          <w:rFonts w:hint="cs"/>
          <w:rtl/>
          <w:lang w:bidi="ar"/>
        </w:rPr>
        <w:t>يواجهها</w:t>
      </w:r>
      <w:proofErr w:type="spellEnd"/>
      <w:r w:rsidR="00B06C06">
        <w:rPr>
          <w:rFonts w:hint="cs"/>
          <w:rtl/>
          <w:lang w:bidi="ar"/>
        </w:rPr>
        <w:t xml:space="preserve"> مشغلو </w:t>
      </w:r>
      <w:proofErr w:type="spellStart"/>
      <w:r w:rsidR="00B06C06">
        <w:rPr>
          <w:rFonts w:hint="cs"/>
          <w:rtl/>
          <w:lang w:bidi="ar"/>
        </w:rPr>
        <w:t>السواتل</w:t>
      </w:r>
      <w:proofErr w:type="spellEnd"/>
      <w:r w:rsidR="00B06C06">
        <w:rPr>
          <w:rFonts w:hint="cs"/>
          <w:rtl/>
          <w:lang w:bidi="ar"/>
        </w:rPr>
        <w:t xml:space="preserve"> هي </w:t>
      </w:r>
      <w:r w:rsidR="006E5D75" w:rsidRPr="009F080E">
        <w:rPr>
          <w:rFonts w:hint="cs"/>
          <w:rtl/>
          <w:lang w:bidi="ar"/>
        </w:rPr>
        <w:t>الوصول إلى الأسواق في بلدان مختلفة، وليس نقص الموارد المدارية.</w:t>
      </w:r>
    </w:p>
    <w:p w:rsidR="006E5D75" w:rsidRDefault="00B06C06" w:rsidP="00B06C06">
      <w:pPr>
        <w:rPr>
          <w:rtl/>
        </w:rPr>
      </w:pPr>
      <w:r>
        <w:rPr>
          <w:rFonts w:hint="cs"/>
          <w:rtl/>
          <w:lang w:bidi="ar"/>
        </w:rPr>
        <w:t>ونتيجة لذلك ترى أوروبا أنه ينبغي معاملة جميع بطاقات التبليغ عن الشبكات الساتلية بنفس الطريقة</w:t>
      </w:r>
      <w:r>
        <w:rPr>
          <w:rFonts w:hint="cs"/>
          <w:rtl/>
          <w:lang w:bidi="ar-EG"/>
        </w:rPr>
        <w:t xml:space="preserve"> وعلى قدم المساواة، وأن التدابير التنظيمية الحالية كافية لضمان توافر المواقع المدارية الساتلية</w:t>
      </w:r>
      <w:r w:rsidR="006E5D75" w:rsidRPr="006E5D7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والموارد اللازمة</w:t>
      </w:r>
      <w:r w:rsidRPr="00B06C06">
        <w:rPr>
          <w:rFonts w:hint="cs"/>
          <w:rtl/>
        </w:rPr>
        <w:t xml:space="preserve"> </w:t>
      </w:r>
      <w:r w:rsidRPr="00014875">
        <w:rPr>
          <w:rFonts w:hint="cs"/>
          <w:rtl/>
        </w:rPr>
        <w:t>لتوفير خدمات الاتصالات العمومية الدولية في البلدان النامية</w:t>
      </w:r>
      <w:r>
        <w:rPr>
          <w:rFonts w:hint="cs"/>
          <w:rtl/>
        </w:rPr>
        <w:t>، وأنه لا توجد حاجة إلى تدابير تنظيمية إضافية لهذه المسألة المحددة.</w:t>
      </w:r>
    </w:p>
    <w:p w:rsidR="008A4EAC" w:rsidRPr="008A4EAC" w:rsidRDefault="008A4EAC" w:rsidP="00B06C06">
      <w:pPr>
        <w:rPr>
          <w:rFonts w:hint="cs"/>
          <w:rtl/>
          <w:lang w:bidi="ar-EG"/>
        </w:rPr>
      </w:pPr>
      <w:r>
        <w:rPr>
          <w:rFonts w:hint="cs"/>
          <w:rtl/>
        </w:rPr>
        <w:t xml:space="preserve">وبالتالي تقترح أوروبا عدم إدخال أي تعديل على لوائح الراديو وإلغاء القرار </w:t>
      </w:r>
      <w:r>
        <w:t>11 (WRC-12)</w:t>
      </w:r>
      <w:r>
        <w:rPr>
          <w:rFonts w:hint="cs"/>
          <w:rtl/>
          <w:lang w:bidi="ar-EG"/>
        </w:rPr>
        <w:t>.</w:t>
      </w:r>
    </w:p>
    <w:p w:rsidR="00BF15E1" w:rsidRDefault="003241D7">
      <w:pPr>
        <w:pStyle w:val="Proposal"/>
      </w:pPr>
      <w:r>
        <w:rPr>
          <w:u w:val="single"/>
        </w:rPr>
        <w:t>NOC</w:t>
      </w:r>
      <w:r>
        <w:tab/>
        <w:t>EUR/9A22A3/1</w:t>
      </w:r>
    </w:p>
    <w:p w:rsidR="009F37C9" w:rsidRDefault="003241D7" w:rsidP="00D80C2E">
      <w:pPr>
        <w:pStyle w:val="ArtNo"/>
        <w:spacing w:before="240"/>
        <w:rPr>
          <w:rtl/>
        </w:rPr>
      </w:pPr>
      <w:bookmarkStart w:id="1" w:name="_Toc331055742"/>
      <w:r>
        <w:rPr>
          <w:rtl/>
        </w:rPr>
        <w:t xml:space="preserve">المـادة </w:t>
      </w:r>
      <w:r w:rsidRPr="00B212B9">
        <w:rPr>
          <w:rStyle w:val="href"/>
        </w:rPr>
        <w:t>9</w:t>
      </w:r>
      <w:bookmarkEnd w:id="1"/>
    </w:p>
    <w:p w:rsidR="009F37C9" w:rsidRPr="00C82848" w:rsidRDefault="003241D7" w:rsidP="00D03296">
      <w:pPr>
        <w:pStyle w:val="Arttitle"/>
        <w:tabs>
          <w:tab w:val="center" w:pos="4569"/>
        </w:tabs>
        <w:rPr>
          <w:sz w:val="18"/>
          <w:rtl/>
          <w:lang w:bidi="ar-SY"/>
        </w:rPr>
      </w:pPr>
      <w:bookmarkStart w:id="2" w:name="_Toc331055743"/>
      <w:r w:rsidRPr="00FA6A24">
        <w:rPr>
          <w:b w:val="0"/>
          <w:rtl/>
        </w:rPr>
        <w:t xml:space="preserve">الإجراءات الواجب تطبيقها لتحقيق التنسيق مع الإدارات الأخرى </w:t>
      </w:r>
      <w:r w:rsidRPr="00FA6A24">
        <w:rPr>
          <w:b w:val="0"/>
          <w:rtl/>
        </w:rPr>
        <w:br/>
        <w:t>أو الحصول على موافقة هذه الإدارات</w:t>
      </w:r>
      <w:bookmarkStart w:id="3" w:name="_GoBack"/>
      <w:r w:rsidRPr="00094AEF">
        <w:rPr>
          <w:rStyle w:val="FootnoteReference"/>
          <w:rtl/>
        </w:rPr>
        <w:t>1</w:t>
      </w:r>
      <w:r w:rsidRPr="00094AEF">
        <w:rPr>
          <w:rFonts w:hint="cs"/>
          <w:position w:val="6"/>
          <w:sz w:val="18"/>
          <w:szCs w:val="22"/>
          <w:rtl/>
        </w:rPr>
        <w:t xml:space="preserve">، </w:t>
      </w:r>
      <w:r w:rsidRPr="00094AEF">
        <w:rPr>
          <w:rStyle w:val="FootnoteReference"/>
          <w:rtl/>
        </w:rPr>
        <w:t>2</w:t>
      </w:r>
      <w:r w:rsidRPr="00094AEF">
        <w:rPr>
          <w:rFonts w:hint="cs"/>
          <w:position w:val="6"/>
          <w:sz w:val="18"/>
          <w:szCs w:val="22"/>
          <w:rtl/>
        </w:rPr>
        <w:t xml:space="preserve">، </w:t>
      </w:r>
      <w:r w:rsidRPr="00094AEF">
        <w:rPr>
          <w:rStyle w:val="FootnoteReference"/>
          <w:rtl/>
        </w:rPr>
        <w:t>3</w:t>
      </w:r>
      <w:r w:rsidRPr="00094AEF">
        <w:rPr>
          <w:rFonts w:hint="cs"/>
          <w:position w:val="6"/>
          <w:sz w:val="18"/>
          <w:szCs w:val="22"/>
          <w:rtl/>
        </w:rPr>
        <w:t xml:space="preserve">، </w:t>
      </w:r>
      <w:r w:rsidRPr="00094AEF">
        <w:rPr>
          <w:rStyle w:val="FootnoteReference"/>
          <w:rtl/>
        </w:rPr>
        <w:t>4</w:t>
      </w:r>
      <w:r w:rsidRPr="00094AEF">
        <w:rPr>
          <w:rFonts w:hint="cs"/>
          <w:position w:val="6"/>
          <w:sz w:val="18"/>
          <w:szCs w:val="22"/>
          <w:rtl/>
        </w:rPr>
        <w:t xml:space="preserve">، </w:t>
      </w:r>
      <w:r w:rsidRPr="00094AEF">
        <w:rPr>
          <w:rStyle w:val="FootnoteReference"/>
          <w:rtl/>
        </w:rPr>
        <w:t>5</w:t>
      </w:r>
      <w:r w:rsidRPr="00094AEF">
        <w:rPr>
          <w:rFonts w:hint="cs"/>
          <w:position w:val="6"/>
          <w:sz w:val="18"/>
          <w:szCs w:val="22"/>
          <w:rtl/>
        </w:rPr>
        <w:t>،</w:t>
      </w:r>
      <w:r w:rsidRPr="00094AEF">
        <w:rPr>
          <w:position w:val="6"/>
          <w:sz w:val="18"/>
          <w:szCs w:val="22"/>
          <w:rtl/>
        </w:rPr>
        <w:t xml:space="preserve"> </w:t>
      </w:r>
      <w:r w:rsidRPr="00094AEF">
        <w:rPr>
          <w:rStyle w:val="FootnoteReference"/>
          <w:rtl/>
        </w:rPr>
        <w:t>6</w:t>
      </w:r>
      <w:r w:rsidRPr="00094AEF">
        <w:rPr>
          <w:rFonts w:hint="cs"/>
          <w:position w:val="6"/>
          <w:sz w:val="18"/>
          <w:szCs w:val="22"/>
          <w:rtl/>
        </w:rPr>
        <w:t>،</w:t>
      </w:r>
      <w:r w:rsidRPr="00094AEF">
        <w:rPr>
          <w:position w:val="6"/>
          <w:sz w:val="18"/>
          <w:szCs w:val="22"/>
          <w:rtl/>
        </w:rPr>
        <w:t xml:space="preserve"> </w:t>
      </w:r>
      <w:r w:rsidRPr="00094AEF">
        <w:rPr>
          <w:rStyle w:val="FootnoteReference"/>
          <w:rtl/>
        </w:rPr>
        <w:t>7</w:t>
      </w:r>
      <w:r w:rsidRPr="00094AEF">
        <w:rPr>
          <w:rFonts w:hint="cs"/>
          <w:position w:val="6"/>
          <w:sz w:val="18"/>
          <w:szCs w:val="22"/>
          <w:rtl/>
        </w:rPr>
        <w:t xml:space="preserve">، </w:t>
      </w:r>
      <w:r w:rsidRPr="00094AEF">
        <w:rPr>
          <w:rStyle w:val="FootnoteReference"/>
          <w:rtl/>
        </w:rPr>
        <w:t>8</w:t>
      </w:r>
      <w:r w:rsidRPr="00094AEF">
        <w:rPr>
          <w:rFonts w:hint="cs"/>
          <w:position w:val="6"/>
          <w:sz w:val="18"/>
          <w:szCs w:val="22"/>
          <w:rtl/>
        </w:rPr>
        <w:t xml:space="preserve">، </w:t>
      </w:r>
      <w:r w:rsidRPr="00094AEF">
        <w:rPr>
          <w:rStyle w:val="FootnoteReference"/>
          <w:rtl/>
        </w:rPr>
        <w:t>8</w:t>
      </w:r>
      <w:r w:rsidRPr="00094AEF">
        <w:rPr>
          <w:rStyle w:val="FootnoteReference"/>
          <w:rFonts w:cs="Traditional Arabic"/>
          <w:rtl/>
        </w:rPr>
        <w:t>مكرراً</w:t>
      </w:r>
      <w:bookmarkEnd w:id="3"/>
      <w:r w:rsidRPr="00D03296">
        <w:rPr>
          <w:rFonts w:hint="cs"/>
          <w:bCs w:val="0"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2"/>
      <w:r w:rsidRPr="0092049E">
        <w:rPr>
          <w:b w:val="0"/>
          <w:bCs w:val="0"/>
          <w:sz w:val="18"/>
          <w:lang w:bidi="ar-SA"/>
        </w:rPr>
        <w:t>    </w:t>
      </w:r>
    </w:p>
    <w:p w:rsidR="00BF15E1" w:rsidRDefault="003241D7" w:rsidP="00827614">
      <w:pPr>
        <w:pStyle w:val="Proposal"/>
        <w:spacing w:before="480"/>
      </w:pPr>
      <w:r>
        <w:rPr>
          <w:u w:val="single"/>
        </w:rPr>
        <w:t>NOC</w:t>
      </w:r>
      <w:r>
        <w:tab/>
        <w:t>EUR/9A22A3/2</w:t>
      </w:r>
    </w:p>
    <w:p w:rsidR="009F37C9" w:rsidRPr="00620278" w:rsidRDefault="003241D7" w:rsidP="00D02A9E">
      <w:pPr>
        <w:pStyle w:val="ArtNo"/>
        <w:rPr>
          <w:rtl/>
        </w:rPr>
      </w:pPr>
      <w:r w:rsidRPr="00620278">
        <w:rPr>
          <w:rtl/>
        </w:rPr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3241D7" w:rsidP="00D02A9E">
      <w:pPr>
        <w:pStyle w:val="Arttitle"/>
        <w:rPr>
          <w:rtl/>
          <w:lang w:bidi="ar-SY"/>
        </w:rPr>
      </w:pPr>
      <w:bookmarkStart w:id="4" w:name="_Toc331055745"/>
      <w:r w:rsidRPr="00620278">
        <w:rPr>
          <w:rtl/>
        </w:rPr>
        <w:t>التبليغ عن تخصيصات التردد وتسجيلها</w:t>
      </w:r>
      <w:r w:rsidRPr="00094AEF">
        <w:rPr>
          <w:rStyle w:val="FootnoteReference"/>
          <w:b w:val="0"/>
          <w:rtl/>
        </w:rPr>
        <w:t>1</w:t>
      </w:r>
      <w:r w:rsidRPr="00094AE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94AEF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94AEF">
        <w:rPr>
          <w:rStyle w:val="FootnoteReference"/>
          <w:b w:val="0"/>
          <w:rtl/>
        </w:rPr>
        <w:t>2</w:t>
      </w:r>
      <w:r w:rsidRPr="00094AE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94AEF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94AEF">
        <w:rPr>
          <w:rStyle w:val="FootnoteReference"/>
          <w:b w:val="0"/>
          <w:rtl/>
        </w:rPr>
        <w:t>3</w:t>
      </w:r>
      <w:r w:rsidRPr="00094AE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94AEF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94AEF">
        <w:rPr>
          <w:rStyle w:val="FootnoteReference"/>
          <w:b w:val="0"/>
          <w:rtl/>
        </w:rPr>
        <w:t>4</w:t>
      </w:r>
      <w:r w:rsidRPr="00094AE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94AEF">
        <w:rPr>
          <w:b w:val="0"/>
          <w:position w:val="6"/>
          <w:sz w:val="18"/>
          <w:szCs w:val="24"/>
          <w:rtl/>
        </w:rPr>
        <w:t xml:space="preserve"> </w:t>
      </w:r>
      <w:r w:rsidRPr="00094AEF">
        <w:rPr>
          <w:rStyle w:val="FootnoteReference"/>
          <w:b w:val="0"/>
          <w:rtl/>
        </w:rPr>
        <w:t>5</w:t>
      </w:r>
      <w:r w:rsidRPr="00094AE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94AEF">
        <w:rPr>
          <w:b w:val="0"/>
          <w:position w:val="6"/>
          <w:sz w:val="18"/>
          <w:szCs w:val="24"/>
          <w:rtl/>
        </w:rPr>
        <w:t xml:space="preserve"> </w:t>
      </w:r>
      <w:r w:rsidRPr="00094AEF">
        <w:rPr>
          <w:rStyle w:val="FootnoteReference"/>
          <w:b w:val="0"/>
          <w:rtl/>
        </w:rPr>
        <w:t>6</w:t>
      </w:r>
      <w:r w:rsidRPr="00094AEF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094AEF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094AEF">
        <w:rPr>
          <w:rStyle w:val="FootnoteReference"/>
          <w:b w:val="0"/>
          <w:rtl/>
        </w:rPr>
        <w:t>7</w:t>
      </w:r>
      <w:r w:rsidRPr="00094AEF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094AEF">
        <w:rPr>
          <w:rStyle w:val="FootnoteReference"/>
          <w:b w:val="0"/>
          <w:rtl/>
        </w:rPr>
        <w:t>7</w:t>
      </w:r>
      <w:r w:rsidRPr="00094AEF">
        <w:rPr>
          <w:rStyle w:val="FootnoteReference"/>
          <w:rFonts w:ascii="Times New Roman Bold" w:hAnsi="Times New Roman Bold" w:cs="Traditional Arabic"/>
          <w:b w:val="0"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4"/>
      <w:r w:rsidRPr="00F62046">
        <w:rPr>
          <w:b w:val="0"/>
          <w:bCs w:val="0"/>
          <w:sz w:val="18"/>
          <w:lang w:bidi="ar-SA"/>
        </w:rPr>
        <w:t>    </w:t>
      </w:r>
    </w:p>
    <w:p w:rsidR="00BF15E1" w:rsidRPr="008A4EAC" w:rsidRDefault="003241D7" w:rsidP="008A4EAC">
      <w:pPr>
        <w:pStyle w:val="Reasons"/>
        <w:spacing w:before="360"/>
        <w:rPr>
          <w:rFonts w:hint="cs"/>
          <w:rtl/>
          <w:lang w:bidi="ar-EG"/>
        </w:rPr>
      </w:pPr>
      <w:r>
        <w:rPr>
          <w:rtl/>
        </w:rPr>
        <w:t>الأسباب:</w:t>
      </w:r>
      <w:r>
        <w:tab/>
      </w:r>
      <w:r w:rsidR="008A4EAC" w:rsidRPr="00094AEF">
        <w:rPr>
          <w:rFonts w:hint="cs"/>
          <w:b w:val="0"/>
          <w:bCs w:val="0"/>
          <w:rtl/>
        </w:rPr>
        <w:t xml:space="preserve">لا توجد حاجة إلى إدخال أي تعديل على أحكام المادتين </w:t>
      </w:r>
      <w:r w:rsidR="008A4EAC" w:rsidRPr="00094AEF">
        <w:rPr>
          <w:b w:val="0"/>
          <w:bCs w:val="0"/>
        </w:rPr>
        <w:t>9</w:t>
      </w:r>
      <w:r w:rsidR="008A4EAC" w:rsidRPr="00094AEF">
        <w:rPr>
          <w:rFonts w:hint="cs"/>
          <w:b w:val="0"/>
          <w:bCs w:val="0"/>
          <w:rtl/>
          <w:lang w:bidi="ar-EG"/>
        </w:rPr>
        <w:t xml:space="preserve"> و</w:t>
      </w:r>
      <w:r w:rsidR="008A4EAC" w:rsidRPr="00094AEF">
        <w:rPr>
          <w:b w:val="0"/>
          <w:bCs w:val="0"/>
          <w:lang w:bidi="ar-EG"/>
        </w:rPr>
        <w:t>11</w:t>
      </w:r>
      <w:r w:rsidR="008A4EAC" w:rsidRPr="00094AEF">
        <w:rPr>
          <w:rFonts w:hint="cs"/>
          <w:b w:val="0"/>
          <w:bCs w:val="0"/>
          <w:rtl/>
          <w:lang w:bidi="ar-EG"/>
        </w:rPr>
        <w:t xml:space="preserve"> لضمان توافر المواقع المدارية </w:t>
      </w:r>
      <w:proofErr w:type="spellStart"/>
      <w:r w:rsidR="008A4EAC" w:rsidRPr="00094AEF">
        <w:rPr>
          <w:rFonts w:hint="cs"/>
          <w:b w:val="0"/>
          <w:bCs w:val="0"/>
          <w:rtl/>
          <w:lang w:bidi="ar-EG"/>
        </w:rPr>
        <w:t>الساتلية</w:t>
      </w:r>
      <w:proofErr w:type="spellEnd"/>
      <w:r w:rsidR="008A4EAC" w:rsidRPr="00094AEF">
        <w:rPr>
          <w:rFonts w:hint="cs"/>
          <w:b w:val="0"/>
          <w:bCs w:val="0"/>
          <w:rtl/>
          <w:lang w:bidi="ar-EG"/>
        </w:rPr>
        <w:t xml:space="preserve"> وطيف الترددات المرتبط بها لتوفير خدمات الاتصالات </w:t>
      </w:r>
      <w:r w:rsidR="00094AEF" w:rsidRPr="00094AEF">
        <w:rPr>
          <w:rFonts w:hint="cs"/>
          <w:b w:val="0"/>
          <w:bCs w:val="0"/>
          <w:rtl/>
          <w:lang w:bidi="ar-EG"/>
        </w:rPr>
        <w:t>العمومية الدولية في البلدان النامية.</w:t>
      </w:r>
    </w:p>
    <w:p w:rsidR="00BF15E1" w:rsidRDefault="003241D7">
      <w:pPr>
        <w:pStyle w:val="Proposal"/>
      </w:pPr>
      <w:r>
        <w:t>SUP</w:t>
      </w:r>
      <w:r>
        <w:tab/>
        <w:t>EUR/9A22A3/3</w:t>
      </w:r>
    </w:p>
    <w:p w:rsidR="00207FE5" w:rsidRPr="00FD4FC2" w:rsidRDefault="003241D7" w:rsidP="002F4842">
      <w:pPr>
        <w:pStyle w:val="ResNo"/>
        <w:rPr>
          <w:rtl/>
          <w:lang w:bidi="ar-SY"/>
        </w:rPr>
      </w:pPr>
      <w:r w:rsidRPr="00FD4FC2">
        <w:rPr>
          <w:rFonts w:hint="cs"/>
          <w:rtl/>
        </w:rPr>
        <w:t>الق</w:t>
      </w:r>
      <w:r>
        <w:rPr>
          <w:rFonts w:hint="cs"/>
          <w:rtl/>
        </w:rPr>
        <w:t>ـ</w:t>
      </w:r>
      <w:r w:rsidRPr="00FD4FC2">
        <w:rPr>
          <w:rFonts w:hint="cs"/>
          <w:rtl/>
        </w:rPr>
        <w:t xml:space="preserve">رار </w:t>
      </w:r>
      <w:r w:rsidRPr="00080130">
        <w:rPr>
          <w:rStyle w:val="href"/>
        </w:rPr>
        <w:t>11</w:t>
      </w:r>
      <w:r w:rsidRPr="00253D7A">
        <w:rPr>
          <w:lang w:eastAsia="x-none"/>
        </w:rPr>
        <w:t xml:space="preserve"> (WRC-12)</w:t>
      </w:r>
    </w:p>
    <w:p w:rsidR="00207FE5" w:rsidRPr="00FD4FC2" w:rsidRDefault="003241D7" w:rsidP="00B170A5">
      <w:pPr>
        <w:pStyle w:val="Restitle"/>
        <w:rPr>
          <w:rtl/>
        </w:rPr>
      </w:pPr>
      <w:bookmarkStart w:id="5" w:name="_Toc327956521"/>
      <w:r>
        <w:rPr>
          <w:rFonts w:hint="cs"/>
          <w:rtl/>
        </w:rPr>
        <w:t xml:space="preserve">استعمال المواقع المدارية </w:t>
      </w:r>
      <w:r>
        <w:rPr>
          <w:rFonts w:hint="cs"/>
          <w:rtl/>
          <w:lang w:bidi="ar-EG"/>
        </w:rPr>
        <w:t xml:space="preserve">الساتلية وطيف الترددات </w:t>
      </w:r>
      <w:r>
        <w:rPr>
          <w:rFonts w:hint="cs"/>
          <w:rtl/>
        </w:rPr>
        <w:t xml:space="preserve">المرتبط بها </w:t>
      </w:r>
      <w:r>
        <w:rPr>
          <w:rtl/>
        </w:rPr>
        <w:br/>
      </w:r>
      <w:r>
        <w:rPr>
          <w:rFonts w:hint="cs"/>
          <w:rtl/>
        </w:rPr>
        <w:t xml:space="preserve">لتوفير خدمات </w:t>
      </w:r>
      <w:r w:rsidRPr="00FD4FC2">
        <w:rPr>
          <w:rFonts w:hint="cs"/>
          <w:rtl/>
        </w:rPr>
        <w:t>الاتصالات العمومية الدولية</w:t>
      </w:r>
      <w:r>
        <w:rPr>
          <w:rFonts w:hint="cs"/>
          <w:rtl/>
        </w:rPr>
        <w:t xml:space="preserve"> في البلدان النامية</w:t>
      </w:r>
      <w:bookmarkEnd w:id="5"/>
    </w:p>
    <w:p w:rsidR="00BF15E1" w:rsidRPr="00B06C06" w:rsidRDefault="003241D7" w:rsidP="00311AA8">
      <w:pPr>
        <w:pStyle w:val="Reasons"/>
        <w:spacing w:before="360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06C06">
        <w:rPr>
          <w:rFonts w:hint="cs"/>
          <w:b w:val="0"/>
          <w:bCs w:val="0"/>
          <w:rtl/>
          <w:lang w:bidi="ar-EG"/>
        </w:rPr>
        <w:t xml:space="preserve">لا توجد حاجة إلى تدابير تنظيمية إضافية و/أو دراسات </w:t>
      </w:r>
      <w:r w:rsidR="00B06C06" w:rsidRPr="00B06C06">
        <w:rPr>
          <w:rFonts w:hint="cs"/>
          <w:b w:val="0"/>
          <w:bCs w:val="0"/>
          <w:rtl/>
          <w:lang w:bidi="ar-EG"/>
        </w:rPr>
        <w:t>لضمان تواف</w:t>
      </w:r>
      <w:r w:rsidR="00311AA8">
        <w:rPr>
          <w:rFonts w:hint="cs"/>
          <w:b w:val="0"/>
          <w:bCs w:val="0"/>
          <w:rtl/>
          <w:lang w:bidi="ar-EG"/>
        </w:rPr>
        <w:t>ُ</w:t>
      </w:r>
      <w:r w:rsidR="00B06C06" w:rsidRPr="00B06C06">
        <w:rPr>
          <w:rFonts w:hint="cs"/>
          <w:b w:val="0"/>
          <w:bCs w:val="0"/>
          <w:rtl/>
          <w:lang w:bidi="ar-EG"/>
        </w:rPr>
        <w:t>ر المواقع المدارية الساتلية</w:t>
      </w:r>
      <w:r w:rsidR="00B06C06" w:rsidRPr="00B06C06">
        <w:rPr>
          <w:rFonts w:hint="cs"/>
          <w:b w:val="0"/>
          <w:bCs w:val="0"/>
          <w:rtl/>
          <w:lang w:bidi="ar"/>
        </w:rPr>
        <w:t xml:space="preserve"> والموارد اللازمة</w:t>
      </w:r>
      <w:r w:rsidR="00B06C06" w:rsidRPr="00B06C06">
        <w:rPr>
          <w:rFonts w:hint="cs"/>
          <w:b w:val="0"/>
          <w:bCs w:val="0"/>
          <w:rtl/>
        </w:rPr>
        <w:t xml:space="preserve"> لتوفير خدمات الاتصالات العمومية الدولية في البلدان النامية</w:t>
      </w:r>
      <w:r w:rsidR="00B06C06">
        <w:rPr>
          <w:rFonts w:hint="cs"/>
          <w:b w:val="0"/>
          <w:bCs w:val="0"/>
          <w:rtl/>
        </w:rPr>
        <w:t>.</w:t>
      </w:r>
    </w:p>
    <w:p w:rsidR="003241D7" w:rsidRPr="003241D7" w:rsidRDefault="003241D7" w:rsidP="003241D7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3241D7" w:rsidRPr="003241D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A190C" w:rsidRDefault="00281F5F" w:rsidP="003A190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3A190C">
      <w:instrText xml:space="preserve"> FILENAME \p \* MERGEFORMAT </w:instrText>
    </w:r>
    <w:r w:rsidRPr="00CB4300">
      <w:fldChar w:fldCharType="separate"/>
    </w:r>
    <w:r w:rsidR="00A8274C">
      <w:rPr>
        <w:noProof/>
      </w:rPr>
      <w:t>P:\ARA\ITU-R\CONF-R\CMR15\000\009ADD22ADD03A.docx</w:t>
    </w:r>
    <w:r w:rsidRPr="00CB4300">
      <w:fldChar w:fldCharType="end"/>
    </w:r>
    <w:r w:rsidRPr="003A190C">
      <w:t xml:space="preserve">  (</w:t>
    </w:r>
    <w:r w:rsidR="003A190C" w:rsidRPr="003A190C">
      <w:t>388346</w:t>
    </w:r>
    <w:r w:rsidRPr="003A190C">
      <w:t>)</w:t>
    </w:r>
    <w:r w:rsidRPr="003A190C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8274C">
      <w:rPr>
        <w:noProof/>
      </w:rPr>
      <w:t>29.10.15</w:t>
    </w:r>
    <w:r w:rsidRPr="00CB4300">
      <w:fldChar w:fldCharType="end"/>
    </w:r>
    <w:r w:rsidRPr="003A190C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8274C">
      <w:rPr>
        <w:noProof/>
      </w:rPr>
      <w:t>29.10.15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A190C" w:rsidRDefault="00281F5F" w:rsidP="003A190C">
    <w:pPr>
      <w:pStyle w:val="Footer"/>
    </w:pPr>
    <w:r>
      <w:fldChar w:fldCharType="begin"/>
    </w:r>
    <w:r w:rsidRPr="003A190C">
      <w:instrText xml:space="preserve"> FILENAME \p \* MERGEFORMAT </w:instrText>
    </w:r>
    <w:r>
      <w:fldChar w:fldCharType="separate"/>
    </w:r>
    <w:r w:rsidR="00A8274C">
      <w:rPr>
        <w:noProof/>
      </w:rPr>
      <w:t>P:\ARA\ITU-R\CONF-R\CMR15\000\009ADD22ADD03A.docx</w:t>
    </w:r>
    <w:r>
      <w:fldChar w:fldCharType="end"/>
    </w:r>
    <w:r w:rsidRPr="003A190C">
      <w:t xml:space="preserve">   (</w:t>
    </w:r>
    <w:r w:rsidR="003A190C" w:rsidRPr="003A190C">
      <w:t>388346</w:t>
    </w:r>
    <w:r w:rsidRPr="003A190C">
      <w:t>)</w:t>
    </w:r>
    <w:r w:rsidRPr="003A190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8274C">
      <w:rPr>
        <w:noProof/>
      </w:rPr>
      <w:t>29.10.15</w:t>
    </w:r>
    <w:r w:rsidRPr="00B12661">
      <w:fldChar w:fldCharType="end"/>
    </w:r>
    <w:r w:rsidRPr="003A190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8274C">
      <w:rPr>
        <w:noProof/>
      </w:rPr>
      <w:t>29.10.15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94AE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9(Add.22)(Add.3)-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5490"/>
    <w:rsid w:val="00011021"/>
    <w:rsid w:val="000114EC"/>
    <w:rsid w:val="00011F8C"/>
    <w:rsid w:val="00014875"/>
    <w:rsid w:val="00040C94"/>
    <w:rsid w:val="000425FC"/>
    <w:rsid w:val="00044D43"/>
    <w:rsid w:val="00051907"/>
    <w:rsid w:val="00075A3F"/>
    <w:rsid w:val="00094AE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96D0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1AA8"/>
    <w:rsid w:val="00311F49"/>
    <w:rsid w:val="003241D7"/>
    <w:rsid w:val="0033737F"/>
    <w:rsid w:val="00353652"/>
    <w:rsid w:val="003569E1"/>
    <w:rsid w:val="003815E2"/>
    <w:rsid w:val="00381FAD"/>
    <w:rsid w:val="00382A66"/>
    <w:rsid w:val="003923B1"/>
    <w:rsid w:val="003965FE"/>
    <w:rsid w:val="003A190C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3AFE"/>
    <w:rsid w:val="006E465B"/>
    <w:rsid w:val="006E5D75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42A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27614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4EAC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08AB"/>
    <w:rsid w:val="00951718"/>
    <w:rsid w:val="00954CCB"/>
    <w:rsid w:val="0095724E"/>
    <w:rsid w:val="00960962"/>
    <w:rsid w:val="00972CE0"/>
    <w:rsid w:val="009A3D30"/>
    <w:rsid w:val="009B0BD8"/>
    <w:rsid w:val="009D6348"/>
    <w:rsid w:val="009E613F"/>
    <w:rsid w:val="009F042B"/>
    <w:rsid w:val="009F080E"/>
    <w:rsid w:val="009F7BA0"/>
    <w:rsid w:val="00A03FD6"/>
    <w:rsid w:val="00A04DF2"/>
    <w:rsid w:val="00A116A8"/>
    <w:rsid w:val="00A22AE9"/>
    <w:rsid w:val="00A26758"/>
    <w:rsid w:val="00A26D0E"/>
    <w:rsid w:val="00A278E9"/>
    <w:rsid w:val="00A279E8"/>
    <w:rsid w:val="00A3451F"/>
    <w:rsid w:val="00A36268"/>
    <w:rsid w:val="00A40B2C"/>
    <w:rsid w:val="00A66D2B"/>
    <w:rsid w:val="00A8274C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6C06"/>
    <w:rsid w:val="00B07CEE"/>
    <w:rsid w:val="00B12661"/>
    <w:rsid w:val="00B1714C"/>
    <w:rsid w:val="00B357E9"/>
    <w:rsid w:val="00B4164D"/>
    <w:rsid w:val="00B425C1"/>
    <w:rsid w:val="00B528DF"/>
    <w:rsid w:val="00B606BA"/>
    <w:rsid w:val="00B64017"/>
    <w:rsid w:val="00B66817"/>
    <w:rsid w:val="00B71E3B"/>
    <w:rsid w:val="00B721D5"/>
    <w:rsid w:val="00B81CB5"/>
    <w:rsid w:val="00B8351F"/>
    <w:rsid w:val="00B83C56"/>
    <w:rsid w:val="00B86C44"/>
    <w:rsid w:val="00B9727C"/>
    <w:rsid w:val="00BA610A"/>
    <w:rsid w:val="00BA7D44"/>
    <w:rsid w:val="00BD6EF3"/>
    <w:rsid w:val="00BE69C3"/>
    <w:rsid w:val="00BF15E1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328B"/>
    <w:rsid w:val="00EA3F63"/>
    <w:rsid w:val="00EA77D7"/>
    <w:rsid w:val="00EC09B9"/>
    <w:rsid w:val="00ED048C"/>
    <w:rsid w:val="00ED4B29"/>
    <w:rsid w:val="00EF38AF"/>
    <w:rsid w:val="00F01943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2000896-512B-49C7-9F5B-8BFB608B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B83C5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83C56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aliases w:val="ECC HL bold"/>
    <w:basedOn w:val="DefaultParagraphFont"/>
    <w:uiPriority w:val="1"/>
    <w:qFormat/>
    <w:rsid w:val="0082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R15-WRC15-C-0009!A22-A3!MSW-A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7728-3668-4ABA-A299-A1982956C66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32a1a8c5-2265-4ebc-b7a0-2071e2c5c9bb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AF8B45-AE97-41E5-8F50-FB4B5535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R15-WRC15-C-0009!A22-A3!MSW-A</vt:lpstr>
    </vt:vector>
  </TitlesOfParts>
  <Manager>General Secretariat - Pool</Manager>
  <Company>International Telecommunication Union (ITU)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R15-WRC15-C-0009!A22-A3!MSW-A</dc:title>
  <dc:creator>Documents Proposals Manager (DPM)</dc:creator>
  <cp:keywords>DPM_v5.2015.10.14_prod</cp:keywords>
  <cp:lastModifiedBy>Eltawabti, Ibrahim</cp:lastModifiedBy>
  <cp:revision>7</cp:revision>
  <cp:lastPrinted>2015-10-29T15:35:00Z</cp:lastPrinted>
  <dcterms:created xsi:type="dcterms:W3CDTF">2015-10-29T07:18:00Z</dcterms:created>
  <dcterms:modified xsi:type="dcterms:W3CDTF">2015-10-29T15:58:00Z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