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7C75D9">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6A44091" wp14:editId="264DC5E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C75D9">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7C75D9">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7C75D9">
        <w:trPr>
          <w:cantSplit/>
          <w:trHeight w:val="23"/>
        </w:trPr>
        <w:tc>
          <w:tcPr>
            <w:tcW w:w="677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7C75D9">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 (Add.21)</w:t>
            </w:r>
            <w:r w:rsidR="007C75D9">
              <w:rPr>
                <w:rFonts w:ascii="Verdana" w:hAnsi="Verdana" w:cs="Traditional Arabic"/>
                <w:b/>
                <w:sz w:val="20"/>
              </w:rPr>
              <w:t>(Add.13)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7C75D9">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rsidTr="007C75D9">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欧洲共同提案</w:t>
            </w:r>
          </w:p>
        </w:tc>
      </w:tr>
      <w:tr w:rsidR="008221A4">
        <w:trPr>
          <w:cantSplit/>
        </w:trPr>
        <w:tc>
          <w:tcPr>
            <w:tcW w:w="10031" w:type="dxa"/>
            <w:gridSpan w:val="2"/>
          </w:tcPr>
          <w:p w:rsidR="008221A4" w:rsidRDefault="007C75D9"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w:t>
            </w:r>
          </w:p>
        </w:tc>
      </w:tr>
    </w:tbl>
    <w:bookmarkEnd w:id="7"/>
    <w:p w:rsidR="008B60D0" w:rsidRDefault="00DB53D8" w:rsidP="00333DEF">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7C75D9" w:rsidRPr="007806A0" w:rsidRDefault="0086394E" w:rsidP="0086394E">
      <w:pPr>
        <w:rPr>
          <w:lang w:eastAsia="zh-CN"/>
        </w:rPr>
      </w:pPr>
      <w:r>
        <w:rPr>
          <w:lang w:eastAsia="zh-CN"/>
        </w:rPr>
        <w:t>7(</w:t>
      </w:r>
      <w:r>
        <w:rPr>
          <w:lang w:val="en-US" w:eastAsia="zh-CN"/>
        </w:rPr>
        <w:t>np</w:t>
      </w:r>
      <w:r>
        <w:rPr>
          <w:lang w:eastAsia="zh-CN"/>
        </w:rPr>
        <w:t>)</w:t>
      </w:r>
      <w:r>
        <w:rPr>
          <w:lang w:eastAsia="zh-CN"/>
        </w:rPr>
        <w:tab/>
      </w:r>
      <w:r>
        <w:rPr>
          <w:lang w:val="en-US" w:eastAsia="zh-CN"/>
        </w:rPr>
        <w:t>np</w:t>
      </w:r>
      <w:r>
        <w:rPr>
          <w:rFonts w:hint="eastAsia"/>
          <w:lang w:val="en-US" w:eastAsia="zh-CN"/>
        </w:rPr>
        <w:t>问题</w:t>
      </w:r>
      <w:r>
        <w:rPr>
          <w:rFonts w:hint="eastAsia"/>
          <w:lang w:val="en-US" w:eastAsia="zh-CN"/>
        </w:rPr>
        <w:t xml:space="preserve"> </w:t>
      </w:r>
      <w:r>
        <w:rPr>
          <w:lang w:eastAsia="zh-CN"/>
        </w:rPr>
        <w:t xml:space="preserve">– </w:t>
      </w:r>
      <w:r>
        <w:rPr>
          <w:rFonts w:hint="eastAsia"/>
          <w:lang w:eastAsia="zh-CN"/>
        </w:rPr>
        <w:t>在</w:t>
      </w:r>
      <w:r>
        <w:rPr>
          <w:lang w:eastAsia="zh-CN"/>
        </w:rPr>
        <w:t>《</w:t>
      </w:r>
      <w:r>
        <w:rPr>
          <w:rFonts w:hint="eastAsia"/>
          <w:lang w:eastAsia="zh-CN"/>
        </w:rPr>
        <w:t>无线电</w:t>
      </w:r>
      <w:r>
        <w:rPr>
          <w:lang w:eastAsia="zh-CN"/>
        </w:rPr>
        <w:t>规则》</w:t>
      </w:r>
      <w:r>
        <w:rPr>
          <w:rFonts w:hint="eastAsia"/>
          <w:lang w:eastAsia="zh-CN"/>
        </w:rPr>
        <w:t>通知</w:t>
      </w:r>
      <w:r>
        <w:rPr>
          <w:lang w:eastAsia="zh-CN"/>
        </w:rPr>
        <w:t>程序中增加一个新的条款</w:t>
      </w:r>
    </w:p>
    <w:p w:rsidR="0086394E" w:rsidRDefault="0086394E" w:rsidP="00C64D46">
      <w:pPr>
        <w:rPr>
          <w:lang w:eastAsia="zh-CN"/>
        </w:rPr>
      </w:pPr>
    </w:p>
    <w:p w:rsidR="007C75D9" w:rsidRPr="0086394E" w:rsidRDefault="00CD7774" w:rsidP="0086394E">
      <w:pPr>
        <w:pStyle w:val="Headingb"/>
        <w:rPr>
          <w:lang w:eastAsia="zh-CN"/>
        </w:rPr>
      </w:pPr>
      <w:r w:rsidRPr="0086394E">
        <w:rPr>
          <w:rFonts w:hint="eastAsia"/>
          <w:lang w:eastAsia="zh-CN"/>
        </w:rPr>
        <w:t>引言</w:t>
      </w:r>
    </w:p>
    <w:p w:rsidR="007C75D9" w:rsidRPr="00C64D46" w:rsidRDefault="00CD7774" w:rsidP="0086394E">
      <w:pPr>
        <w:ind w:firstLineChars="200" w:firstLine="480"/>
        <w:rPr>
          <w:lang w:eastAsia="zh-CN"/>
        </w:rPr>
      </w:pPr>
      <w:r>
        <w:rPr>
          <w:rFonts w:hint="eastAsia"/>
          <w:lang w:eastAsia="zh-CN"/>
        </w:rPr>
        <w:t>目前，在按照</w:t>
      </w:r>
      <w:r w:rsidRPr="00C64D46">
        <w:rPr>
          <w:rFonts w:hint="eastAsia"/>
          <w:lang w:eastAsia="zh-CN"/>
        </w:rPr>
        <w:t>第</w:t>
      </w:r>
      <w:r w:rsidR="007C75D9" w:rsidRPr="00C64D46">
        <w:rPr>
          <w:rStyle w:val="Strong"/>
          <w:b w:val="0"/>
          <w:bCs w:val="0"/>
          <w:lang w:eastAsia="zh-CN"/>
        </w:rPr>
        <w:t>11.32A</w:t>
      </w:r>
      <w:r w:rsidRPr="00C64D46">
        <w:rPr>
          <w:rFonts w:hint="eastAsia"/>
          <w:lang w:eastAsia="zh-CN"/>
        </w:rPr>
        <w:t>款进行</w:t>
      </w:r>
      <w:r w:rsidR="0086394E" w:rsidRPr="00C64D46">
        <w:rPr>
          <w:rFonts w:hint="eastAsia"/>
          <w:lang w:eastAsia="zh-CN"/>
        </w:rPr>
        <w:t>的</w:t>
      </w:r>
      <w:r w:rsidRPr="00C64D46">
        <w:rPr>
          <w:rFonts w:hint="eastAsia"/>
          <w:lang w:eastAsia="zh-CN"/>
        </w:rPr>
        <w:t>审查后，通知主管部门在多数情况下要求对审查结果合格的频率指配应用第</w:t>
      </w:r>
      <w:r w:rsidR="007C75D9" w:rsidRPr="00C64D46">
        <w:rPr>
          <w:rStyle w:val="Strong"/>
          <w:b w:val="0"/>
          <w:bCs w:val="0"/>
          <w:lang w:eastAsia="zh-CN"/>
        </w:rPr>
        <w:t>11.41</w:t>
      </w:r>
      <w:r w:rsidRPr="00C64D46">
        <w:rPr>
          <w:rFonts w:hint="eastAsia"/>
          <w:lang w:eastAsia="zh-CN"/>
        </w:rPr>
        <w:t>款，以便在规则截止日期前将频率指配登入</w:t>
      </w:r>
      <w:r w:rsidR="0086394E" w:rsidRPr="00C64D46">
        <w:rPr>
          <w:rFonts w:hint="eastAsia"/>
          <w:lang w:eastAsia="zh-CN"/>
        </w:rPr>
        <w:t>《登记</w:t>
      </w:r>
      <w:r w:rsidRPr="00C64D46">
        <w:rPr>
          <w:rFonts w:hint="eastAsia"/>
          <w:lang w:eastAsia="zh-CN"/>
        </w:rPr>
        <w:t>总表</w:t>
      </w:r>
      <w:r w:rsidR="0086394E" w:rsidRPr="00C64D46">
        <w:rPr>
          <w:rFonts w:hint="eastAsia"/>
          <w:lang w:eastAsia="zh-CN"/>
        </w:rPr>
        <w:t>》</w:t>
      </w:r>
      <w:r w:rsidRPr="00C64D46">
        <w:rPr>
          <w:rFonts w:hint="eastAsia"/>
          <w:lang w:eastAsia="zh-CN"/>
        </w:rPr>
        <w:t>。</w:t>
      </w:r>
      <w:r w:rsidR="00F0117E" w:rsidRPr="00C64D46">
        <w:rPr>
          <w:rFonts w:hint="eastAsia"/>
          <w:lang w:eastAsia="zh-CN"/>
        </w:rPr>
        <w:t>在按照第</w:t>
      </w:r>
      <w:r w:rsidR="00F0117E" w:rsidRPr="00C64D46">
        <w:rPr>
          <w:lang w:eastAsia="zh-CN"/>
        </w:rPr>
        <w:t>11.32A</w:t>
      </w:r>
      <w:r w:rsidR="00F0117E" w:rsidRPr="00C64D46">
        <w:rPr>
          <w:rFonts w:hint="eastAsia"/>
          <w:lang w:eastAsia="zh-CN"/>
        </w:rPr>
        <w:t>款进行</w:t>
      </w:r>
      <w:r w:rsidR="0086394E" w:rsidRPr="00C64D46">
        <w:rPr>
          <w:rFonts w:hint="eastAsia"/>
          <w:lang w:eastAsia="zh-CN"/>
        </w:rPr>
        <w:t>的</w:t>
      </w:r>
      <w:r w:rsidR="00F0117E" w:rsidRPr="00C64D46">
        <w:rPr>
          <w:rFonts w:hint="eastAsia"/>
          <w:lang w:eastAsia="zh-CN"/>
        </w:rPr>
        <w:t>审查后，应能区分因被审查的频率指配可能造成和受到有害干扰的两种不合格审查结果。对于这些情况，规则机制应允许通知主管部门（在认为可接受时）接受受到有害干扰的可能性并由此获得合规的审查结果。</w:t>
      </w:r>
    </w:p>
    <w:p w:rsidR="007C75D9" w:rsidRPr="00C64D46" w:rsidRDefault="00F0117E" w:rsidP="0086394E">
      <w:pPr>
        <w:ind w:firstLineChars="200" w:firstLine="480"/>
        <w:rPr>
          <w:lang w:eastAsia="zh-CN"/>
        </w:rPr>
      </w:pPr>
      <w:r w:rsidRPr="00C64D46">
        <w:rPr>
          <w:rFonts w:hint="eastAsia"/>
          <w:lang w:eastAsia="zh-CN"/>
        </w:rPr>
        <w:t>欧洲建议在《无线电规则》中增加一条款，</w:t>
      </w:r>
      <w:r w:rsidR="00137A6C" w:rsidRPr="00C64D46">
        <w:rPr>
          <w:rFonts w:hint="eastAsia"/>
          <w:lang w:eastAsia="zh-CN"/>
        </w:rPr>
        <w:t>当</w:t>
      </w:r>
      <w:r w:rsidRPr="00C64D46">
        <w:rPr>
          <w:rFonts w:hint="eastAsia"/>
          <w:lang w:eastAsia="zh-CN"/>
        </w:rPr>
        <w:t>通知主管部门在按照第</w:t>
      </w:r>
      <w:r w:rsidRPr="00C64D46">
        <w:rPr>
          <w:lang w:eastAsia="zh-CN"/>
        </w:rPr>
        <w:t>11.32A</w:t>
      </w:r>
      <w:r w:rsidRPr="00C64D46">
        <w:rPr>
          <w:rFonts w:hint="eastAsia"/>
          <w:lang w:eastAsia="zh-CN"/>
        </w:rPr>
        <w:t>款进行的审查</w:t>
      </w:r>
      <w:r w:rsidR="0086394E" w:rsidRPr="00C64D46">
        <w:rPr>
          <w:rFonts w:hint="eastAsia"/>
          <w:lang w:eastAsia="zh-CN"/>
        </w:rPr>
        <w:t>后</w:t>
      </w:r>
      <w:r w:rsidRPr="00C64D46">
        <w:rPr>
          <w:rFonts w:hint="eastAsia"/>
          <w:lang w:eastAsia="zh-CN"/>
        </w:rPr>
        <w:t>只因</w:t>
      </w:r>
      <w:r w:rsidR="00137A6C" w:rsidRPr="00C64D46">
        <w:rPr>
          <w:rFonts w:hint="eastAsia"/>
          <w:lang w:eastAsia="zh-CN"/>
        </w:rPr>
        <w:t>受到</w:t>
      </w:r>
      <w:r w:rsidRPr="00C64D46">
        <w:rPr>
          <w:rFonts w:hint="eastAsia"/>
          <w:lang w:eastAsia="zh-CN"/>
        </w:rPr>
        <w:t>另一频率指配</w:t>
      </w:r>
      <w:r w:rsidR="00137A6C" w:rsidRPr="00C64D46">
        <w:rPr>
          <w:rFonts w:hint="eastAsia"/>
          <w:lang w:eastAsia="zh-CN"/>
        </w:rPr>
        <w:t>的</w:t>
      </w:r>
      <w:r w:rsidRPr="00C64D46">
        <w:rPr>
          <w:rFonts w:hint="eastAsia"/>
          <w:lang w:eastAsia="zh-CN"/>
        </w:rPr>
        <w:t>有害干扰概率超过《无线电规则》制定的标准而产生有害干扰的概率却可以忽略不计得到</w:t>
      </w:r>
      <w:r w:rsidR="00137A6C" w:rsidRPr="00C64D46">
        <w:rPr>
          <w:rFonts w:hint="eastAsia"/>
          <w:lang w:eastAsia="zh-CN"/>
        </w:rPr>
        <w:t>不合格的审查结果时，允许其向无线电通信局表明其接受这种有害干扰的可能性。据此，无线电通信局将以合规的审查结果将此频率指配登入</w:t>
      </w:r>
      <w:r w:rsidR="0086394E" w:rsidRPr="00C64D46">
        <w:rPr>
          <w:rFonts w:hint="eastAsia"/>
          <w:lang w:eastAsia="zh-CN"/>
        </w:rPr>
        <w:t>《</w:t>
      </w:r>
      <w:r w:rsidR="0086394E" w:rsidRPr="00C64D46">
        <w:rPr>
          <w:lang w:eastAsia="zh-CN"/>
        </w:rPr>
        <w:t>登记</w:t>
      </w:r>
      <w:r w:rsidR="00137A6C" w:rsidRPr="00C64D46">
        <w:rPr>
          <w:rFonts w:hint="eastAsia"/>
          <w:lang w:eastAsia="zh-CN"/>
        </w:rPr>
        <w:t>总表</w:t>
      </w:r>
      <w:r w:rsidR="0086394E" w:rsidRPr="00C64D46">
        <w:rPr>
          <w:rFonts w:hint="eastAsia"/>
          <w:lang w:eastAsia="zh-CN"/>
        </w:rPr>
        <w:t>》</w:t>
      </w:r>
      <w:r w:rsidR="00137A6C" w:rsidRPr="00C64D46">
        <w:rPr>
          <w:rFonts w:hint="eastAsia"/>
          <w:lang w:eastAsia="zh-CN"/>
        </w:rPr>
        <w:t>并对此新条款予以引证。</w:t>
      </w:r>
    </w:p>
    <w:p w:rsidR="007C75D9" w:rsidRPr="00C64D46" w:rsidRDefault="00137A6C" w:rsidP="0086394E">
      <w:pPr>
        <w:ind w:firstLineChars="200" w:firstLine="480"/>
        <w:rPr>
          <w:lang w:eastAsia="zh-CN"/>
        </w:rPr>
      </w:pPr>
      <w:r w:rsidRPr="00C64D46">
        <w:rPr>
          <w:rFonts w:hint="eastAsia"/>
          <w:lang w:eastAsia="zh-CN"/>
        </w:rPr>
        <w:t>在纳入拟议条款后，对于上述情况，在按照第</w:t>
      </w:r>
      <w:r w:rsidRPr="00C64D46">
        <w:rPr>
          <w:lang w:eastAsia="zh-CN"/>
        </w:rPr>
        <w:t>11.32A</w:t>
      </w:r>
      <w:r w:rsidRPr="00C64D46">
        <w:rPr>
          <w:rFonts w:hint="eastAsia"/>
          <w:lang w:eastAsia="zh-CN"/>
        </w:rPr>
        <w:t>款进行的审查后，通知主管部门将做出决定：</w:t>
      </w:r>
    </w:p>
    <w:p w:rsidR="007C75D9" w:rsidRPr="000135DC" w:rsidRDefault="00B80442" w:rsidP="0086394E">
      <w:pPr>
        <w:pStyle w:val="enumlev1"/>
        <w:rPr>
          <w:lang w:eastAsia="zh-CN"/>
        </w:rPr>
      </w:pPr>
      <w:r>
        <w:rPr>
          <w:lang w:eastAsia="zh-CN"/>
        </w:rPr>
        <w:t>–</w:t>
      </w:r>
      <w:r>
        <w:rPr>
          <w:lang w:eastAsia="zh-CN"/>
        </w:rPr>
        <w:tab/>
      </w:r>
      <w:r w:rsidR="0086394E">
        <w:rPr>
          <w:rFonts w:hint="eastAsia"/>
          <w:lang w:eastAsia="zh-CN"/>
        </w:rPr>
        <w:t>如</w:t>
      </w:r>
      <w:r w:rsidR="00137A6C">
        <w:rPr>
          <w:rFonts w:hint="eastAsia"/>
          <w:lang w:eastAsia="zh-CN"/>
        </w:rPr>
        <w:t>通知主管部门认为受到的有害干扰概率可接受，之后，指示无线电通信局以合规的审查结果将频率指配登入</w:t>
      </w:r>
      <w:r w:rsidR="0086394E">
        <w:rPr>
          <w:rFonts w:hint="eastAsia"/>
          <w:lang w:eastAsia="zh-CN"/>
        </w:rPr>
        <w:t>《</w:t>
      </w:r>
      <w:r w:rsidR="0086394E">
        <w:rPr>
          <w:lang w:eastAsia="zh-CN"/>
        </w:rPr>
        <w:t>登记</w:t>
      </w:r>
      <w:r w:rsidR="00137A6C">
        <w:rPr>
          <w:rFonts w:hint="eastAsia"/>
          <w:lang w:eastAsia="zh-CN"/>
        </w:rPr>
        <w:t>总表</w:t>
      </w:r>
      <w:r w:rsidR="0086394E">
        <w:rPr>
          <w:rFonts w:hint="eastAsia"/>
          <w:lang w:eastAsia="zh-CN"/>
        </w:rPr>
        <w:t>》</w:t>
      </w:r>
      <w:r w:rsidR="00137A6C">
        <w:rPr>
          <w:rFonts w:hint="eastAsia"/>
          <w:lang w:eastAsia="zh-CN"/>
        </w:rPr>
        <w:t>并对新条款予以引证。</w:t>
      </w:r>
      <w:r w:rsidR="00137A6C">
        <w:rPr>
          <w:rFonts w:hint="eastAsia"/>
          <w:lang w:eastAsia="zh-CN"/>
        </w:rPr>
        <w:t xml:space="preserve"> </w:t>
      </w:r>
    </w:p>
    <w:p w:rsidR="007C75D9" w:rsidRPr="000135DC" w:rsidRDefault="00B80442" w:rsidP="00B80442">
      <w:pPr>
        <w:pStyle w:val="enumlev1"/>
        <w:rPr>
          <w:lang w:eastAsia="zh-CN"/>
        </w:rPr>
      </w:pPr>
      <w:r>
        <w:rPr>
          <w:lang w:eastAsia="zh-CN"/>
        </w:rPr>
        <w:lastRenderedPageBreak/>
        <w:t>–</w:t>
      </w:r>
      <w:r>
        <w:rPr>
          <w:lang w:eastAsia="zh-CN"/>
        </w:rPr>
        <w:tab/>
      </w:r>
      <w:r w:rsidR="0086394E">
        <w:rPr>
          <w:rFonts w:hint="eastAsia"/>
          <w:lang w:eastAsia="zh-CN"/>
        </w:rPr>
        <w:t>如</w:t>
      </w:r>
      <w:r w:rsidR="00137A6C" w:rsidRPr="00137A6C">
        <w:rPr>
          <w:rFonts w:hint="eastAsia"/>
          <w:lang w:eastAsia="zh-CN"/>
        </w:rPr>
        <w:t>通知主管部门认为受到的有害干扰概率</w:t>
      </w:r>
      <w:r w:rsidR="00137A6C">
        <w:rPr>
          <w:rFonts w:hint="eastAsia"/>
          <w:lang w:eastAsia="zh-CN"/>
        </w:rPr>
        <w:t>不</w:t>
      </w:r>
      <w:r w:rsidR="00137A6C" w:rsidRPr="00137A6C">
        <w:rPr>
          <w:rFonts w:hint="eastAsia"/>
          <w:lang w:eastAsia="zh-CN"/>
        </w:rPr>
        <w:t>可接受，</w:t>
      </w:r>
      <w:r w:rsidR="00137A6C">
        <w:rPr>
          <w:rFonts w:hint="eastAsia"/>
          <w:lang w:eastAsia="zh-CN"/>
        </w:rPr>
        <w:t>通知主管部门仍可责成</w:t>
      </w:r>
      <w:r w:rsidR="00137A6C" w:rsidRPr="00137A6C">
        <w:rPr>
          <w:rFonts w:hint="eastAsia"/>
          <w:lang w:eastAsia="zh-CN"/>
        </w:rPr>
        <w:t>无线电通信局</w:t>
      </w:r>
      <w:r w:rsidR="00137A6C">
        <w:rPr>
          <w:rFonts w:hint="eastAsia"/>
          <w:lang w:eastAsia="zh-CN"/>
        </w:rPr>
        <w:t>应用第</w:t>
      </w:r>
      <w:r w:rsidR="00137A6C" w:rsidRPr="00C64D46">
        <w:rPr>
          <w:rStyle w:val="Strong"/>
          <w:b w:val="0"/>
          <w:bCs w:val="0"/>
          <w:lang w:eastAsia="zh-CN"/>
        </w:rPr>
        <w:t>11.41</w:t>
      </w:r>
      <w:r w:rsidR="00137A6C" w:rsidRPr="00137A6C">
        <w:rPr>
          <w:rStyle w:val="Strong"/>
          <w:rFonts w:hint="eastAsia"/>
          <w:b w:val="0"/>
          <w:bCs w:val="0"/>
          <w:lang w:eastAsia="zh-CN"/>
        </w:rPr>
        <w:t>款</w:t>
      </w:r>
      <w:r w:rsidR="00B059DC">
        <w:rPr>
          <w:rFonts w:hint="eastAsia"/>
          <w:lang w:eastAsia="zh-CN"/>
        </w:rPr>
        <w:t>，</w:t>
      </w:r>
      <w:r w:rsidR="00137A6C" w:rsidRPr="00137A6C">
        <w:rPr>
          <w:rFonts w:hint="eastAsia"/>
          <w:lang w:eastAsia="zh-CN"/>
        </w:rPr>
        <w:t>以</w:t>
      </w:r>
      <w:r w:rsidR="00B059DC">
        <w:rPr>
          <w:rFonts w:hint="eastAsia"/>
          <w:lang w:eastAsia="zh-CN"/>
        </w:rPr>
        <w:t>不</w:t>
      </w:r>
      <w:r w:rsidR="00137A6C" w:rsidRPr="00137A6C">
        <w:rPr>
          <w:rFonts w:hint="eastAsia"/>
          <w:lang w:eastAsia="zh-CN"/>
        </w:rPr>
        <w:t>合规的审查结果将频率指配登入</w:t>
      </w:r>
      <w:r w:rsidR="0086394E">
        <w:rPr>
          <w:rFonts w:hint="eastAsia"/>
          <w:lang w:eastAsia="zh-CN"/>
        </w:rPr>
        <w:t>《</w:t>
      </w:r>
      <w:r w:rsidR="0086394E">
        <w:rPr>
          <w:lang w:eastAsia="zh-CN"/>
        </w:rPr>
        <w:t>登记</w:t>
      </w:r>
      <w:r w:rsidR="00137A6C" w:rsidRPr="00137A6C">
        <w:rPr>
          <w:rFonts w:hint="eastAsia"/>
          <w:lang w:eastAsia="zh-CN"/>
        </w:rPr>
        <w:t>总表</w:t>
      </w:r>
      <w:r w:rsidR="0086394E">
        <w:rPr>
          <w:rFonts w:hint="eastAsia"/>
          <w:lang w:eastAsia="zh-CN"/>
        </w:rPr>
        <w:t>》</w:t>
      </w:r>
      <w:r w:rsidR="00137A6C" w:rsidRPr="00137A6C">
        <w:rPr>
          <w:rFonts w:hint="eastAsia"/>
          <w:lang w:eastAsia="zh-CN"/>
        </w:rPr>
        <w:t>并</w:t>
      </w:r>
      <w:r w:rsidR="00B059DC">
        <w:rPr>
          <w:rFonts w:hint="eastAsia"/>
          <w:lang w:eastAsia="zh-CN"/>
        </w:rPr>
        <w:t>引证第</w:t>
      </w:r>
      <w:r w:rsidR="00B059DC" w:rsidRPr="00C64D46">
        <w:rPr>
          <w:rStyle w:val="Strong"/>
          <w:b w:val="0"/>
          <w:bCs w:val="0"/>
          <w:lang w:eastAsia="zh-CN"/>
        </w:rPr>
        <w:t>11.41</w:t>
      </w:r>
      <w:r w:rsidR="00B059DC" w:rsidRPr="00137A6C">
        <w:rPr>
          <w:rFonts w:hint="eastAsia"/>
          <w:lang w:eastAsia="zh-CN"/>
        </w:rPr>
        <w:t>款</w:t>
      </w:r>
      <w:r w:rsidR="00B059DC">
        <w:rPr>
          <w:rFonts w:hint="eastAsia"/>
          <w:lang w:eastAsia="zh-CN"/>
        </w:rPr>
        <w:t>（目前的程序）。</w:t>
      </w:r>
    </w:p>
    <w:p w:rsidR="007C75D9" w:rsidRDefault="00B059DC" w:rsidP="0086394E">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为正确应用新条款，无线电通信局将</w:t>
      </w:r>
      <w:r w:rsidRPr="00B059DC">
        <w:rPr>
          <w:rFonts w:hint="eastAsia"/>
          <w:lang w:eastAsia="zh-CN"/>
        </w:rPr>
        <w:t>按照第</w:t>
      </w:r>
      <w:r w:rsidRPr="00C64D46">
        <w:rPr>
          <w:lang w:eastAsia="zh-CN"/>
        </w:rPr>
        <w:t>11.32A</w:t>
      </w:r>
      <w:r w:rsidRPr="00B059DC">
        <w:rPr>
          <w:rFonts w:hint="eastAsia"/>
          <w:lang w:eastAsia="zh-CN"/>
        </w:rPr>
        <w:t>款进行审查的</w:t>
      </w:r>
      <w:r>
        <w:rPr>
          <w:rFonts w:hint="eastAsia"/>
          <w:lang w:eastAsia="zh-CN"/>
        </w:rPr>
        <w:t>结果通报通知</w:t>
      </w:r>
      <w:r w:rsidR="0086394E">
        <w:rPr>
          <w:rFonts w:hint="eastAsia"/>
          <w:lang w:eastAsia="zh-CN"/>
        </w:rPr>
        <w:t>主</w:t>
      </w:r>
      <w:r w:rsidR="0086394E">
        <w:rPr>
          <w:lang w:eastAsia="zh-CN"/>
        </w:rPr>
        <w:t>管部门</w:t>
      </w:r>
      <w:r>
        <w:rPr>
          <w:rFonts w:hint="eastAsia"/>
          <w:lang w:eastAsia="zh-CN"/>
        </w:rPr>
        <w:t>。不合格的审查结果必须说明该结果是依据频率指配可能造成的还是可能受到的干扰。应指出，这项拟议机制不适用于</w:t>
      </w:r>
      <w:r w:rsidR="00234D99">
        <w:rPr>
          <w:rFonts w:hint="eastAsia"/>
          <w:lang w:eastAsia="zh-CN"/>
        </w:rPr>
        <w:t>受到地面业务干扰的空间业务。</w:t>
      </w:r>
      <w:r w:rsidR="00234D99">
        <w:rPr>
          <w:rFonts w:hint="eastAsia"/>
          <w:lang w:eastAsia="zh-CN"/>
        </w:rPr>
        <w:t xml:space="preserve"> </w:t>
      </w:r>
    </w:p>
    <w:p w:rsidR="007C75D9" w:rsidRPr="00006E9C" w:rsidRDefault="00234D99" w:rsidP="007C75D9">
      <w:pPr>
        <w:pStyle w:val="Headingb"/>
        <w:rPr>
          <w:lang w:eastAsia="zh-CN"/>
        </w:rPr>
      </w:pPr>
      <w:r>
        <w:rPr>
          <w:rFonts w:hint="eastAsia"/>
          <w:lang w:eastAsia="zh-CN"/>
        </w:rPr>
        <w:t>提案</w:t>
      </w:r>
    </w:p>
    <w:p w:rsidR="00DB1CAC" w:rsidRPr="00F439B1" w:rsidRDefault="00DB53D8"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DB53D8"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DB53D8"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032D10" w:rsidRDefault="00DB53D8">
      <w:pPr>
        <w:pStyle w:val="Proposal"/>
        <w:rPr>
          <w:lang w:eastAsia="zh-CN"/>
        </w:rPr>
      </w:pPr>
      <w:r>
        <w:rPr>
          <w:lang w:eastAsia="zh-CN"/>
        </w:rPr>
        <w:t>MOD</w:t>
      </w:r>
      <w:r>
        <w:rPr>
          <w:lang w:eastAsia="zh-CN"/>
        </w:rPr>
        <w:tab/>
        <w:t>EUR/9A21A13/1</w:t>
      </w:r>
    </w:p>
    <w:p w:rsidR="00DB1CAC" w:rsidRDefault="00DB53D8" w:rsidP="00B80442">
      <w:pPr>
        <w:pStyle w:val="Note"/>
        <w:rPr>
          <w:lang w:eastAsia="zh-CN"/>
        </w:rPr>
      </w:pPr>
      <w:r w:rsidRPr="00DC6F82">
        <w:rPr>
          <w:rStyle w:val="Artdef"/>
          <w:rFonts w:hint="eastAsia"/>
          <w:lang w:eastAsia="zh-CN"/>
        </w:rPr>
        <w:t>11.41</w:t>
      </w:r>
      <w:r w:rsidR="00333DEF">
        <w:rPr>
          <w:rFonts w:hint="eastAsia"/>
          <w:lang w:eastAsia="zh-CN"/>
        </w:rPr>
        <w:tab/>
      </w:r>
      <w:r w:rsidR="00B80442">
        <w:rPr>
          <w:lang w:eastAsia="zh-CN"/>
        </w:rPr>
        <w:tab/>
      </w:r>
      <w:r w:rsidRPr="00F9240D">
        <w:rPr>
          <w:rFonts w:hint="eastAsia"/>
          <w:spacing w:val="-8"/>
          <w:lang w:eastAsia="zh-CN"/>
        </w:rPr>
        <w:t>按照第</w:t>
      </w:r>
      <w:r w:rsidRPr="00F9240D">
        <w:rPr>
          <w:spacing w:val="-8"/>
          <w:lang w:val="en-US" w:eastAsia="zh-CN"/>
        </w:rPr>
        <w:t>11.38</w:t>
      </w:r>
      <w:r w:rsidRPr="00F9240D">
        <w:rPr>
          <w:rFonts w:hint="eastAsia"/>
          <w:spacing w:val="-8"/>
          <w:lang w:eastAsia="zh-CN"/>
        </w:rPr>
        <w:t>款，通知被退回以后，如果通知主管部门再次提交该通知</w:t>
      </w:r>
      <w:r w:rsidRPr="00F9240D">
        <w:rPr>
          <w:rStyle w:val="FootnoteReference"/>
          <w:spacing w:val="-8"/>
          <w:lang w:eastAsia="zh-CN"/>
        </w:rPr>
        <w:t>18</w:t>
      </w:r>
      <w:r w:rsidRPr="00F9240D">
        <w:rPr>
          <w:rStyle w:val="FootnoteReference"/>
          <w:rFonts w:ascii="STKaiti" w:eastAsia="STKaiti" w:hAnsi="STKaiti"/>
          <w:spacing w:val="-8"/>
          <w:lang w:eastAsia="zh-CN"/>
        </w:rPr>
        <w:t>之二</w:t>
      </w:r>
      <w:r>
        <w:rPr>
          <w:rFonts w:hint="eastAsia"/>
          <w:lang w:eastAsia="zh-CN"/>
        </w:rPr>
        <w:t>并坚持要求重新考虑时，无线电通信局须将该指配列入《登记总表》并标明那些使其指配审查结论不合格的主管部门（亦见下列第</w:t>
      </w:r>
      <w:r w:rsidRPr="00C64D46">
        <w:rPr>
          <w:rFonts w:hint="eastAsia"/>
          <w:lang w:eastAsia="zh-CN"/>
        </w:rPr>
        <w:t>11.</w:t>
      </w:r>
      <w:r w:rsidRPr="00C64D46">
        <w:rPr>
          <w:lang w:eastAsia="zh-CN"/>
        </w:rPr>
        <w:t>42</w:t>
      </w:r>
      <w:r>
        <w:rPr>
          <w:rFonts w:hint="eastAsia"/>
          <w:lang w:eastAsia="zh-CN"/>
        </w:rPr>
        <w:t>款）。</w:t>
      </w:r>
      <w:r w:rsidRPr="000F78ED">
        <w:rPr>
          <w:rFonts w:hint="eastAsia"/>
          <w:sz w:val="16"/>
          <w:szCs w:val="16"/>
          <w:lang w:eastAsia="zh-CN"/>
        </w:rPr>
        <w:t>（</w:t>
      </w:r>
      <w:r w:rsidRPr="000F78ED">
        <w:rPr>
          <w:sz w:val="16"/>
          <w:szCs w:val="16"/>
          <w:lang w:eastAsia="zh-CN"/>
        </w:rPr>
        <w:t>WRC-</w:t>
      </w:r>
      <w:r>
        <w:rPr>
          <w:sz w:val="16"/>
          <w:szCs w:val="16"/>
          <w:lang w:eastAsia="zh-CN"/>
        </w:rPr>
        <w:t>12</w:t>
      </w:r>
      <w:r w:rsidRPr="000F78ED">
        <w:rPr>
          <w:rFonts w:hint="eastAsia"/>
          <w:sz w:val="16"/>
          <w:szCs w:val="16"/>
          <w:lang w:eastAsia="zh-CN"/>
        </w:rPr>
        <w:t>）</w:t>
      </w:r>
    </w:p>
    <w:p w:rsidR="00032D10" w:rsidRDefault="00032D10">
      <w:pPr>
        <w:pStyle w:val="Reasons"/>
        <w:rPr>
          <w:lang w:eastAsia="zh-CN"/>
        </w:rPr>
      </w:pPr>
    </w:p>
    <w:p w:rsidR="00032D10" w:rsidRDefault="00DB53D8">
      <w:pPr>
        <w:pStyle w:val="Proposal"/>
        <w:rPr>
          <w:lang w:eastAsia="zh-CN"/>
        </w:rPr>
      </w:pPr>
      <w:r>
        <w:rPr>
          <w:lang w:eastAsia="zh-CN"/>
        </w:rPr>
        <w:t>ADD</w:t>
      </w:r>
      <w:r>
        <w:rPr>
          <w:lang w:eastAsia="zh-CN"/>
        </w:rPr>
        <w:tab/>
        <w:t>EUR/9A21A13/2</w:t>
      </w:r>
    </w:p>
    <w:p w:rsidR="00B80442" w:rsidRPr="009D3CC7" w:rsidRDefault="00B80442" w:rsidP="00B80442">
      <w:pPr>
        <w:rPr>
          <w:lang w:eastAsia="zh-CN"/>
        </w:rPr>
      </w:pPr>
      <w:r>
        <w:rPr>
          <w:lang w:eastAsia="zh-CN"/>
        </w:rPr>
        <w:t>______________</w:t>
      </w:r>
    </w:p>
    <w:p w:rsidR="007C75D9" w:rsidRPr="00F9240D" w:rsidRDefault="007C75D9" w:rsidP="00F9240D">
      <w:pPr>
        <w:pStyle w:val="Note"/>
        <w:rPr>
          <w:spacing w:val="-6"/>
          <w:sz w:val="16"/>
          <w:szCs w:val="16"/>
          <w:lang w:eastAsia="zh-CN"/>
        </w:rPr>
      </w:pPr>
      <w:r w:rsidRPr="00A30F19">
        <w:rPr>
          <w:rStyle w:val="Artdef"/>
          <w:vertAlign w:val="superscript"/>
          <w:lang w:eastAsia="zh-CN"/>
        </w:rPr>
        <w:t>np</w:t>
      </w:r>
      <w:r>
        <w:rPr>
          <w:rStyle w:val="Artdef"/>
          <w:lang w:eastAsia="zh-CN"/>
        </w:rPr>
        <w:t xml:space="preserve"> </w:t>
      </w:r>
      <w:r w:rsidR="00F9240D">
        <w:rPr>
          <w:rStyle w:val="Artdef"/>
          <w:lang w:eastAsia="zh-CN"/>
        </w:rPr>
        <w:t xml:space="preserve"> </w:t>
      </w:r>
      <w:r>
        <w:rPr>
          <w:rStyle w:val="Artdef"/>
          <w:lang w:eastAsia="zh-CN"/>
        </w:rPr>
        <w:t>11.41.3</w:t>
      </w:r>
      <w:r w:rsidR="00333DEF">
        <w:rPr>
          <w:lang w:eastAsia="zh-CN"/>
        </w:rPr>
        <w:tab/>
      </w:r>
      <w:r w:rsidR="00F9240D">
        <w:rPr>
          <w:lang w:eastAsia="zh-CN"/>
        </w:rPr>
        <w:tab/>
      </w:r>
      <w:r w:rsidR="00234D99" w:rsidRPr="00F9240D">
        <w:rPr>
          <w:rFonts w:hint="eastAsia"/>
          <w:spacing w:val="-6"/>
          <w:lang w:eastAsia="zh-CN"/>
        </w:rPr>
        <w:t>按照第</w:t>
      </w:r>
      <w:r w:rsidR="00234D99" w:rsidRPr="00F9240D">
        <w:rPr>
          <w:spacing w:val="-6"/>
          <w:lang w:eastAsia="zh-CN"/>
        </w:rPr>
        <w:t>11.32A</w:t>
      </w:r>
      <w:r w:rsidR="0086394E" w:rsidRPr="00F9240D">
        <w:rPr>
          <w:rFonts w:hint="eastAsia"/>
          <w:spacing w:val="-6"/>
          <w:lang w:eastAsia="zh-CN"/>
        </w:rPr>
        <w:t>款进行</w:t>
      </w:r>
      <w:r w:rsidR="00234D99" w:rsidRPr="00F9240D">
        <w:rPr>
          <w:rFonts w:hint="eastAsia"/>
          <w:spacing w:val="-6"/>
          <w:lang w:eastAsia="zh-CN"/>
        </w:rPr>
        <w:t>审查后，在通知主管部门表明</w:t>
      </w:r>
      <w:r w:rsidR="0086394E" w:rsidRPr="00F9240D">
        <w:rPr>
          <w:rFonts w:hint="eastAsia"/>
          <w:spacing w:val="-6"/>
          <w:lang w:eastAsia="zh-CN"/>
        </w:rPr>
        <w:t>其</w:t>
      </w:r>
      <w:r w:rsidR="00234D99" w:rsidRPr="00F9240D">
        <w:rPr>
          <w:rFonts w:hint="eastAsia"/>
          <w:spacing w:val="-6"/>
          <w:lang w:eastAsia="zh-CN"/>
        </w:rPr>
        <w:t>接受作为审查结果不合格依据的频率指配造成的干扰的条件下，接收电台频率指配的审查结果须为合格。</w:t>
      </w:r>
      <w:r w:rsidRPr="00F9240D">
        <w:rPr>
          <w:spacing w:val="-6"/>
          <w:sz w:val="16"/>
          <w:szCs w:val="16"/>
          <w:lang w:eastAsia="zh-CN"/>
        </w:rPr>
        <w:t> (WRC-15)</w:t>
      </w:r>
    </w:p>
    <w:p w:rsidR="007C75D9" w:rsidRDefault="00DB53D8" w:rsidP="00234D99">
      <w:pPr>
        <w:pStyle w:val="Reasons"/>
        <w:rPr>
          <w:lang w:eastAsia="zh-CN"/>
        </w:rPr>
      </w:pPr>
      <w:r>
        <w:rPr>
          <w:b/>
          <w:lang w:eastAsia="zh-CN"/>
        </w:rPr>
        <w:t>理由：</w:t>
      </w:r>
      <w:r>
        <w:rPr>
          <w:lang w:eastAsia="zh-CN"/>
        </w:rPr>
        <w:tab/>
      </w:r>
      <w:r w:rsidR="00234D99" w:rsidRPr="00234D99">
        <w:rPr>
          <w:rFonts w:hint="eastAsia"/>
          <w:lang w:eastAsia="zh-CN"/>
        </w:rPr>
        <w:t>当通知主管部门在按照第</w:t>
      </w:r>
      <w:r w:rsidR="00234D99" w:rsidRPr="00C64D46">
        <w:rPr>
          <w:lang w:eastAsia="zh-CN"/>
        </w:rPr>
        <w:t>11.32A</w:t>
      </w:r>
      <w:r w:rsidR="00234D99" w:rsidRPr="00234D99">
        <w:rPr>
          <w:rFonts w:hint="eastAsia"/>
          <w:lang w:eastAsia="zh-CN"/>
        </w:rPr>
        <w:t>款进行的审查</w:t>
      </w:r>
      <w:r w:rsidR="00234D99">
        <w:rPr>
          <w:rFonts w:hint="eastAsia"/>
          <w:lang w:eastAsia="zh-CN"/>
        </w:rPr>
        <w:t>后</w:t>
      </w:r>
      <w:r w:rsidR="00234D99" w:rsidRPr="00234D99">
        <w:rPr>
          <w:rFonts w:hint="eastAsia"/>
          <w:lang w:eastAsia="zh-CN"/>
        </w:rPr>
        <w:t>只因受到另一频率指配的有害干扰概率超过《无线电规则》制定的标准</w:t>
      </w:r>
      <w:r w:rsidR="0086394E">
        <w:rPr>
          <w:rFonts w:hint="eastAsia"/>
          <w:lang w:eastAsia="zh-CN"/>
        </w:rPr>
        <w:t>，</w:t>
      </w:r>
      <w:r w:rsidR="00234D99" w:rsidRPr="00234D99">
        <w:rPr>
          <w:rFonts w:hint="eastAsia"/>
          <w:lang w:eastAsia="zh-CN"/>
        </w:rPr>
        <w:t>而产生有害干扰的概率却可以忽略不计得到不合格的审查结果时，允许其接受这种</w:t>
      </w:r>
      <w:bookmarkStart w:id="9" w:name="_GoBack"/>
      <w:bookmarkEnd w:id="9"/>
      <w:r w:rsidR="00234D99" w:rsidRPr="00234D99">
        <w:rPr>
          <w:rFonts w:hint="eastAsia"/>
          <w:lang w:eastAsia="zh-CN"/>
        </w:rPr>
        <w:t>有害干扰的可能性</w:t>
      </w:r>
      <w:r w:rsidR="00234D99">
        <w:rPr>
          <w:rFonts w:hint="eastAsia"/>
          <w:lang w:eastAsia="zh-CN"/>
        </w:rPr>
        <w:t>并以合规的审查结果将频率指配登入</w:t>
      </w:r>
      <w:r w:rsidR="0086394E">
        <w:rPr>
          <w:rFonts w:hint="eastAsia"/>
          <w:lang w:eastAsia="zh-CN"/>
        </w:rPr>
        <w:t>《</w:t>
      </w:r>
      <w:r w:rsidR="0086394E">
        <w:rPr>
          <w:lang w:eastAsia="zh-CN"/>
        </w:rPr>
        <w:t>登记</w:t>
      </w:r>
      <w:r w:rsidR="00234D99">
        <w:rPr>
          <w:rFonts w:hint="eastAsia"/>
          <w:lang w:eastAsia="zh-CN"/>
        </w:rPr>
        <w:t>总表</w:t>
      </w:r>
      <w:r w:rsidR="0086394E">
        <w:rPr>
          <w:rFonts w:hint="eastAsia"/>
          <w:lang w:eastAsia="zh-CN"/>
        </w:rPr>
        <w:t>》</w:t>
      </w:r>
      <w:r w:rsidR="00234D99">
        <w:rPr>
          <w:rFonts w:hint="eastAsia"/>
          <w:lang w:eastAsia="zh-CN"/>
        </w:rPr>
        <w:t>。</w:t>
      </w:r>
    </w:p>
    <w:p w:rsidR="00B80442" w:rsidRDefault="00B80442">
      <w:pPr>
        <w:jc w:val="center"/>
      </w:pPr>
      <w:r>
        <w:t>______________</w:t>
      </w:r>
    </w:p>
    <w:sectPr w:rsidR="00B8044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4E" w:rsidRDefault="00B851D4" w:rsidP="0086394E">
    <w:pPr>
      <w:pStyle w:val="Footer"/>
    </w:pPr>
    <w:r>
      <w:fldChar w:fldCharType="begin"/>
    </w:r>
    <w:r w:rsidRPr="00DA0469">
      <w:rPr>
        <w:lang w:val="en-US"/>
      </w:rPr>
      <w:instrText xml:space="preserve"> FILENAME \p \* MERGEFORMAT </w:instrText>
    </w:r>
    <w:r w:rsidR="00472622">
      <w:fldChar w:fldCharType="separate"/>
    </w:r>
    <w:r w:rsidR="00472622">
      <w:rPr>
        <w:lang w:val="en-US"/>
      </w:rPr>
      <w:t>P:\CHI\ITU-R\CONF-R\CMR15\000\009ADD21ADD13C.docx</w:t>
    </w:r>
    <w:r>
      <w:fldChar w:fldCharType="end"/>
    </w:r>
    <w:r w:rsidR="00472622">
      <w:fldChar w:fldCharType="begin"/>
    </w:r>
    <w:r w:rsidR="00472622">
      <w:instrText xml:space="preserve"> FILENAME \p  \* MERGEFORMAT </w:instrText>
    </w:r>
    <w:r w:rsidR="00472622">
      <w:fldChar w:fldCharType="separate"/>
    </w:r>
    <w:r w:rsidR="00472622">
      <w:t>P:\CHI\ITU-R\CONF-R\CMR15\000\009ADD21ADD13C.docx</w:t>
    </w:r>
    <w:r w:rsidR="00472622">
      <w:fldChar w:fldCharType="end"/>
    </w:r>
    <w:r w:rsidR="0086394E">
      <w:rPr>
        <w:lang w:val="en-US"/>
      </w:rPr>
      <w:t xml:space="preserve"> (388275)</w:t>
    </w:r>
    <w:r w:rsidR="0086394E">
      <w:tab/>
    </w:r>
    <w:r w:rsidR="0086394E">
      <w:fldChar w:fldCharType="begin"/>
    </w:r>
    <w:r w:rsidR="0086394E">
      <w:instrText xml:space="preserve"> SAVEDATE \@ DD.MM.YY </w:instrText>
    </w:r>
    <w:r w:rsidR="0086394E">
      <w:fldChar w:fldCharType="separate"/>
    </w:r>
    <w:r w:rsidR="00472622">
      <w:t>26.10.15</w:t>
    </w:r>
    <w:r w:rsidR="0086394E">
      <w:fldChar w:fldCharType="end"/>
    </w:r>
    <w:r w:rsidR="0086394E">
      <w:tab/>
    </w:r>
    <w:r w:rsidR="0086394E">
      <w:fldChar w:fldCharType="begin"/>
    </w:r>
    <w:r w:rsidR="0086394E">
      <w:instrText xml:space="preserve"> PRINTDATE \@ DD.MM.YY </w:instrText>
    </w:r>
    <w:r w:rsidR="0086394E">
      <w:fldChar w:fldCharType="separate"/>
    </w:r>
    <w:r w:rsidR="00472622">
      <w:t>26.10.15</w:t>
    </w:r>
    <w:r w:rsidR="0086394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4E" w:rsidRDefault="00C64D46">
    <w:pPr>
      <w:pStyle w:val="Footer"/>
    </w:pPr>
    <w:fldSimple w:instr=" FILENAME \p  \* MERGEFORMAT ">
      <w:r w:rsidR="00472622">
        <w:t>P:\CHI\ITU-R\CONF-R\CMR15\000\009ADD21ADD13C.docx</w:t>
      </w:r>
    </w:fldSimple>
    <w:r w:rsidR="0086394E">
      <w:rPr>
        <w:lang w:val="en-US"/>
      </w:rPr>
      <w:t xml:space="preserve"> (388275)</w:t>
    </w:r>
    <w:r w:rsidR="0086394E">
      <w:tab/>
    </w:r>
    <w:r w:rsidR="0086394E">
      <w:fldChar w:fldCharType="begin"/>
    </w:r>
    <w:r w:rsidR="0086394E">
      <w:instrText xml:space="preserve"> SAVEDATE \@ DD.MM.YY </w:instrText>
    </w:r>
    <w:r w:rsidR="0086394E">
      <w:fldChar w:fldCharType="separate"/>
    </w:r>
    <w:r w:rsidR="00472622">
      <w:t>26.10.15</w:t>
    </w:r>
    <w:r w:rsidR="0086394E">
      <w:fldChar w:fldCharType="end"/>
    </w:r>
    <w:r w:rsidR="0086394E">
      <w:tab/>
    </w:r>
    <w:r w:rsidR="0086394E">
      <w:fldChar w:fldCharType="begin"/>
    </w:r>
    <w:r w:rsidR="0086394E">
      <w:instrText xml:space="preserve"> PRINTDATE \@ DD.MM.YY </w:instrText>
    </w:r>
    <w:r w:rsidR="0086394E">
      <w:fldChar w:fldCharType="separate"/>
    </w:r>
    <w:r w:rsidR="00472622">
      <w:t>26.10.15</w:t>
    </w:r>
    <w:r w:rsidR="0086394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72622">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9(Add.21)(Add.13)-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2D10"/>
    <w:rsid w:val="00037C90"/>
    <w:rsid w:val="000C09BA"/>
    <w:rsid w:val="000C1F1E"/>
    <w:rsid w:val="000C6AA7"/>
    <w:rsid w:val="000E26F6"/>
    <w:rsid w:val="00123C07"/>
    <w:rsid w:val="00137A6C"/>
    <w:rsid w:val="00166859"/>
    <w:rsid w:val="001765EC"/>
    <w:rsid w:val="001853E8"/>
    <w:rsid w:val="001B6360"/>
    <w:rsid w:val="001F4EA6"/>
    <w:rsid w:val="00214959"/>
    <w:rsid w:val="002260A6"/>
    <w:rsid w:val="00234D99"/>
    <w:rsid w:val="002742B3"/>
    <w:rsid w:val="002A4C9C"/>
    <w:rsid w:val="002B509B"/>
    <w:rsid w:val="002E2A59"/>
    <w:rsid w:val="002E4507"/>
    <w:rsid w:val="00305254"/>
    <w:rsid w:val="003169D2"/>
    <w:rsid w:val="00333DEF"/>
    <w:rsid w:val="003B4BEF"/>
    <w:rsid w:val="003C6B45"/>
    <w:rsid w:val="0041282E"/>
    <w:rsid w:val="00437869"/>
    <w:rsid w:val="00465A34"/>
    <w:rsid w:val="00472622"/>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C75D9"/>
    <w:rsid w:val="007F0FC5"/>
    <w:rsid w:val="007F5C36"/>
    <w:rsid w:val="008047DB"/>
    <w:rsid w:val="008129A9"/>
    <w:rsid w:val="008221A4"/>
    <w:rsid w:val="00824BD6"/>
    <w:rsid w:val="0083672D"/>
    <w:rsid w:val="00844734"/>
    <w:rsid w:val="0086394E"/>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059DC"/>
    <w:rsid w:val="00B711CC"/>
    <w:rsid w:val="00B80442"/>
    <w:rsid w:val="00B851D4"/>
    <w:rsid w:val="00B868FC"/>
    <w:rsid w:val="00B95072"/>
    <w:rsid w:val="00BB26CD"/>
    <w:rsid w:val="00C07239"/>
    <w:rsid w:val="00C364B1"/>
    <w:rsid w:val="00C47D87"/>
    <w:rsid w:val="00C627F9"/>
    <w:rsid w:val="00C64D46"/>
    <w:rsid w:val="00C6584D"/>
    <w:rsid w:val="00C929E0"/>
    <w:rsid w:val="00CB4E5A"/>
    <w:rsid w:val="00CC73D7"/>
    <w:rsid w:val="00CD7774"/>
    <w:rsid w:val="00CF0AD7"/>
    <w:rsid w:val="00CF0BE1"/>
    <w:rsid w:val="00D52A14"/>
    <w:rsid w:val="00D6206A"/>
    <w:rsid w:val="00D74599"/>
    <w:rsid w:val="00DA0469"/>
    <w:rsid w:val="00DB53D8"/>
    <w:rsid w:val="00DD13B7"/>
    <w:rsid w:val="00DF3B0C"/>
    <w:rsid w:val="00E14984"/>
    <w:rsid w:val="00E22A25"/>
    <w:rsid w:val="00E560F1"/>
    <w:rsid w:val="00E92319"/>
    <w:rsid w:val="00EB5B81"/>
    <w:rsid w:val="00F0117E"/>
    <w:rsid w:val="00F60BF5"/>
    <w:rsid w:val="00F837F4"/>
    <w:rsid w:val="00F9240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ADA4A5-E9AE-44DF-B625-8C41AE56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uiPriority w:val="1"/>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AC5242D3-98CB-4922-BF93-9E8C5CB5D14D}">
  <ds:schemaRefs>
    <ds:schemaRef ds:uri="http://purl.org/dc/dcmitype/"/>
    <ds:schemaRef ds:uri="http://schemas.microsoft.com/office/2006/documentManagement/types"/>
    <ds:schemaRef ds:uri="996b2e75-67fd-4955-a3b0-5ab9934cb50b"/>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1201</Words>
  <Characters>1402</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R15-WRC15-C-0009!A21-A13!MSW-C</vt:lpstr>
    </vt:vector>
  </TitlesOfParts>
  <Manager>General Secretariat - Pool</Manager>
  <Company>International Telecommunication Union (ITU)</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R15-WRC15-C-0009!A21-A13!MSW-C</dc:title>
  <dc:subject>World Radiocommunication Conference - 2015</dc:subject>
  <dc:creator>Documents Proposals Manager (DPM)</dc:creator>
  <cp:keywords>DPM_v5.2015.10.15_prod</cp:keywords>
  <dc:description/>
  <cp:lastModifiedBy>Li, Jianying</cp:lastModifiedBy>
  <cp:revision>7</cp:revision>
  <cp:lastPrinted>2015-10-26T10:52:00Z</cp:lastPrinted>
  <dcterms:created xsi:type="dcterms:W3CDTF">2015-10-22T09:54:00Z</dcterms:created>
  <dcterms:modified xsi:type="dcterms:W3CDTF">2015-10-26T10:52:00Z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