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6704E9" w:rsidTr="0050008E">
        <w:trPr>
          <w:cantSplit/>
        </w:trPr>
        <w:tc>
          <w:tcPr>
            <w:tcW w:w="6911" w:type="dxa"/>
          </w:tcPr>
          <w:p w:rsidR="0090121B" w:rsidRPr="006704E9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6704E9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6704E9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6704E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6704E9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6704E9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704E9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6704E9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6704E9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6704E9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6704E9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6704E9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6704E9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6704E9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6704E9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bookmarkStart w:id="2" w:name="_GoBack"/>
            <w:bookmarkEnd w:id="2"/>
            <w:r w:rsidRPr="006704E9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6704E9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6704E9">
              <w:rPr>
                <w:rFonts w:ascii="Verdana" w:eastAsia="SimSun" w:hAnsi="Verdana" w:cs="Traditional Arabic"/>
                <w:b/>
                <w:sz w:val="20"/>
              </w:rPr>
              <w:t>Addéndum 12 al</w:t>
            </w:r>
            <w:r w:rsidRPr="006704E9">
              <w:rPr>
                <w:rFonts w:ascii="Verdana" w:eastAsia="SimSun" w:hAnsi="Verdana" w:cs="Traditional Arabic"/>
                <w:b/>
                <w:sz w:val="20"/>
              </w:rPr>
              <w:br/>
              <w:t>Documento 9(Add.21)</w:t>
            </w:r>
            <w:r w:rsidR="0090121B" w:rsidRPr="006704E9">
              <w:rPr>
                <w:rFonts w:ascii="Verdana" w:hAnsi="Verdana"/>
                <w:b/>
                <w:sz w:val="20"/>
              </w:rPr>
              <w:t>-</w:t>
            </w:r>
            <w:r w:rsidRPr="006704E9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6704E9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6704E9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6704E9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704E9">
              <w:rPr>
                <w:rFonts w:ascii="Verdana" w:hAnsi="Verdana"/>
                <w:b/>
                <w:sz w:val="20"/>
              </w:rPr>
              <w:t>15 de octubre de 2015</w:t>
            </w:r>
          </w:p>
        </w:tc>
      </w:tr>
      <w:tr w:rsidR="000A5B9A" w:rsidRPr="006704E9" w:rsidTr="0090121B">
        <w:trPr>
          <w:cantSplit/>
        </w:trPr>
        <w:tc>
          <w:tcPr>
            <w:tcW w:w="6911" w:type="dxa"/>
          </w:tcPr>
          <w:p w:rsidR="000A5B9A" w:rsidRPr="006704E9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6704E9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704E9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6704E9" w:rsidTr="006744FC">
        <w:trPr>
          <w:cantSplit/>
        </w:trPr>
        <w:tc>
          <w:tcPr>
            <w:tcW w:w="10031" w:type="dxa"/>
            <w:gridSpan w:val="2"/>
          </w:tcPr>
          <w:p w:rsidR="000A5B9A" w:rsidRPr="006704E9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6704E9" w:rsidTr="0050008E">
        <w:trPr>
          <w:cantSplit/>
        </w:trPr>
        <w:tc>
          <w:tcPr>
            <w:tcW w:w="10031" w:type="dxa"/>
            <w:gridSpan w:val="2"/>
          </w:tcPr>
          <w:p w:rsidR="000A5B9A" w:rsidRPr="006704E9" w:rsidRDefault="000A5B9A" w:rsidP="000A5B9A">
            <w:pPr>
              <w:pStyle w:val="Source"/>
            </w:pPr>
            <w:bookmarkStart w:id="3" w:name="dsource" w:colFirst="0" w:colLast="0"/>
            <w:r w:rsidRPr="006704E9">
              <w:t>Propuestas Comunes Europeas</w:t>
            </w:r>
          </w:p>
        </w:tc>
      </w:tr>
      <w:tr w:rsidR="000A5B9A" w:rsidRPr="006704E9" w:rsidTr="0050008E">
        <w:trPr>
          <w:cantSplit/>
        </w:trPr>
        <w:tc>
          <w:tcPr>
            <w:tcW w:w="10031" w:type="dxa"/>
            <w:gridSpan w:val="2"/>
          </w:tcPr>
          <w:p w:rsidR="000A5B9A" w:rsidRPr="006704E9" w:rsidRDefault="006704E9" w:rsidP="000A5B9A">
            <w:pPr>
              <w:pStyle w:val="Title1"/>
            </w:pPr>
            <w:bookmarkStart w:id="4" w:name="dtitle1" w:colFirst="0" w:colLast="0"/>
            <w:bookmarkEnd w:id="3"/>
            <w:r w:rsidRPr="006704E9">
              <w:t>propuestas para los trabajos de la conferencia</w:t>
            </w:r>
          </w:p>
        </w:tc>
      </w:tr>
      <w:tr w:rsidR="000A5B9A" w:rsidRPr="006704E9" w:rsidTr="0050008E">
        <w:trPr>
          <w:cantSplit/>
        </w:trPr>
        <w:tc>
          <w:tcPr>
            <w:tcW w:w="10031" w:type="dxa"/>
            <w:gridSpan w:val="2"/>
          </w:tcPr>
          <w:p w:rsidR="000A5B9A" w:rsidRPr="006704E9" w:rsidRDefault="000A5B9A" w:rsidP="000A5B9A">
            <w:pPr>
              <w:pStyle w:val="Title2"/>
            </w:pPr>
            <w:bookmarkStart w:id="5" w:name="dtitle2" w:colFirst="0" w:colLast="0"/>
            <w:bookmarkEnd w:id="4"/>
          </w:p>
        </w:tc>
      </w:tr>
      <w:tr w:rsidR="000A5B9A" w:rsidRPr="006704E9" w:rsidTr="0050008E">
        <w:trPr>
          <w:cantSplit/>
        </w:trPr>
        <w:tc>
          <w:tcPr>
            <w:tcW w:w="10031" w:type="dxa"/>
            <w:gridSpan w:val="2"/>
          </w:tcPr>
          <w:p w:rsidR="000A5B9A" w:rsidRPr="006704E9" w:rsidRDefault="000A5B9A" w:rsidP="000A5B9A">
            <w:pPr>
              <w:pStyle w:val="Agendaitem"/>
            </w:pPr>
            <w:bookmarkStart w:id="6" w:name="dtitle3" w:colFirst="0" w:colLast="0"/>
            <w:bookmarkEnd w:id="5"/>
            <w:r w:rsidRPr="006704E9">
              <w:t>Punto 7(L) del orden del día</w:t>
            </w:r>
          </w:p>
        </w:tc>
      </w:tr>
    </w:tbl>
    <w:bookmarkEnd w:id="6"/>
    <w:p w:rsidR="001C0E40" w:rsidRPr="006704E9" w:rsidRDefault="006704E9" w:rsidP="00512F4E">
      <w:r w:rsidRPr="006704E9">
        <w:t>7</w:t>
      </w:r>
      <w:r w:rsidRPr="006704E9">
        <w:tab/>
        <w:t xml:space="preserve">considerar posibles modificaciones y otras opciones como consecuencia de la Resolución 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6704E9">
        <w:rPr>
          <w:b/>
          <w:bCs/>
        </w:rPr>
        <w:t>86 (Rev.CMR-07)</w:t>
      </w:r>
      <w:r w:rsidRPr="006704E9">
        <w:t>, para facilitar la utilización racional, eficaz y económica de las frecuencias radioeléctricas y toda órbita asociada, incluida la órbita de los satélites geoestacionarios;</w:t>
      </w:r>
    </w:p>
    <w:p w:rsidR="002C42D7" w:rsidRPr="006704E9" w:rsidRDefault="006704E9" w:rsidP="00515B19">
      <w:r w:rsidRPr="006704E9">
        <w:t xml:space="preserve">7(L) </w:t>
      </w:r>
      <w:r w:rsidRPr="006704E9">
        <w:tab/>
        <w:t xml:space="preserve">Tema L – Modificación de ciertas disposiciones de los Apéndices </w:t>
      </w:r>
      <w:r w:rsidRPr="006704E9">
        <w:rPr>
          <w:b/>
          <w:bCs/>
        </w:rPr>
        <w:t>30</w:t>
      </w:r>
      <w:r w:rsidRPr="006704E9">
        <w:t xml:space="preserve"> y </w:t>
      </w:r>
      <w:r w:rsidRPr="006704E9">
        <w:rPr>
          <w:b/>
          <w:bCs/>
        </w:rPr>
        <w:t>30A</w:t>
      </w:r>
      <w:r w:rsidRPr="006704E9">
        <w:t xml:space="preserve"> del Artículo</w:t>
      </w:r>
      <w:r w:rsidR="00515B19">
        <w:t> </w:t>
      </w:r>
      <w:r w:rsidRPr="006704E9">
        <w:t xml:space="preserve">4 del RR para las Regiones 1 y 3, es decir, sustituir el acuerdo tácito por el acuerdo explícito o alinear las disposiciones de los Apéndices </w:t>
      </w:r>
      <w:r w:rsidRPr="006704E9">
        <w:rPr>
          <w:b/>
          <w:bCs/>
        </w:rPr>
        <w:t>30</w:t>
      </w:r>
      <w:r w:rsidRPr="006704E9">
        <w:t xml:space="preserve"> y </w:t>
      </w:r>
      <w:r w:rsidRPr="006704E9">
        <w:rPr>
          <w:b/>
          <w:bCs/>
        </w:rPr>
        <w:t>30A</w:t>
      </w:r>
      <w:r w:rsidRPr="006704E9">
        <w:t xml:space="preserve"> para las Regiones 1 y 3 con las del Apéndice </w:t>
      </w:r>
      <w:r w:rsidRPr="006704E9">
        <w:rPr>
          <w:b/>
          <w:bCs/>
        </w:rPr>
        <w:t>30B</w:t>
      </w:r>
    </w:p>
    <w:p w:rsidR="006704E9" w:rsidRPr="00E248EA" w:rsidRDefault="006704E9" w:rsidP="00E248EA">
      <w:pPr>
        <w:pStyle w:val="Headingb"/>
      </w:pPr>
      <w:r w:rsidRPr="00E248EA">
        <w:t>Introducción</w:t>
      </w:r>
    </w:p>
    <w:p w:rsidR="006704E9" w:rsidRPr="006704E9" w:rsidRDefault="006704E9" w:rsidP="006704E9">
      <w:r w:rsidRPr="006704E9">
        <w:t xml:space="preserve">El acuerdo tácito de las administraciones cuyos servicios se consideran afectados, ha sido la base de los Apéndices 30 y 30A desde que fueron establecidos por la CAMR-77 y la CAMR-83. Desde entonces el asunto del acuerdo de las administraciones y sus correspondientes </w:t>
      </w:r>
      <w:r w:rsidRPr="006704E9">
        <w:rPr>
          <w:cs/>
        </w:rPr>
        <w:t>‎</w:t>
      </w:r>
      <w:r w:rsidRPr="006704E9">
        <w:t xml:space="preserve">consecuencias se han debatido ampliamente en anteriores CMR, dando lugar a diferentes </w:t>
      </w:r>
      <w:r w:rsidRPr="006704E9">
        <w:rPr>
          <w:cs/>
        </w:rPr>
        <w:t>‎</w:t>
      </w:r>
      <w:r w:rsidRPr="006704E9">
        <w:t xml:space="preserve">modificaciones reglamentarias en los Apéndices 30, 30A y 30B, que reflejan el delicado </w:t>
      </w:r>
      <w:r w:rsidRPr="006704E9">
        <w:rPr>
          <w:cs/>
        </w:rPr>
        <w:t>‎</w:t>
      </w:r>
      <w:r w:rsidRPr="006704E9">
        <w:t xml:space="preserve">compromiso alcanzado en esas Conferencias. </w:t>
      </w:r>
    </w:p>
    <w:p w:rsidR="006704E9" w:rsidRPr="006704E9" w:rsidRDefault="006704E9" w:rsidP="00515B19">
      <w:r w:rsidRPr="006704E9">
        <w:t xml:space="preserve">Europa señala que el acuerdo táctico se adoptó en los Apéndices 30 y 30A junto con un conjunto de umbrales de coordinación. Cambiar un procedimiento reglamentario como éste no puede realizarse sin considerar unos </w:t>
      </w:r>
      <w:r w:rsidRPr="006704E9">
        <w:rPr>
          <w:color w:val="000000"/>
        </w:rPr>
        <w:t>umbrales de coordinación diferentes. Desde una perspectiva más amplia, Europa también señala que pueden existir otros métodos, para realizar la armonización de las disposiciones del Artículo 6 del Apéndice 30B con las disposicione</w:t>
      </w:r>
      <w:r>
        <w:rPr>
          <w:color w:val="000000"/>
        </w:rPr>
        <w:t>s correspondientes del Artículo </w:t>
      </w:r>
      <w:r w:rsidRPr="006704E9">
        <w:rPr>
          <w:color w:val="000000"/>
        </w:rPr>
        <w:t xml:space="preserve">4 de los Apéndices 30 y 30A, mejores que los métodos incorporados al Informe de la RPC para la CMR-15 en el </w:t>
      </w:r>
      <w:r w:rsidR="00515B19">
        <w:rPr>
          <w:color w:val="000000"/>
        </w:rPr>
        <w:t>T</w:t>
      </w:r>
      <w:r w:rsidRPr="006704E9">
        <w:rPr>
          <w:color w:val="000000"/>
        </w:rPr>
        <w:t xml:space="preserve">ema L del </w:t>
      </w:r>
      <w:r w:rsidR="00515B19">
        <w:rPr>
          <w:color w:val="000000"/>
        </w:rPr>
        <w:t>p</w:t>
      </w:r>
      <w:r w:rsidRPr="006704E9">
        <w:rPr>
          <w:color w:val="000000"/>
        </w:rPr>
        <w:t>unto 7 del orden del día de la CMR-15. Por lo tanto, Europa propone que no se modifique el RR para resolver este problema.</w:t>
      </w:r>
    </w:p>
    <w:p w:rsidR="00363A65" w:rsidRDefault="006704E9" w:rsidP="00515B19">
      <w:pPr>
        <w:rPr>
          <w:rtl/>
          <w:cs/>
        </w:rPr>
      </w:pPr>
      <w:r w:rsidRPr="006704E9">
        <w:t xml:space="preserve">La propuesta </w:t>
      </w:r>
      <w:r w:rsidR="00515B19">
        <w:t>E</w:t>
      </w:r>
      <w:r w:rsidRPr="006704E9">
        <w:t xml:space="preserve">uropea de no modificar el RR corresponde con el Método L3 del Informe de la RPC para el </w:t>
      </w:r>
      <w:r w:rsidR="00515B19">
        <w:t>T</w:t>
      </w:r>
      <w:r w:rsidRPr="006704E9">
        <w:t xml:space="preserve">ema L del </w:t>
      </w:r>
      <w:r w:rsidR="00515B19">
        <w:t>p</w:t>
      </w:r>
      <w:r w:rsidRPr="006704E9">
        <w:t>unto 7 del orden del día de la CMR-15</w:t>
      </w:r>
      <w:r w:rsidRPr="006704E9">
        <w:rPr>
          <w:cs/>
        </w:rPr>
        <w:t>‎</w:t>
      </w:r>
      <w:r w:rsidR="00E76E22">
        <w:rPr>
          <w:rFonts w:hint="cs"/>
          <w:rtl/>
          <w:cs/>
        </w:rPr>
        <w:t>.</w:t>
      </w:r>
    </w:p>
    <w:p w:rsidR="008750A8" w:rsidRPr="00E248EA" w:rsidRDefault="00E76E22" w:rsidP="00E248EA">
      <w:pPr>
        <w:pStyle w:val="Headingb"/>
      </w:pPr>
      <w:r w:rsidRPr="00E248EA">
        <w:lastRenderedPageBreak/>
        <w:t>Propuestas</w:t>
      </w:r>
    </w:p>
    <w:p w:rsidR="00500DDD" w:rsidRPr="006704E9" w:rsidRDefault="006704E9">
      <w:pPr>
        <w:pStyle w:val="Proposal"/>
      </w:pPr>
      <w:r w:rsidRPr="006704E9">
        <w:rPr>
          <w:u w:val="single"/>
        </w:rPr>
        <w:t>NOC</w:t>
      </w:r>
      <w:r w:rsidRPr="006704E9">
        <w:tab/>
        <w:t>EUR/9A21A12/1</w:t>
      </w:r>
    </w:p>
    <w:p w:rsidR="0043631E" w:rsidRPr="006704E9" w:rsidRDefault="006704E9" w:rsidP="006704E9">
      <w:pPr>
        <w:pStyle w:val="AppendixNo"/>
        <w:spacing w:before="240"/>
        <w:rPr>
          <w:vertAlign w:val="superscript"/>
        </w:rPr>
      </w:pPr>
      <w:r w:rsidRPr="006704E9">
        <w:t xml:space="preserve">APÉNDICE </w:t>
      </w:r>
      <w:r w:rsidRPr="006704E9">
        <w:rPr>
          <w:rStyle w:val="href"/>
          <w:color w:val="000000"/>
        </w:rPr>
        <w:t xml:space="preserve">30 </w:t>
      </w:r>
      <w:r w:rsidRPr="006704E9">
        <w:t>(</w:t>
      </w:r>
      <w:r w:rsidRPr="006704E9">
        <w:rPr>
          <w:caps w:val="0"/>
        </w:rPr>
        <w:t>REV</w:t>
      </w:r>
      <w:r w:rsidRPr="006704E9">
        <w:t>.CMR-12)</w:t>
      </w:r>
      <w:r w:rsidRPr="006704E9">
        <w:rPr>
          <w:vertAlign w:val="superscript"/>
        </w:rPr>
        <w:t>*</w:t>
      </w:r>
    </w:p>
    <w:p w:rsidR="0043631E" w:rsidRPr="006704E9" w:rsidRDefault="006704E9" w:rsidP="006704E9">
      <w:pPr>
        <w:pStyle w:val="Appendixtitle"/>
        <w:rPr>
          <w:b w:val="0"/>
          <w:bCs/>
          <w:color w:val="000000"/>
          <w:sz w:val="16"/>
        </w:rPr>
      </w:pPr>
      <w:r w:rsidRPr="006704E9">
        <w:rPr>
          <w:color w:val="000000"/>
        </w:rPr>
        <w:t>Disposiciones aplicables a todos los servicios y Planes y Lista</w:t>
      </w:r>
      <w:r w:rsidRPr="006704E9">
        <w:rPr>
          <w:color w:val="000000"/>
          <w:vertAlign w:val="superscript"/>
        </w:rPr>
        <w:t>1</w:t>
      </w:r>
      <w:r w:rsidRPr="006704E9">
        <w:rPr>
          <w:color w:val="000000"/>
        </w:rPr>
        <w:t xml:space="preserve"> asociados</w:t>
      </w:r>
      <w:r w:rsidRPr="006704E9">
        <w:rPr>
          <w:color w:val="000000"/>
        </w:rPr>
        <w:br/>
        <w:t>para el servicio de radiodifusión por satélite en las bandas de</w:t>
      </w:r>
      <w:r w:rsidRPr="006704E9">
        <w:rPr>
          <w:color w:val="000000"/>
        </w:rPr>
        <w:br/>
        <w:t>frecuencias 11,7</w:t>
      </w:r>
      <w:r w:rsidRPr="006704E9">
        <w:rPr>
          <w:color w:val="000000"/>
        </w:rPr>
        <w:noBreakHyphen/>
        <w:t>12,2 GHz (en la Región 3), 11,7-12,5 GHz</w:t>
      </w:r>
      <w:r w:rsidRPr="006704E9">
        <w:rPr>
          <w:color w:val="000000"/>
        </w:rPr>
        <w:br/>
        <w:t>            (en la Región 1) y 12,2</w:t>
      </w:r>
      <w:r w:rsidRPr="006704E9">
        <w:rPr>
          <w:color w:val="000000"/>
        </w:rPr>
        <w:noBreakHyphen/>
        <w:t>12,7 GHz (en la Región 2)</w:t>
      </w:r>
      <w:r w:rsidRPr="006704E9">
        <w:rPr>
          <w:b w:val="0"/>
          <w:bCs/>
          <w:color w:val="000000"/>
          <w:sz w:val="16"/>
        </w:rPr>
        <w:t>     </w:t>
      </w:r>
      <w:r w:rsidRPr="006704E9">
        <w:rPr>
          <w:rFonts w:ascii="Times New Roman"/>
          <w:b w:val="0"/>
          <w:bCs/>
          <w:color w:val="000000"/>
          <w:sz w:val="16"/>
        </w:rPr>
        <w:t>(CMR</w:t>
      </w:r>
      <w:r w:rsidRPr="006704E9">
        <w:rPr>
          <w:rFonts w:ascii="Times New Roman"/>
          <w:b w:val="0"/>
          <w:bCs/>
          <w:color w:val="000000"/>
          <w:sz w:val="16"/>
        </w:rPr>
        <w:noBreakHyphen/>
        <w:t>03)</w:t>
      </w:r>
    </w:p>
    <w:p w:rsidR="00500DDD" w:rsidRPr="006704E9" w:rsidRDefault="006704E9">
      <w:pPr>
        <w:pStyle w:val="Reasons"/>
      </w:pPr>
      <w:r w:rsidRPr="006704E9">
        <w:rPr>
          <w:b/>
        </w:rPr>
        <w:t>Motivos:</w:t>
      </w:r>
      <w:r w:rsidRPr="006704E9">
        <w:tab/>
        <w:t>El acuerdo táctico se aprobó en el Apéndice 30 como parte de un compromiso global durante el establecimiento y posteriores revisiones de este Apéndice en las CMR anteriores.</w:t>
      </w:r>
    </w:p>
    <w:p w:rsidR="00500DDD" w:rsidRPr="006704E9" w:rsidRDefault="006704E9">
      <w:pPr>
        <w:pStyle w:val="Proposal"/>
      </w:pPr>
      <w:r w:rsidRPr="006704E9">
        <w:rPr>
          <w:u w:val="single"/>
        </w:rPr>
        <w:t>NOC</w:t>
      </w:r>
      <w:r w:rsidRPr="006704E9">
        <w:tab/>
        <w:t>EUR/9A21A12/2</w:t>
      </w:r>
    </w:p>
    <w:p w:rsidR="0043631E" w:rsidRPr="006704E9" w:rsidRDefault="006704E9" w:rsidP="006704E9">
      <w:pPr>
        <w:pStyle w:val="AppendixNo"/>
        <w:spacing w:before="0"/>
        <w:rPr>
          <w:rStyle w:val="FootnoteReference"/>
        </w:rPr>
      </w:pPr>
      <w:r w:rsidRPr="006704E9">
        <w:rPr>
          <w:color w:val="000000"/>
        </w:rPr>
        <w:t xml:space="preserve">APÉNDICE </w:t>
      </w:r>
      <w:r w:rsidRPr="006704E9">
        <w:rPr>
          <w:rStyle w:val="href"/>
          <w:color w:val="000000"/>
        </w:rPr>
        <w:t>30A</w:t>
      </w:r>
      <w:r w:rsidRPr="006704E9">
        <w:rPr>
          <w:b/>
          <w:bCs/>
          <w:color w:val="000000"/>
        </w:rPr>
        <w:t> </w:t>
      </w:r>
      <w:r w:rsidRPr="006704E9">
        <w:rPr>
          <w:color w:val="000000"/>
        </w:rPr>
        <w:t>(</w:t>
      </w:r>
      <w:r w:rsidRPr="006704E9">
        <w:rPr>
          <w:caps w:val="0"/>
          <w:color w:val="000000"/>
        </w:rPr>
        <w:t>REV</w:t>
      </w:r>
      <w:r w:rsidRPr="006704E9">
        <w:rPr>
          <w:color w:val="000000"/>
        </w:rPr>
        <w:t>.CMR-12)</w:t>
      </w:r>
      <w:r w:rsidRPr="006704E9">
        <w:rPr>
          <w:vertAlign w:val="superscript"/>
        </w:rPr>
        <w:t>*</w:t>
      </w:r>
    </w:p>
    <w:p w:rsidR="0043631E" w:rsidRPr="006704E9" w:rsidRDefault="006704E9" w:rsidP="006704E9">
      <w:pPr>
        <w:pStyle w:val="Appendixtitle"/>
        <w:rPr>
          <w:rFonts w:asciiTheme="majorBidi" w:hAnsiTheme="majorBidi" w:cstheme="majorBidi"/>
          <w:b w:val="0"/>
          <w:bCs/>
          <w:sz w:val="16"/>
        </w:rPr>
      </w:pPr>
      <w:r w:rsidRPr="006704E9">
        <w:rPr>
          <w:color w:val="000000"/>
        </w:rPr>
        <w:t>Disposiciones y Planes asociados y Lista</w:t>
      </w:r>
      <w:r w:rsidRPr="006704E9">
        <w:rPr>
          <w:color w:val="000000"/>
          <w:vertAlign w:val="superscript"/>
        </w:rPr>
        <w:t>1</w:t>
      </w:r>
      <w:r w:rsidRPr="006704E9">
        <w:rPr>
          <w:color w:val="000000"/>
        </w:rPr>
        <w:t xml:space="preserve"> para los enlaces de conexión del</w:t>
      </w:r>
      <w:r w:rsidRPr="006704E9">
        <w:rPr>
          <w:color w:val="000000"/>
        </w:rPr>
        <w:br/>
        <w:t>servicio de radiodifusión por satélite (11,7</w:t>
      </w:r>
      <w:r w:rsidRPr="006704E9">
        <w:rPr>
          <w:color w:val="000000"/>
        </w:rPr>
        <w:noBreakHyphen/>
        <w:t>12,5 GHz en la Región 1,</w:t>
      </w:r>
      <w:r w:rsidRPr="006704E9">
        <w:rPr>
          <w:color w:val="000000"/>
        </w:rPr>
        <w:br/>
        <w:t>12,2</w:t>
      </w:r>
      <w:r w:rsidRPr="006704E9">
        <w:rPr>
          <w:color w:val="000000"/>
        </w:rPr>
        <w:noBreakHyphen/>
        <w:t>12,7 GHz en la Región 2 y 11,7</w:t>
      </w:r>
      <w:r w:rsidRPr="006704E9">
        <w:rPr>
          <w:color w:val="000000"/>
        </w:rPr>
        <w:noBreakHyphen/>
        <w:t>12,2 GHz en la Región 3) en</w:t>
      </w:r>
      <w:r w:rsidRPr="006704E9">
        <w:rPr>
          <w:color w:val="000000"/>
        </w:rPr>
        <w:br/>
        <w:t>las bandas de frecuencias 14,5-14,8 GHz</w:t>
      </w:r>
      <w:r w:rsidRPr="006704E9">
        <w:rPr>
          <w:color w:val="000000"/>
          <w:vertAlign w:val="superscript"/>
        </w:rPr>
        <w:t>2</w:t>
      </w:r>
      <w:r w:rsidRPr="006704E9">
        <w:rPr>
          <w:color w:val="000000"/>
        </w:rPr>
        <w:t xml:space="preserve"> y 17,3</w:t>
      </w:r>
      <w:r w:rsidRPr="006704E9">
        <w:rPr>
          <w:color w:val="000000"/>
        </w:rPr>
        <w:noBreakHyphen/>
        <w:t>18,1 GHz en</w:t>
      </w:r>
      <w:r w:rsidRPr="006704E9">
        <w:rPr>
          <w:color w:val="000000"/>
        </w:rPr>
        <w:br/>
        <w:t>las Regiones 1 y 3, y 17,3</w:t>
      </w:r>
      <w:r w:rsidRPr="006704E9">
        <w:rPr>
          <w:color w:val="000000"/>
        </w:rPr>
        <w:noBreakHyphen/>
        <w:t>17,8 GHz en la Región 2</w:t>
      </w:r>
      <w:r w:rsidRPr="006704E9">
        <w:rPr>
          <w:b w:val="0"/>
          <w:bCs/>
          <w:color w:val="000000"/>
          <w:sz w:val="20"/>
        </w:rPr>
        <w:t>     </w:t>
      </w:r>
      <w:r w:rsidRPr="006704E9">
        <w:rPr>
          <w:rFonts w:asciiTheme="majorBidi" w:hAnsiTheme="majorBidi" w:cstheme="majorBidi"/>
          <w:b w:val="0"/>
          <w:bCs/>
          <w:sz w:val="16"/>
        </w:rPr>
        <w:t>(CMR</w:t>
      </w:r>
      <w:r w:rsidRPr="006704E9">
        <w:rPr>
          <w:rFonts w:asciiTheme="majorBidi" w:hAnsiTheme="majorBidi" w:cstheme="majorBidi"/>
          <w:b w:val="0"/>
          <w:bCs/>
          <w:sz w:val="16"/>
        </w:rPr>
        <w:noBreakHyphen/>
        <w:t>03)</w:t>
      </w:r>
    </w:p>
    <w:p w:rsidR="006704E9" w:rsidRDefault="006704E9" w:rsidP="0032202E">
      <w:pPr>
        <w:pStyle w:val="Reasons"/>
      </w:pPr>
      <w:r w:rsidRPr="006704E9">
        <w:rPr>
          <w:b/>
        </w:rPr>
        <w:t>Motivos:</w:t>
      </w:r>
      <w:r w:rsidRPr="006704E9">
        <w:tab/>
        <w:t>El acuerdo táctico se aprobó en el Apéndice 30 como parte de un compromiso global durante el establecimiento y posteriores revisiones de este Apéndice en las CMR anteriores.</w:t>
      </w:r>
    </w:p>
    <w:p w:rsidR="00515B19" w:rsidRPr="006704E9" w:rsidRDefault="00515B19" w:rsidP="00515B19">
      <w:pPr>
        <w:pStyle w:val="Reasons"/>
      </w:pPr>
    </w:p>
    <w:p w:rsidR="006704E9" w:rsidRPr="006704E9" w:rsidRDefault="006704E9" w:rsidP="006704E9">
      <w:pPr>
        <w:spacing w:before="720"/>
        <w:jc w:val="center"/>
      </w:pPr>
      <w:r w:rsidRPr="006704E9">
        <w:t>______________</w:t>
      </w:r>
    </w:p>
    <w:sectPr w:rsidR="006704E9" w:rsidRPr="006704E9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3B3717" w:rsidRDefault="0077084A">
    <w:pPr>
      <w:ind w:right="360"/>
    </w:pPr>
    <w:r>
      <w:fldChar w:fldCharType="begin"/>
    </w:r>
    <w:r w:rsidRPr="003B3717">
      <w:instrText xml:space="preserve"> FILENAME \p  \* MERGEFORMAT </w:instrText>
    </w:r>
    <w:r>
      <w:fldChar w:fldCharType="separate"/>
    </w:r>
    <w:r w:rsidR="003B3717">
      <w:rPr>
        <w:noProof/>
      </w:rPr>
      <w:t>P:\ESP\ITU-R\CONF-R\CMR15\000\009ADD21ADD12S.docx</w:t>
    </w:r>
    <w:r>
      <w:fldChar w:fldCharType="end"/>
    </w:r>
    <w:r w:rsidRPr="003B3717">
      <w:tab/>
    </w:r>
    <w:r>
      <w:fldChar w:fldCharType="begin"/>
    </w:r>
    <w:r>
      <w:instrText xml:space="preserve"> SAVEDATE \@ DD.MM.YY </w:instrText>
    </w:r>
    <w:r>
      <w:fldChar w:fldCharType="separate"/>
    </w:r>
    <w:r w:rsidR="003B3717">
      <w:rPr>
        <w:noProof/>
      </w:rPr>
      <w:t>22.10.15</w:t>
    </w:r>
    <w:r>
      <w:fldChar w:fldCharType="end"/>
    </w:r>
    <w:r w:rsidRPr="003B3717">
      <w:tab/>
    </w:r>
    <w:r>
      <w:fldChar w:fldCharType="begin"/>
    </w:r>
    <w:r>
      <w:instrText xml:space="preserve"> PRINTDATE \@ DD.MM.YY </w:instrText>
    </w:r>
    <w:r>
      <w:fldChar w:fldCharType="separate"/>
    </w:r>
    <w:r w:rsidR="003B3717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6704E9" w:rsidRDefault="006704E9" w:rsidP="006704E9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B3717">
      <w:rPr>
        <w:lang w:val="en-US"/>
      </w:rPr>
      <w:t>P:\ESP\ITU-R\CONF-R\CMR15\000\009ADD21ADD12S.docx</w:t>
    </w:r>
    <w:r>
      <w:fldChar w:fldCharType="end"/>
    </w:r>
    <w:r>
      <w:t xml:space="preserve"> (388337)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B3717">
      <w:t>22.10.15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B3717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B3717">
      <w:rPr>
        <w:lang w:val="en-US"/>
      </w:rPr>
      <w:t>P:\ESP\ITU-R\CONF-R\CMR15\000\009ADD21ADD12S.docx</w:t>
    </w:r>
    <w:r>
      <w:fldChar w:fldCharType="end"/>
    </w:r>
    <w:r w:rsidR="006704E9">
      <w:t xml:space="preserve"> (388337)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B3717">
      <w:t>22.10.15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B3717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3717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9(Add.21)(Add.12)-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B3717"/>
    <w:rsid w:val="003C2508"/>
    <w:rsid w:val="003D0AA3"/>
    <w:rsid w:val="00440B3A"/>
    <w:rsid w:val="0045384C"/>
    <w:rsid w:val="00454553"/>
    <w:rsid w:val="004B124A"/>
    <w:rsid w:val="00500DDD"/>
    <w:rsid w:val="005133B5"/>
    <w:rsid w:val="00515B19"/>
    <w:rsid w:val="00532097"/>
    <w:rsid w:val="0058350F"/>
    <w:rsid w:val="00583C7E"/>
    <w:rsid w:val="005D46FB"/>
    <w:rsid w:val="005F2605"/>
    <w:rsid w:val="005F3B0E"/>
    <w:rsid w:val="005F559C"/>
    <w:rsid w:val="006519A1"/>
    <w:rsid w:val="00662BA0"/>
    <w:rsid w:val="006704E9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48EA"/>
    <w:rsid w:val="00E262F1"/>
    <w:rsid w:val="00E3176A"/>
    <w:rsid w:val="00E54754"/>
    <w:rsid w:val="00E56BD3"/>
    <w:rsid w:val="00E71D14"/>
    <w:rsid w:val="00E76E22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002A851-4BAC-44B8-A0D4-34BAB200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  <w:style w:type="character" w:customStyle="1" w:styleId="FootnoteTextChar">
    <w:name w:val="Footnote Text Char"/>
    <w:link w:val="FootnoteText"/>
    <w:rsid w:val="004B0A95"/>
    <w:rPr>
      <w:rFonts w:ascii="Times New Roman" w:hAnsi="Times New Roman"/>
      <w:lang w:val="es-ES_tradnl" w:eastAsia="en-US"/>
    </w:rPr>
  </w:style>
  <w:style w:type="character" w:styleId="Strong">
    <w:name w:val="Strong"/>
    <w:aliases w:val="ECC HL bold"/>
    <w:basedOn w:val="DefaultParagraphFont"/>
    <w:uiPriority w:val="1"/>
    <w:qFormat/>
    <w:rsid w:val="00670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R15-WRC15-C-0009!A21-A12!MSW-S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7C647-D779-419C-924D-3406CCB04348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996b2e75-67fd-4955-a3b0-5ab9934cb50b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2C32898-6D71-4808-94C7-EBBC3EDF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R15-WRC15-C-0009!A21-A12!MSW-S</vt:lpstr>
    </vt:vector>
  </TitlesOfParts>
  <Manager>Secretaría General - Pool</Manager>
  <Company>Unión Internacional de Telecomunicaciones (UIT)</Company>
  <LinksUpToDate>false</LinksUpToDate>
  <CharactersWithSpaces>3614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R15-WRC15-C-0009!A21-A12!MSW-S</dc:title>
  <dc:subject>Conferencia Mundial de Radiocomunicaciones - 2015</dc:subject>
  <dc:creator>Documents Proposals Manager (DPM)</dc:creator>
  <cp:keywords>DPM_v5.2015.10.21_prod</cp:keywords>
  <dc:description/>
  <cp:lastModifiedBy>Burro, Maria Carmen</cp:lastModifiedBy>
  <cp:revision>6</cp:revision>
  <cp:lastPrinted>2015-10-26T08:24:00Z</cp:lastPrinted>
  <dcterms:created xsi:type="dcterms:W3CDTF">2015-10-22T06:37:00Z</dcterms:created>
  <dcterms:modified xsi:type="dcterms:W3CDTF">2015-10-26T08:25:00Z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