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B29F7" w:rsidTr="0050008E">
        <w:trPr>
          <w:cantSplit/>
        </w:trPr>
        <w:tc>
          <w:tcPr>
            <w:tcW w:w="6911" w:type="dxa"/>
          </w:tcPr>
          <w:p w:rsidR="0090121B" w:rsidRPr="00DB29F7" w:rsidRDefault="005D46FB" w:rsidP="0002785D">
            <w:pPr>
              <w:spacing w:before="400" w:after="48" w:line="240" w:lineRule="atLeast"/>
              <w:rPr>
                <w:rFonts w:ascii="Verdana" w:hAnsi="Verdana"/>
                <w:position w:val="6"/>
              </w:rPr>
            </w:pPr>
            <w:r w:rsidRPr="00DB29F7">
              <w:rPr>
                <w:rFonts w:ascii="Verdana" w:hAnsi="Verdana" w:cs="Times"/>
                <w:b/>
                <w:position w:val="6"/>
                <w:sz w:val="20"/>
              </w:rPr>
              <w:t>Conferencia Mundial de Radiocomunicaciones (CMR-15)</w:t>
            </w:r>
            <w:r w:rsidRPr="00DB29F7">
              <w:rPr>
                <w:rFonts w:ascii="Verdana" w:hAnsi="Verdana" w:cs="Times"/>
                <w:b/>
                <w:position w:val="6"/>
                <w:sz w:val="20"/>
              </w:rPr>
              <w:br/>
            </w:r>
            <w:r w:rsidRPr="00DB29F7">
              <w:rPr>
                <w:rFonts w:ascii="Verdana" w:hAnsi="Verdana"/>
                <w:b/>
                <w:bCs/>
                <w:position w:val="6"/>
                <w:sz w:val="18"/>
                <w:szCs w:val="18"/>
              </w:rPr>
              <w:t>Ginebra, 2-27 de noviembre de 2015</w:t>
            </w:r>
          </w:p>
        </w:tc>
        <w:tc>
          <w:tcPr>
            <w:tcW w:w="3120" w:type="dxa"/>
          </w:tcPr>
          <w:p w:rsidR="0090121B" w:rsidRPr="00DB29F7" w:rsidRDefault="00CE7431" w:rsidP="00CE7431">
            <w:pPr>
              <w:spacing w:before="0" w:line="240" w:lineRule="atLeast"/>
              <w:jc w:val="right"/>
            </w:pPr>
            <w:bookmarkStart w:id="0" w:name="ditulogo"/>
            <w:bookmarkEnd w:id="0"/>
            <w:r w:rsidRPr="00DB29F7">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B29F7" w:rsidTr="0050008E">
        <w:trPr>
          <w:cantSplit/>
        </w:trPr>
        <w:tc>
          <w:tcPr>
            <w:tcW w:w="6911" w:type="dxa"/>
            <w:tcBorders>
              <w:bottom w:val="single" w:sz="12" w:space="0" w:color="auto"/>
            </w:tcBorders>
          </w:tcPr>
          <w:p w:rsidR="0090121B" w:rsidRPr="00DB29F7" w:rsidRDefault="00CE7431" w:rsidP="0090121B">
            <w:pPr>
              <w:spacing w:before="0" w:after="48" w:line="240" w:lineRule="atLeast"/>
              <w:rPr>
                <w:b/>
                <w:smallCaps/>
                <w:szCs w:val="24"/>
              </w:rPr>
            </w:pPr>
            <w:bookmarkStart w:id="1" w:name="dhead"/>
            <w:r w:rsidRPr="00DB29F7">
              <w:rPr>
                <w:rFonts w:ascii="Verdana" w:hAnsi="Verdana"/>
                <w:b/>
                <w:smallCaps/>
                <w:sz w:val="20"/>
              </w:rPr>
              <w:t>UNIÓN INTERNACIONAL DE TELECOMUNICACIONES</w:t>
            </w:r>
          </w:p>
        </w:tc>
        <w:tc>
          <w:tcPr>
            <w:tcW w:w="3120" w:type="dxa"/>
            <w:tcBorders>
              <w:bottom w:val="single" w:sz="12" w:space="0" w:color="auto"/>
            </w:tcBorders>
          </w:tcPr>
          <w:p w:rsidR="0090121B" w:rsidRPr="00DB29F7" w:rsidRDefault="0090121B" w:rsidP="0090121B">
            <w:pPr>
              <w:spacing w:before="0" w:line="240" w:lineRule="atLeast"/>
              <w:rPr>
                <w:rFonts w:ascii="Verdana" w:hAnsi="Verdana"/>
                <w:szCs w:val="24"/>
              </w:rPr>
            </w:pPr>
          </w:p>
        </w:tc>
      </w:tr>
      <w:tr w:rsidR="0090121B" w:rsidRPr="00DB29F7" w:rsidTr="0090121B">
        <w:trPr>
          <w:cantSplit/>
        </w:trPr>
        <w:tc>
          <w:tcPr>
            <w:tcW w:w="6911" w:type="dxa"/>
            <w:tcBorders>
              <w:top w:val="single" w:sz="12" w:space="0" w:color="auto"/>
            </w:tcBorders>
          </w:tcPr>
          <w:p w:rsidR="0090121B" w:rsidRPr="00DB29F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B29F7" w:rsidRDefault="0090121B" w:rsidP="0090121B">
            <w:pPr>
              <w:spacing w:before="0" w:line="240" w:lineRule="atLeast"/>
              <w:rPr>
                <w:rFonts w:ascii="Verdana" w:hAnsi="Verdana"/>
                <w:sz w:val="20"/>
              </w:rPr>
            </w:pPr>
          </w:p>
        </w:tc>
      </w:tr>
      <w:tr w:rsidR="0090121B" w:rsidRPr="00DB29F7" w:rsidTr="0090121B">
        <w:trPr>
          <w:cantSplit/>
        </w:trPr>
        <w:tc>
          <w:tcPr>
            <w:tcW w:w="6911" w:type="dxa"/>
          </w:tcPr>
          <w:p w:rsidR="0090121B" w:rsidRPr="00DB29F7" w:rsidRDefault="004A2396" w:rsidP="00EA77F0">
            <w:pPr>
              <w:pStyle w:val="Committee"/>
              <w:framePr w:hSpace="0" w:wrap="auto" w:hAnchor="text" w:yAlign="inline"/>
              <w:rPr>
                <w:lang w:val="es-ES_tradnl"/>
              </w:rPr>
            </w:pPr>
            <w:r w:rsidRPr="00DB29F7">
              <w:rPr>
                <w:lang w:val="es-ES_tradnl"/>
              </w:rPr>
              <w:t xml:space="preserve">COMISIÓN </w:t>
            </w:r>
            <w:r w:rsidR="00AE658F" w:rsidRPr="00DB29F7">
              <w:rPr>
                <w:lang w:val="es-ES_tradnl"/>
              </w:rPr>
              <w:t>4</w:t>
            </w:r>
          </w:p>
        </w:tc>
        <w:tc>
          <w:tcPr>
            <w:tcW w:w="3120" w:type="dxa"/>
          </w:tcPr>
          <w:p w:rsidR="0090121B" w:rsidRPr="00DB29F7" w:rsidRDefault="00AE658F" w:rsidP="0045384C">
            <w:pPr>
              <w:spacing w:before="0"/>
              <w:rPr>
                <w:rFonts w:ascii="Verdana" w:hAnsi="Verdana"/>
                <w:sz w:val="20"/>
              </w:rPr>
            </w:pPr>
            <w:r w:rsidRPr="00DB29F7">
              <w:rPr>
                <w:rFonts w:ascii="Verdana" w:eastAsia="SimSun" w:hAnsi="Verdana" w:cs="Traditional Arabic"/>
                <w:b/>
                <w:sz w:val="20"/>
              </w:rPr>
              <w:t>Addéndum 3 al</w:t>
            </w:r>
            <w:r w:rsidRPr="00DB29F7">
              <w:rPr>
                <w:rFonts w:ascii="Verdana" w:eastAsia="SimSun" w:hAnsi="Verdana" w:cs="Traditional Arabic"/>
                <w:b/>
                <w:sz w:val="20"/>
              </w:rPr>
              <w:br/>
              <w:t>Documento 9(Add.2)</w:t>
            </w:r>
            <w:r w:rsidR="0090121B" w:rsidRPr="00DB29F7">
              <w:rPr>
                <w:rFonts w:ascii="Verdana" w:hAnsi="Verdana"/>
                <w:b/>
                <w:sz w:val="20"/>
              </w:rPr>
              <w:t>-</w:t>
            </w:r>
            <w:r w:rsidRPr="00DB29F7">
              <w:rPr>
                <w:rFonts w:ascii="Verdana" w:hAnsi="Verdana"/>
                <w:b/>
                <w:sz w:val="20"/>
              </w:rPr>
              <w:t>S</w:t>
            </w:r>
          </w:p>
        </w:tc>
      </w:tr>
      <w:bookmarkEnd w:id="1"/>
      <w:tr w:rsidR="000A5B9A" w:rsidRPr="00DB29F7" w:rsidTr="0090121B">
        <w:trPr>
          <w:cantSplit/>
        </w:trPr>
        <w:tc>
          <w:tcPr>
            <w:tcW w:w="6911" w:type="dxa"/>
          </w:tcPr>
          <w:p w:rsidR="000A5B9A" w:rsidRPr="00DB29F7" w:rsidRDefault="000A5B9A" w:rsidP="0045384C">
            <w:pPr>
              <w:spacing w:before="0" w:after="48"/>
              <w:rPr>
                <w:rFonts w:ascii="Verdana" w:hAnsi="Verdana"/>
                <w:b/>
                <w:smallCaps/>
                <w:sz w:val="20"/>
              </w:rPr>
            </w:pPr>
          </w:p>
        </w:tc>
        <w:tc>
          <w:tcPr>
            <w:tcW w:w="3120" w:type="dxa"/>
          </w:tcPr>
          <w:p w:rsidR="000A5B9A" w:rsidRPr="00DB29F7" w:rsidRDefault="000A5B9A" w:rsidP="0045384C">
            <w:pPr>
              <w:spacing w:before="0"/>
              <w:rPr>
                <w:rFonts w:ascii="Verdana" w:hAnsi="Verdana"/>
                <w:b/>
                <w:sz w:val="20"/>
              </w:rPr>
            </w:pPr>
            <w:r w:rsidRPr="00DB29F7">
              <w:rPr>
                <w:rFonts w:ascii="Verdana" w:hAnsi="Verdana"/>
                <w:b/>
                <w:sz w:val="20"/>
              </w:rPr>
              <w:t>6 de noviembre de 2015</w:t>
            </w:r>
          </w:p>
        </w:tc>
      </w:tr>
      <w:tr w:rsidR="000A5B9A" w:rsidRPr="00DB29F7" w:rsidTr="0090121B">
        <w:trPr>
          <w:cantSplit/>
        </w:trPr>
        <w:tc>
          <w:tcPr>
            <w:tcW w:w="6911" w:type="dxa"/>
          </w:tcPr>
          <w:p w:rsidR="000A5B9A" w:rsidRPr="00DB29F7" w:rsidRDefault="000A5B9A" w:rsidP="0045384C">
            <w:pPr>
              <w:spacing w:before="0" w:after="48"/>
              <w:rPr>
                <w:rFonts w:ascii="Verdana" w:hAnsi="Verdana"/>
                <w:b/>
                <w:smallCaps/>
                <w:sz w:val="20"/>
              </w:rPr>
            </w:pPr>
          </w:p>
        </w:tc>
        <w:tc>
          <w:tcPr>
            <w:tcW w:w="3120" w:type="dxa"/>
          </w:tcPr>
          <w:p w:rsidR="000A5B9A" w:rsidRPr="00DB29F7" w:rsidRDefault="000A5B9A" w:rsidP="0045384C">
            <w:pPr>
              <w:spacing w:before="0"/>
              <w:rPr>
                <w:rFonts w:ascii="Verdana" w:hAnsi="Verdana"/>
                <w:b/>
                <w:sz w:val="20"/>
              </w:rPr>
            </w:pPr>
            <w:r w:rsidRPr="00DB29F7">
              <w:rPr>
                <w:rFonts w:ascii="Verdana" w:hAnsi="Verdana"/>
                <w:b/>
                <w:sz w:val="20"/>
              </w:rPr>
              <w:t>Original: inglés</w:t>
            </w:r>
          </w:p>
        </w:tc>
      </w:tr>
      <w:tr w:rsidR="000A5B9A" w:rsidRPr="00DB29F7" w:rsidTr="006744FC">
        <w:trPr>
          <w:cantSplit/>
        </w:trPr>
        <w:tc>
          <w:tcPr>
            <w:tcW w:w="10031" w:type="dxa"/>
            <w:gridSpan w:val="2"/>
          </w:tcPr>
          <w:p w:rsidR="000A5B9A" w:rsidRPr="00DB29F7" w:rsidRDefault="000A5B9A" w:rsidP="0045384C">
            <w:pPr>
              <w:spacing w:before="0"/>
              <w:rPr>
                <w:rFonts w:ascii="Verdana" w:hAnsi="Verdana"/>
                <w:b/>
                <w:sz w:val="20"/>
              </w:rPr>
            </w:pPr>
          </w:p>
        </w:tc>
      </w:tr>
      <w:tr w:rsidR="000A5B9A" w:rsidRPr="00DB29F7" w:rsidTr="0050008E">
        <w:trPr>
          <w:cantSplit/>
        </w:trPr>
        <w:tc>
          <w:tcPr>
            <w:tcW w:w="10031" w:type="dxa"/>
            <w:gridSpan w:val="2"/>
          </w:tcPr>
          <w:p w:rsidR="000A5B9A" w:rsidRPr="00DB29F7" w:rsidRDefault="000A5B9A" w:rsidP="000A5B9A">
            <w:pPr>
              <w:pStyle w:val="Source"/>
            </w:pPr>
            <w:bookmarkStart w:id="2" w:name="dsource" w:colFirst="0" w:colLast="0"/>
            <w:r w:rsidRPr="00DB29F7">
              <w:t>Propuestas Comunes Europeas</w:t>
            </w:r>
          </w:p>
        </w:tc>
      </w:tr>
      <w:tr w:rsidR="000A5B9A" w:rsidRPr="00DB29F7" w:rsidTr="0050008E">
        <w:trPr>
          <w:cantSplit/>
        </w:trPr>
        <w:tc>
          <w:tcPr>
            <w:tcW w:w="10031" w:type="dxa"/>
            <w:gridSpan w:val="2"/>
          </w:tcPr>
          <w:p w:rsidR="000A5B9A" w:rsidRPr="00DB29F7" w:rsidRDefault="004A2396" w:rsidP="000A5B9A">
            <w:pPr>
              <w:pStyle w:val="Title1"/>
            </w:pPr>
            <w:bookmarkStart w:id="3" w:name="dtitle1" w:colFirst="0" w:colLast="0"/>
            <w:bookmarkEnd w:id="2"/>
            <w:r w:rsidRPr="00DB29F7">
              <w:t>propuestas para los trabajos de la conferencia</w:t>
            </w:r>
          </w:p>
        </w:tc>
      </w:tr>
      <w:tr w:rsidR="000A5B9A" w:rsidRPr="00DB29F7" w:rsidTr="0050008E">
        <w:trPr>
          <w:cantSplit/>
        </w:trPr>
        <w:tc>
          <w:tcPr>
            <w:tcW w:w="10031" w:type="dxa"/>
            <w:gridSpan w:val="2"/>
          </w:tcPr>
          <w:p w:rsidR="000A5B9A" w:rsidRPr="00DB29F7" w:rsidRDefault="000A5B9A" w:rsidP="000A5B9A">
            <w:pPr>
              <w:pStyle w:val="Title2"/>
            </w:pPr>
            <w:bookmarkStart w:id="4" w:name="dtitle2" w:colFirst="0" w:colLast="0"/>
            <w:bookmarkEnd w:id="3"/>
          </w:p>
        </w:tc>
      </w:tr>
      <w:tr w:rsidR="000A5B9A" w:rsidRPr="00DB29F7" w:rsidTr="0050008E">
        <w:trPr>
          <w:cantSplit/>
        </w:trPr>
        <w:tc>
          <w:tcPr>
            <w:tcW w:w="10031" w:type="dxa"/>
            <w:gridSpan w:val="2"/>
          </w:tcPr>
          <w:p w:rsidR="000A5B9A" w:rsidRPr="00DB29F7" w:rsidRDefault="000A5B9A" w:rsidP="000A5B9A">
            <w:pPr>
              <w:pStyle w:val="Agendaitem"/>
            </w:pPr>
            <w:bookmarkStart w:id="5" w:name="dtitle3" w:colFirst="0" w:colLast="0"/>
            <w:bookmarkEnd w:id="4"/>
            <w:r w:rsidRPr="00DB29F7">
              <w:t>Punto 1.2 del orden del día</w:t>
            </w:r>
          </w:p>
        </w:tc>
      </w:tr>
    </w:tbl>
    <w:bookmarkEnd w:id="5"/>
    <w:p w:rsidR="001C0E40" w:rsidRPr="00DB29F7" w:rsidRDefault="002B77A1" w:rsidP="00BA42DD">
      <w:r w:rsidRPr="00DB29F7">
        <w:t>1.2</w:t>
      </w:r>
      <w:r w:rsidRPr="00DB29F7">
        <w:tab/>
        <w:t>examinar los resultados de los estudios realizados por el UIT-R de conformidad con la Resolución </w:t>
      </w:r>
      <w:r w:rsidRPr="00DB29F7">
        <w:rPr>
          <w:b/>
          <w:bCs/>
        </w:rPr>
        <w:t>232 (CMR-12)</w:t>
      </w:r>
      <w:r w:rsidRPr="00DB29F7">
        <w:t xml:space="preserve"> sobre la utilización de la banda de frecuencias 694-790 MHz por los servicios móviles, excepto móvil aeronáutico, en la Región 1 y adoptar las medidas correspondientes;</w:t>
      </w:r>
    </w:p>
    <w:p w:rsidR="009A07BF" w:rsidRDefault="009A07BF" w:rsidP="009A07BF"/>
    <w:p w:rsidR="004A2396" w:rsidRPr="00DB29F7" w:rsidRDefault="00DB29F7" w:rsidP="004A2396">
      <w:r>
        <w:t>El punto </w:t>
      </w:r>
      <w:r w:rsidR="004A2396" w:rsidRPr="00DB29F7">
        <w:t>1.2 del orden del día de la CMR-15 trata de los estudios realiza</w:t>
      </w:r>
      <w:r>
        <w:t>dos con arreglo a la Resolución </w:t>
      </w:r>
      <w:r w:rsidR="004A2396" w:rsidRPr="00DB29F7">
        <w:t>232 (CMR-12) sobre la utilización de la banda de frecuencia</w:t>
      </w:r>
      <w:r>
        <w:t>s 694-790 </w:t>
      </w:r>
      <w:r w:rsidR="004A2396" w:rsidRPr="00DB29F7">
        <w:t xml:space="preserve">MHz por el servicio móvil, salvo </w:t>
      </w:r>
      <w:r>
        <w:t>móvil aeronáutico, en la Región </w:t>
      </w:r>
      <w:r w:rsidR="004A2396" w:rsidRPr="00DB29F7">
        <w:t>1. Los trabajos realizados por el UIT-R en el marco de los preparativos para la CMR-15 sobre este punto del orden del día (efectuados</w:t>
      </w:r>
      <w:r>
        <w:t xml:space="preserve"> por el </w:t>
      </w:r>
      <w:r w:rsidR="004A2396" w:rsidRPr="00DB29F7">
        <w:t>GMTE 4-5-6-7) han girado en torno a cuatro temas:</w:t>
      </w:r>
    </w:p>
    <w:p w:rsidR="004A2396" w:rsidRPr="00DB29F7" w:rsidRDefault="004A2396" w:rsidP="00DB29F7">
      <w:pPr>
        <w:pStyle w:val="enumlev1"/>
      </w:pPr>
      <w:r w:rsidRPr="00DB29F7">
        <w:t>•</w:t>
      </w:r>
      <w:r w:rsidRPr="00DB29F7">
        <w:tab/>
        <w:t>Tema A: Opciones para definir mejor el límite inferi</w:t>
      </w:r>
      <w:r w:rsidR="00DB29F7">
        <w:t>or de la banda (véase Addéndum 1 al Addéndum</w:t>
      </w:r>
      <w:r w:rsidRPr="00DB29F7">
        <w:t xml:space="preserve"> 2 del </w:t>
      </w:r>
      <w:r w:rsidR="00DB29F7">
        <w:t>Documento</w:t>
      </w:r>
      <w:r w:rsidRPr="00DB29F7">
        <w:t> 009).</w:t>
      </w:r>
    </w:p>
    <w:p w:rsidR="004A2396" w:rsidRPr="00DB29F7" w:rsidRDefault="004A2396" w:rsidP="004A2396">
      <w:pPr>
        <w:pStyle w:val="enumlev1"/>
      </w:pPr>
      <w:r w:rsidRPr="00DB29F7">
        <w:t>•</w:t>
      </w:r>
      <w:r w:rsidRPr="00DB29F7">
        <w:tab/>
        <w:t xml:space="preserve">Tema B: Condiciones técnicas y reglamentarias aplicables al servicio móvil en relación con compatibilidad entre el servicio móvil (SM) y el servicio de radiodifusión (SR) (véase el </w:t>
      </w:r>
      <w:r w:rsidR="00DB29F7">
        <w:t>Addéndum</w:t>
      </w:r>
      <w:r w:rsidRPr="00DB29F7">
        <w:t xml:space="preserve"> 2 al </w:t>
      </w:r>
      <w:r w:rsidR="00DB29F7">
        <w:t>Addéndum</w:t>
      </w:r>
      <w:r w:rsidRPr="00DB29F7">
        <w:t xml:space="preserve"> 2 del </w:t>
      </w:r>
      <w:r w:rsidR="00DB29F7">
        <w:t>Documento</w:t>
      </w:r>
      <w:r w:rsidRPr="00DB29F7">
        <w:t> 009).</w:t>
      </w:r>
    </w:p>
    <w:p w:rsidR="004A2396" w:rsidRPr="00DB29F7" w:rsidRDefault="004A2396" w:rsidP="004A2396">
      <w:pPr>
        <w:pStyle w:val="enumlev1"/>
      </w:pPr>
      <w:r w:rsidRPr="00DB29F7">
        <w:t>•</w:t>
      </w:r>
      <w:r w:rsidRPr="00DB29F7">
        <w:tab/>
        <w:t xml:space="preserve">Tema C: Condiciones técnicas y reglamentarias aplicables al SM en relación con compatibilidad entre el SM y el servicio de radionavegación aeronáutica (SRNA) en </w:t>
      </w:r>
      <w:r w:rsidR="00DB29F7">
        <w:t>los países citados en el número </w:t>
      </w:r>
      <w:r w:rsidRPr="00DB29F7">
        <w:t xml:space="preserve">5.312 del RR (véase </w:t>
      </w:r>
      <w:r w:rsidR="00DB29F7">
        <w:t>Addéndum</w:t>
      </w:r>
      <w:r w:rsidRPr="00DB29F7">
        <w:t xml:space="preserve"> 3 al </w:t>
      </w:r>
      <w:r w:rsidR="00DB29F7">
        <w:t>Addéndum</w:t>
      </w:r>
      <w:r w:rsidRPr="00DB29F7">
        <w:t xml:space="preserve"> 2 del </w:t>
      </w:r>
      <w:r w:rsidR="00DB29F7">
        <w:t>Documento</w:t>
      </w:r>
      <w:r w:rsidRPr="00DB29F7">
        <w:t> </w:t>
      </w:r>
      <w:r w:rsidR="009A07BF">
        <w:t>00</w:t>
      </w:r>
      <w:r w:rsidRPr="00DB29F7">
        <w:t>9).</w:t>
      </w:r>
    </w:p>
    <w:p w:rsidR="004A2396" w:rsidRPr="00DB29F7" w:rsidRDefault="004A2396" w:rsidP="009A07BF">
      <w:pPr>
        <w:pStyle w:val="enumlev1"/>
      </w:pPr>
      <w:r w:rsidRPr="00DB29F7">
        <w:t>•</w:t>
      </w:r>
      <w:r w:rsidRPr="00DB29F7">
        <w:tab/>
        <w:t xml:space="preserve">Tema D: Opciones que satisfagan los requisitos de las aplicaciones auxiliares de la radiodifusión (véase </w:t>
      </w:r>
      <w:r w:rsidR="00DB29F7">
        <w:t>Addéndum</w:t>
      </w:r>
      <w:r w:rsidRPr="00DB29F7">
        <w:t xml:space="preserve"> </w:t>
      </w:r>
      <w:r w:rsidR="009A07BF">
        <w:t>1</w:t>
      </w:r>
      <w:r w:rsidRPr="00DB29F7">
        <w:t xml:space="preserve"> al </w:t>
      </w:r>
      <w:r w:rsidR="00DB29F7">
        <w:t>Addéndum</w:t>
      </w:r>
      <w:r w:rsidRPr="00DB29F7">
        <w:t xml:space="preserve"> 2 del </w:t>
      </w:r>
      <w:r w:rsidR="00DB29F7">
        <w:t>Documento</w:t>
      </w:r>
      <w:r w:rsidRPr="00DB29F7">
        <w:t> 009).</w:t>
      </w:r>
    </w:p>
    <w:p w:rsidR="004A2396" w:rsidRPr="00DB29F7" w:rsidRDefault="004A2396" w:rsidP="004A2396">
      <w:r w:rsidRPr="00DB29F7">
        <w:t>Europa reconoce que la CMR-12 decidió que la atribución al servicio móvil en la banda 694</w:t>
      </w:r>
      <w:r w:rsidRPr="00DB29F7">
        <w:noBreakHyphen/>
        <w:t>790 MHz está sujeta a la obtención de u</w:t>
      </w:r>
      <w:r w:rsidR="00DB29F7">
        <w:t>n acuerdo con arreglo al número </w:t>
      </w:r>
      <w:r w:rsidRPr="00DB29F7">
        <w:t>9.21 respecto del servicio de radionavegación aeronáutica (SRNA) en los países enumerados en el número 5.312.</w:t>
      </w:r>
    </w:p>
    <w:p w:rsidR="004A2396" w:rsidRPr="00DB29F7" w:rsidRDefault="004A2396" w:rsidP="004A2396">
      <w:r w:rsidRPr="00DB29F7">
        <w:br w:type="page"/>
      </w:r>
    </w:p>
    <w:p w:rsidR="004A2396" w:rsidRPr="00DB29F7" w:rsidRDefault="004A2396" w:rsidP="009A07BF">
      <w:pPr>
        <w:pStyle w:val="Heading1"/>
      </w:pPr>
      <w:r w:rsidRPr="00DB29F7">
        <w:lastRenderedPageBreak/>
        <w:t>1</w:t>
      </w:r>
      <w:r w:rsidRPr="00DB29F7">
        <w:tab/>
        <w:t>Métodos que Europa refrenda</w:t>
      </w:r>
    </w:p>
    <w:p w:rsidR="004A2396" w:rsidRPr="00DB29F7" w:rsidRDefault="004A2396" w:rsidP="004A2396">
      <w:pPr>
        <w:pStyle w:val="Headingi"/>
      </w:pPr>
      <w:r w:rsidRPr="00DB29F7">
        <w:rPr>
          <w:rStyle w:val="Strong"/>
        </w:rPr>
        <w:t>Tema C</w:t>
      </w:r>
      <w:r w:rsidR="00CB5BB8">
        <w:t>:</w:t>
      </w:r>
      <w:r w:rsidRPr="00DB29F7">
        <w:tab/>
        <w:t>Condiciones técnicas y reglamentarias aplicables al servicio móvil en relación con compatibilidad entre el servicio móvil y el servicio de radionavegación aeronáutica en los países citados en el número</w:t>
      </w:r>
      <w:r w:rsidRPr="00DB29F7">
        <w:rPr>
          <w:b/>
          <w:bCs/>
        </w:rPr>
        <w:t xml:space="preserve"> 5.312</w:t>
      </w:r>
      <w:r w:rsidRPr="00CB5BB8">
        <w:rPr>
          <w:rStyle w:val="Strong"/>
          <w:b w:val="0"/>
          <w:bCs w:val="0"/>
          <w:i w:val="0"/>
          <w:iCs/>
        </w:rPr>
        <w:t>.</w:t>
      </w:r>
    </w:p>
    <w:p w:rsidR="004A2396" w:rsidRPr="00DB29F7" w:rsidRDefault="00DB29F7" w:rsidP="00DB29F7">
      <w:r>
        <w:t>El número </w:t>
      </w:r>
      <w:r w:rsidR="004A2396" w:rsidRPr="009A07BF">
        <w:rPr>
          <w:b/>
          <w:bCs/>
        </w:rPr>
        <w:t>9.21</w:t>
      </w:r>
      <w:r w:rsidR="004A2396" w:rsidRPr="00DB29F7">
        <w:t xml:space="preserve"> se aplica al servicio móvil en relación con el servicio de radionavegación aeronáutica en la banda de frecuencias 694-790</w:t>
      </w:r>
      <w:r>
        <w:t> </w:t>
      </w:r>
      <w:r w:rsidR="004A2396" w:rsidRPr="00DB29F7">
        <w:t>MHz.</w:t>
      </w:r>
    </w:p>
    <w:p w:rsidR="004A2396" w:rsidRPr="00DB29F7" w:rsidRDefault="004A2396" w:rsidP="004A2396">
      <w:r w:rsidRPr="00DB29F7">
        <w:t>Europa propone incluir, en una Resolución de la CMR, los criterios para la identificación de las posibles administraciones afectadas que utilizan el servicio de radionavegación aeronáutica en los paí</w:t>
      </w:r>
      <w:r w:rsidR="00DB29F7">
        <w:t>ses citados en el número </w:t>
      </w:r>
      <w:r w:rsidRPr="009A07BF">
        <w:rPr>
          <w:b/>
          <w:bCs/>
        </w:rPr>
        <w:t>5.312</w:t>
      </w:r>
      <w:r w:rsidRPr="00DB29F7">
        <w:t>.</w:t>
      </w:r>
    </w:p>
    <w:p w:rsidR="00363A65" w:rsidRPr="00DB29F7" w:rsidRDefault="004A2396" w:rsidP="009A07BF">
      <w:pPr>
        <w:pStyle w:val="Heading1"/>
      </w:pPr>
      <w:r w:rsidRPr="00DB29F7">
        <w:t>2</w:t>
      </w:r>
      <w:r w:rsidRPr="00DB29F7">
        <w:tab/>
        <w:t>Disposiciones reglamentarias que Europa refrenda</w:t>
      </w:r>
    </w:p>
    <w:p w:rsidR="00E73FE7" w:rsidRPr="00DB29F7" w:rsidRDefault="002B77A1" w:rsidP="009A07BF">
      <w:pPr>
        <w:pStyle w:val="Proposal"/>
      </w:pPr>
      <w:r w:rsidRPr="00DB29F7">
        <w:t>ADD</w:t>
      </w:r>
      <w:r w:rsidRPr="00DB29F7">
        <w:tab/>
        <w:t>EUR/</w:t>
      </w:r>
      <w:r w:rsidRPr="009A07BF">
        <w:t>9A2A3</w:t>
      </w:r>
      <w:r w:rsidRPr="00DB29F7">
        <w:t>/1</w:t>
      </w:r>
    </w:p>
    <w:p w:rsidR="00E73FE7" w:rsidRPr="00DB29F7" w:rsidRDefault="002B77A1">
      <w:pPr>
        <w:pStyle w:val="ResNo"/>
      </w:pPr>
      <w:r w:rsidRPr="00DB29F7">
        <w:t>Proy</w:t>
      </w:r>
      <w:r w:rsidR="004A2396" w:rsidRPr="00DB29F7">
        <w:t>ecto de nueva Resolución [EUR-A1</w:t>
      </w:r>
      <w:r w:rsidRPr="00DB29F7">
        <w:t>2]</w:t>
      </w:r>
      <w:r w:rsidR="004A2396" w:rsidRPr="00DB29F7">
        <w:t xml:space="preserve"> (cmr-15)</w:t>
      </w:r>
    </w:p>
    <w:p w:rsidR="004A2396" w:rsidRPr="00DB29F7" w:rsidRDefault="004A2396" w:rsidP="004A2396">
      <w:pPr>
        <w:pStyle w:val="Restitle"/>
      </w:pPr>
      <w:r w:rsidRPr="00DB29F7">
        <w:t xml:space="preserve">Disposiciones relativas a la utilización de </w:t>
      </w:r>
      <w:r w:rsidR="00DB29F7">
        <w:t>la banda de frecuencias 694-790 MHz en la Región </w:t>
      </w:r>
      <w:r w:rsidRPr="00DB29F7">
        <w:t xml:space="preserve">1 por el servicio móvil, salvo móvil aeronáutico, </w:t>
      </w:r>
      <w:r w:rsidR="009A07BF">
        <w:br/>
      </w:r>
      <w:r w:rsidRPr="00DB29F7">
        <w:t>y por otros servicios</w:t>
      </w:r>
    </w:p>
    <w:p w:rsidR="004A2396" w:rsidRPr="00DB29F7" w:rsidRDefault="004A2396" w:rsidP="004A2396">
      <w:pPr>
        <w:pStyle w:val="Normalaftertitle"/>
        <w:rPr>
          <w:i/>
        </w:rPr>
      </w:pPr>
      <w:r w:rsidRPr="00DB29F7">
        <w:t>La Conferencia Mundial de Radiocomunicaciones (Ginebra, 2015),</w:t>
      </w:r>
    </w:p>
    <w:p w:rsidR="004A2396" w:rsidRPr="00DB29F7" w:rsidRDefault="004A2396" w:rsidP="004A2396">
      <w:r w:rsidRPr="00DB29F7">
        <w:t>…</w:t>
      </w:r>
    </w:p>
    <w:p w:rsidR="004A2396" w:rsidRPr="00DB29F7" w:rsidRDefault="004A2396" w:rsidP="004A2396">
      <w:pPr>
        <w:pStyle w:val="Call"/>
      </w:pPr>
      <w:r w:rsidRPr="00DB29F7">
        <w:t>observando</w:t>
      </w:r>
    </w:p>
    <w:p w:rsidR="004A2396" w:rsidRPr="00DB29F7" w:rsidRDefault="004A2396" w:rsidP="004A2396">
      <w:pPr>
        <w:pStyle w:val="Tabletext"/>
      </w:pPr>
      <w:r w:rsidRPr="00DB29F7">
        <w:t>…</w:t>
      </w:r>
    </w:p>
    <w:p w:rsidR="004A2396" w:rsidRPr="00DB29F7" w:rsidRDefault="004A2396" w:rsidP="004A2396">
      <w:r w:rsidRPr="009A07BF">
        <w:rPr>
          <w:i/>
          <w:iCs/>
        </w:rPr>
        <w:t>f)</w:t>
      </w:r>
      <w:r w:rsidRPr="00DB29F7">
        <w:tab/>
      </w:r>
      <w:r w:rsidRPr="00DB29F7">
        <w:rPr>
          <w:rStyle w:val="hps"/>
        </w:rPr>
        <w:t>que ya se han celebrado acuerdos</w:t>
      </w:r>
      <w:r w:rsidRPr="00DB29F7">
        <w:t xml:space="preserve"> </w:t>
      </w:r>
      <w:r w:rsidRPr="00DB29F7">
        <w:rPr>
          <w:rStyle w:val="hps"/>
        </w:rPr>
        <w:t>bilaterales</w:t>
      </w:r>
      <w:r w:rsidRPr="00DB29F7">
        <w:t xml:space="preserve"> </w:t>
      </w:r>
      <w:r w:rsidRPr="00DB29F7">
        <w:rPr>
          <w:rStyle w:val="hps"/>
        </w:rPr>
        <w:t>de coordinación, que las Administraciones utilizarán como</w:t>
      </w:r>
      <w:r w:rsidRPr="00DB29F7">
        <w:t xml:space="preserve"> acuerdo con arreglo al número</w:t>
      </w:r>
      <w:r w:rsidRPr="00DB29F7">
        <w:rPr>
          <w:b/>
          <w:bCs/>
        </w:rPr>
        <w:t xml:space="preserve"> 9.21 </w:t>
      </w:r>
      <w:r w:rsidRPr="00DB29F7">
        <w:t>respecto del servicio de radionavegación aeronáutica.</w:t>
      </w:r>
    </w:p>
    <w:p w:rsidR="004A2396" w:rsidRPr="00DB29F7" w:rsidRDefault="004A2396" w:rsidP="004A2396">
      <w:pPr>
        <w:pStyle w:val="Tabletext"/>
      </w:pPr>
      <w:r w:rsidRPr="00DB29F7">
        <w:t>…</w:t>
      </w:r>
    </w:p>
    <w:p w:rsidR="004A2396" w:rsidRPr="00DB29F7" w:rsidRDefault="004A2396" w:rsidP="004A2396">
      <w:pPr>
        <w:pStyle w:val="Call"/>
      </w:pPr>
      <w:r w:rsidRPr="00DB29F7">
        <w:t>resuelve</w:t>
      </w:r>
    </w:p>
    <w:p w:rsidR="004A2396" w:rsidRPr="00DB29F7" w:rsidRDefault="004A2396" w:rsidP="004A2396">
      <w:r w:rsidRPr="00DB29F7">
        <w:t>…</w:t>
      </w:r>
    </w:p>
    <w:p w:rsidR="004A2396" w:rsidRPr="00DB29F7" w:rsidRDefault="004A2396" w:rsidP="00DB29F7">
      <w:r w:rsidRPr="00DB29F7">
        <w:t>2</w:t>
      </w:r>
      <w:r w:rsidRPr="00DB29F7">
        <w:tab/>
        <w:t>que la utilización de la banda de frecuencias 694-790</w:t>
      </w:r>
      <w:r w:rsidR="00DB29F7">
        <w:t> </w:t>
      </w:r>
      <w:r w:rsidRPr="00DB29F7">
        <w:t>MHz por parte del servicio móvil esté sujeta a que se obtenga el acuerdo indicado en el número</w:t>
      </w:r>
      <w:r w:rsidR="00DB29F7">
        <w:t> </w:t>
      </w:r>
      <w:r w:rsidRPr="00DB29F7">
        <w:rPr>
          <w:b/>
          <w:bCs/>
        </w:rPr>
        <w:t>9.21</w:t>
      </w:r>
      <w:r w:rsidRPr="00DB29F7">
        <w:t xml:space="preserve"> respecto del servicio de radionavegación aeronáutica en la banda de frecuencias 694-790</w:t>
      </w:r>
      <w:r w:rsidR="00DB29F7">
        <w:t> </w:t>
      </w:r>
      <w:r w:rsidRPr="00DB29F7">
        <w:t>MHz en lo</w:t>
      </w:r>
      <w:r w:rsidR="002B77A1">
        <w:t>s países indicados en el número </w:t>
      </w:r>
      <w:r w:rsidRPr="00DB29F7">
        <w:rPr>
          <w:b/>
          <w:bCs/>
        </w:rPr>
        <w:t>5.312</w:t>
      </w:r>
      <w:r w:rsidRPr="00DB29F7">
        <w:t>, y que los criterios para la identificación de las administraciones afe</w:t>
      </w:r>
      <w:r w:rsidR="002B77A1">
        <w:t>ctadas se faciliten en el Anexo </w:t>
      </w:r>
      <w:r w:rsidRPr="00DB29F7">
        <w:t xml:space="preserve">1 a la presente Resolución; </w:t>
      </w:r>
    </w:p>
    <w:p w:rsidR="004A2396" w:rsidRPr="00DB29F7" w:rsidRDefault="004A2396" w:rsidP="00435DE1">
      <w:r w:rsidRPr="00A92CAA">
        <w:rPr>
          <w:highlight w:val="yellow"/>
        </w:rPr>
        <w:t>Nota 1</w:t>
      </w:r>
      <w:bookmarkStart w:id="6" w:name="_GoBack"/>
      <w:bookmarkEnd w:id="6"/>
      <w:r w:rsidRPr="00A92CAA">
        <w:rPr>
          <w:highlight w:val="yellow"/>
        </w:rPr>
        <w:t xml:space="preserve"> del Editor</w:t>
      </w:r>
      <w:r w:rsidR="009A07BF" w:rsidRPr="00A92CAA">
        <w:rPr>
          <w:highlight w:val="yellow"/>
        </w:rPr>
        <w:t xml:space="preserve"> –</w:t>
      </w:r>
      <w:r w:rsidRPr="00A92CAA">
        <w:rPr>
          <w:highlight w:val="yellow"/>
        </w:rPr>
        <w:t xml:space="preserve"> Los observando y los resuelve adicionales sobre los Temas A y D están sujetos al Addéndum</w:t>
      </w:r>
      <w:r w:rsidR="002B77A1" w:rsidRPr="00A92CAA">
        <w:rPr>
          <w:highlight w:val="yellow"/>
        </w:rPr>
        <w:t> 1 al Addéndum </w:t>
      </w:r>
      <w:r w:rsidRPr="00A92CAA">
        <w:rPr>
          <w:highlight w:val="yellow"/>
        </w:rPr>
        <w:t>2 al Documento 9.</w:t>
      </w:r>
    </w:p>
    <w:p w:rsidR="004A2396" w:rsidRPr="00DB29F7" w:rsidRDefault="004A2396" w:rsidP="004A2396">
      <w:pPr>
        <w:tabs>
          <w:tab w:val="clear" w:pos="1134"/>
          <w:tab w:val="clear" w:pos="1871"/>
          <w:tab w:val="clear" w:pos="2268"/>
        </w:tabs>
        <w:overflowPunct/>
        <w:autoSpaceDE/>
        <w:autoSpaceDN/>
        <w:adjustRightInd/>
        <w:spacing w:before="0"/>
        <w:textAlignment w:val="auto"/>
        <w:rPr>
          <w:rFonts w:eastAsia="SimSun"/>
          <w:caps/>
          <w:sz w:val="28"/>
        </w:rPr>
      </w:pPr>
      <w:r w:rsidRPr="00DB29F7">
        <w:rPr>
          <w:rFonts w:eastAsia="SimSun"/>
        </w:rPr>
        <w:br w:type="page"/>
      </w:r>
    </w:p>
    <w:p w:rsidR="004A2396" w:rsidRPr="00DB29F7" w:rsidRDefault="004A2396" w:rsidP="004A2396">
      <w:pPr>
        <w:pStyle w:val="AnnexNo"/>
        <w:rPr>
          <w:rFonts w:eastAsia="SimSun"/>
        </w:rPr>
      </w:pPr>
      <w:r w:rsidRPr="00DB29F7">
        <w:rPr>
          <w:rFonts w:eastAsia="SimSun"/>
        </w:rPr>
        <w:lastRenderedPageBreak/>
        <w:t xml:space="preserve">ANEXO 1 A LA RESOLUCIÓN </w:t>
      </w:r>
      <w:r w:rsidRPr="00DB29F7">
        <w:t>[EUR-A12]</w:t>
      </w:r>
      <w:r w:rsidRPr="00DB29F7">
        <w:rPr>
          <w:rFonts w:eastAsia="SimSun"/>
        </w:rPr>
        <w:t xml:space="preserve"> (CMR-15)</w:t>
      </w:r>
    </w:p>
    <w:p w:rsidR="004A2396" w:rsidRPr="00DB29F7" w:rsidRDefault="004A2396" w:rsidP="004A2396">
      <w:pPr>
        <w:pStyle w:val="Annextitle"/>
      </w:pPr>
      <w:r w:rsidRPr="00DB29F7">
        <w:t xml:space="preserve">Criterios para identificar las posibles administraciones afectadas en </w:t>
      </w:r>
      <w:r w:rsidR="002B77A1">
        <w:t>la banda de frecuencias 694-790 </w:t>
      </w:r>
      <w:r w:rsidRPr="00DB29F7">
        <w:t>MHz con respecto al servicio de radionavegación aeronáutica en los países indicados en el número 5.312</w:t>
      </w:r>
    </w:p>
    <w:p w:rsidR="004A2396" w:rsidRPr="00DB29F7" w:rsidRDefault="004A2396" w:rsidP="004A2396">
      <w:r w:rsidRPr="00DB29F7">
        <w:t xml:space="preserve">Para identificar las administraciones posiblemente afectadas, al aplicar el procedimiento de búsqueda de acuerdo de conformidad con el número </w:t>
      </w:r>
      <w:r w:rsidRPr="00DB29F7">
        <w:rPr>
          <w:b/>
          <w:bCs/>
        </w:rPr>
        <w:t xml:space="preserve">9.21 </w:t>
      </w:r>
      <w:r w:rsidRPr="00DB29F7">
        <w:t xml:space="preserve">para el servicio móvil (SM) con respecto al servicio de radionavegación aeronáutica (SRNA) que funciona en los países mencionados en el número </w:t>
      </w:r>
      <w:r w:rsidRPr="00DB29F7">
        <w:rPr>
          <w:b/>
          <w:bCs/>
        </w:rPr>
        <w:t>5.312</w:t>
      </w:r>
      <w:r w:rsidRPr="00DB29F7">
        <w:t>, deben utilizarse las distancias de coordinación (entre la estación de base del SM y la estación del SRNA potencialmente afectada) que se indican a continuación.</w:t>
      </w:r>
    </w:p>
    <w:p w:rsidR="004A2396" w:rsidRPr="00DB29F7" w:rsidRDefault="004A2396" w:rsidP="004A2396">
      <w:r w:rsidRPr="00DB29F7">
        <w:t>Al presentar sus notificaciones, las administraciones pueden indicar en la notificación que envíen a la BR la lista de administraciones con las que ya han alcanzado un acuerdo bilateral. La BR deberá tenerla en cuenta para determinar las administraciones con las que se requiere coordinación de conformidad con el número</w:t>
      </w:r>
      <w:r w:rsidRPr="00DB29F7">
        <w:rPr>
          <w:b/>
          <w:bCs/>
        </w:rPr>
        <w:t xml:space="preserve"> 9.21.</w:t>
      </w:r>
    </w:p>
    <w:p w:rsidR="004A2396" w:rsidRPr="00DB29F7" w:rsidRDefault="004A2396" w:rsidP="002070AB">
      <w:pPr>
        <w:pStyle w:val="Heading1"/>
      </w:pPr>
      <w:r w:rsidRPr="00DB29F7">
        <w:t>1</w:t>
      </w:r>
      <w:r w:rsidRPr="00DB29F7">
        <w:tab/>
        <w:t>Caso en el que el servicio móvil funciona de acuerdo con Planes de atribución de frecuencias en los que las estaciones de base transmiten sólo en la banda de frecuencias 758-788 MHz y reciben sólo en la banda 703-733 MHz</w:t>
      </w:r>
    </w:p>
    <w:p w:rsidR="004A2396" w:rsidRPr="00DB29F7" w:rsidRDefault="004A2396" w:rsidP="004A2396">
      <w:pPr>
        <w:pStyle w:val="TableNo"/>
      </w:pPr>
      <w:r w:rsidRPr="00DB29F7">
        <w:t>CUADRO X</w:t>
      </w:r>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399"/>
        <w:gridCol w:w="1985"/>
        <w:gridCol w:w="2126"/>
        <w:gridCol w:w="2287"/>
      </w:tblGrid>
      <w:tr w:rsidR="004A2396" w:rsidRPr="00DB29F7" w:rsidTr="00E659E0">
        <w:trPr>
          <w:tblHeader/>
        </w:trPr>
        <w:tc>
          <w:tcPr>
            <w:tcW w:w="3399" w:type="dxa"/>
            <w:shd w:val="clear" w:color="auto" w:fill="auto"/>
            <w:tcMar>
              <w:top w:w="15" w:type="dxa"/>
              <w:left w:w="108" w:type="dxa"/>
              <w:bottom w:w="0" w:type="dxa"/>
              <w:right w:w="108" w:type="dxa"/>
            </w:tcMar>
            <w:vAlign w:val="center"/>
            <w:hideMark/>
          </w:tcPr>
          <w:p w:rsidR="004A2396" w:rsidRPr="00DB29F7" w:rsidRDefault="004A2396" w:rsidP="006A4748">
            <w:pPr>
              <w:pStyle w:val="Tablehead"/>
            </w:pPr>
            <w:r w:rsidRPr="00DB29F7">
              <w:t>Estaciones del SRNA</w:t>
            </w:r>
          </w:p>
        </w:tc>
        <w:tc>
          <w:tcPr>
            <w:tcW w:w="1985" w:type="dxa"/>
            <w:shd w:val="clear" w:color="auto" w:fill="auto"/>
            <w:tcMar>
              <w:top w:w="15" w:type="dxa"/>
              <w:left w:w="108" w:type="dxa"/>
              <w:bottom w:w="0" w:type="dxa"/>
              <w:right w:w="108" w:type="dxa"/>
            </w:tcMar>
            <w:vAlign w:val="center"/>
            <w:hideMark/>
          </w:tcPr>
          <w:p w:rsidR="004A2396" w:rsidRPr="00DB29F7" w:rsidRDefault="004A2396" w:rsidP="006A4748">
            <w:pPr>
              <w:pStyle w:val="Tablehead"/>
            </w:pPr>
            <w:r w:rsidRPr="00DB29F7">
              <w:t>Código de tipo de sistema</w:t>
            </w:r>
          </w:p>
        </w:tc>
        <w:tc>
          <w:tcPr>
            <w:tcW w:w="2126" w:type="dxa"/>
            <w:shd w:val="clear" w:color="auto" w:fill="auto"/>
            <w:tcMar>
              <w:top w:w="15" w:type="dxa"/>
              <w:left w:w="108" w:type="dxa"/>
              <w:bottom w:w="0" w:type="dxa"/>
              <w:right w:w="108" w:type="dxa"/>
            </w:tcMar>
            <w:vAlign w:val="center"/>
          </w:tcPr>
          <w:p w:rsidR="004A2396" w:rsidRPr="00DB29F7" w:rsidRDefault="004A2396" w:rsidP="006A4748">
            <w:pPr>
              <w:pStyle w:val="Tablehead"/>
            </w:pPr>
            <w:r w:rsidRPr="00DB29F7">
              <w:t>Distancias de coordinación para las estaciones de base receptoras del SM (km)</w:t>
            </w:r>
          </w:p>
        </w:tc>
        <w:tc>
          <w:tcPr>
            <w:tcW w:w="2287" w:type="dxa"/>
            <w:shd w:val="clear" w:color="auto" w:fill="auto"/>
            <w:tcMar>
              <w:top w:w="15" w:type="dxa"/>
              <w:left w:w="108" w:type="dxa"/>
              <w:bottom w:w="0" w:type="dxa"/>
              <w:right w:w="108" w:type="dxa"/>
            </w:tcMar>
            <w:vAlign w:val="center"/>
            <w:hideMark/>
          </w:tcPr>
          <w:p w:rsidR="004A2396" w:rsidRPr="00DB29F7" w:rsidRDefault="004A2396" w:rsidP="006A4748">
            <w:pPr>
              <w:pStyle w:val="Tablehead"/>
            </w:pPr>
            <w:r w:rsidRPr="00DB29F7">
              <w:t>Distancias de coordinación para las estaciones de base transmisoras del SM (km)</w:t>
            </w:r>
          </w:p>
        </w:tc>
      </w:tr>
      <w:tr w:rsidR="004A2396" w:rsidRPr="00DB29F7" w:rsidTr="00E659E0">
        <w:tc>
          <w:tcPr>
            <w:tcW w:w="3399" w:type="dxa"/>
            <w:tcBorders>
              <w:bottom w:val="single" w:sz="2" w:space="0" w:color="2A004E"/>
            </w:tcBorders>
            <w:shd w:val="clear" w:color="auto" w:fill="auto"/>
            <w:tcMar>
              <w:top w:w="15" w:type="dxa"/>
              <w:left w:w="108" w:type="dxa"/>
              <w:bottom w:w="0" w:type="dxa"/>
              <w:right w:w="108" w:type="dxa"/>
            </w:tcMar>
            <w:hideMark/>
          </w:tcPr>
          <w:p w:rsidR="004A2396" w:rsidRPr="00DB29F7" w:rsidRDefault="004A2396" w:rsidP="006A4748">
            <w:pPr>
              <w:pStyle w:val="Tabletext"/>
            </w:pPr>
            <w:r w:rsidRPr="00DB29F7">
              <w:t>RSBN (receptor en tierra)</w:t>
            </w:r>
          </w:p>
        </w:tc>
        <w:tc>
          <w:tcPr>
            <w:tcW w:w="1985" w:type="dxa"/>
            <w:tcBorders>
              <w:bottom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2070AB">
            <w:pPr>
              <w:pStyle w:val="Tabletext"/>
              <w:jc w:val="center"/>
            </w:pPr>
            <w:r w:rsidRPr="00DB29F7">
              <w:t>AA8</w:t>
            </w:r>
          </w:p>
        </w:tc>
        <w:tc>
          <w:tcPr>
            <w:tcW w:w="2126" w:type="dxa"/>
            <w:tcBorders>
              <w:bottom w:val="single" w:sz="2" w:space="0" w:color="2A004E"/>
            </w:tcBorders>
            <w:shd w:val="clear" w:color="auto" w:fill="auto"/>
            <w:tcMar>
              <w:top w:w="15" w:type="dxa"/>
              <w:left w:w="108" w:type="dxa"/>
              <w:bottom w:w="0" w:type="dxa"/>
              <w:right w:w="108" w:type="dxa"/>
            </w:tcMar>
            <w:vAlign w:val="center"/>
          </w:tcPr>
          <w:p w:rsidR="004A2396" w:rsidRPr="00DB29F7" w:rsidRDefault="002070AB" w:rsidP="002070AB">
            <w:pPr>
              <w:pStyle w:val="Tabletext"/>
              <w:jc w:val="center"/>
            </w:pPr>
            <w:r>
              <w:t>–</w:t>
            </w:r>
          </w:p>
        </w:tc>
        <w:tc>
          <w:tcPr>
            <w:tcW w:w="2287" w:type="dxa"/>
            <w:tcBorders>
              <w:bottom w:val="single" w:sz="2" w:space="0" w:color="2A004E"/>
            </w:tcBorders>
            <w:shd w:val="clear" w:color="auto" w:fill="auto"/>
            <w:tcMar>
              <w:top w:w="15" w:type="dxa"/>
              <w:left w:w="108" w:type="dxa"/>
              <w:bottom w:w="0" w:type="dxa"/>
              <w:right w:w="108" w:type="dxa"/>
            </w:tcMar>
            <w:vAlign w:val="center"/>
            <w:hideMark/>
          </w:tcPr>
          <w:p w:rsidR="004A2396" w:rsidRPr="00DB29F7" w:rsidRDefault="002070AB" w:rsidP="002070AB">
            <w:pPr>
              <w:pStyle w:val="Tabletext"/>
              <w:jc w:val="center"/>
            </w:pPr>
            <w:r>
              <w:t>70</w:t>
            </w:r>
            <w:r w:rsidR="004A2396" w:rsidRPr="00DB29F7">
              <w:t>/125/175*</w:t>
            </w:r>
          </w:p>
        </w:tc>
      </w:tr>
      <w:tr w:rsidR="004A2396" w:rsidRPr="00DB29F7" w:rsidTr="00E659E0">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9797" w:type="dxa"/>
            <w:gridSpan w:val="4"/>
            <w:tcBorders>
              <w:top w:val="single" w:sz="2" w:space="0" w:color="2A004E"/>
              <w:left w:val="nil"/>
              <w:bottom w:val="nil"/>
              <w:right w:val="nil"/>
            </w:tcBorders>
            <w:shd w:val="clear" w:color="auto" w:fill="auto"/>
            <w:tcMar>
              <w:top w:w="15" w:type="dxa"/>
              <w:left w:w="108" w:type="dxa"/>
              <w:bottom w:w="0" w:type="dxa"/>
              <w:right w:w="108" w:type="dxa"/>
            </w:tcMar>
            <w:hideMark/>
          </w:tcPr>
          <w:p w:rsidR="004A2396" w:rsidRPr="00DB29F7" w:rsidRDefault="004A2396" w:rsidP="00E659E0">
            <w:pPr>
              <w:pStyle w:val="Tablelegend"/>
              <w:tabs>
                <w:tab w:val="clear" w:pos="567"/>
                <w:tab w:val="left" w:pos="315"/>
              </w:tabs>
              <w:spacing w:before="40"/>
            </w:pPr>
            <w:r w:rsidRPr="00DB29F7">
              <w:t>*</w:t>
            </w:r>
            <w:r w:rsidR="002070AB">
              <w:tab/>
            </w:r>
            <w:r w:rsidRPr="00DB29F7">
              <w:t>90% ≤ trayecto terrestre ≤ 100%/50% ≤ trayecto terrestre &lt; 90%/0% ≤ trayecto terrestre &lt; 50%.</w:t>
            </w:r>
          </w:p>
        </w:tc>
      </w:tr>
    </w:tbl>
    <w:p w:rsidR="004A2396" w:rsidRPr="00DB29F7" w:rsidRDefault="004A2396" w:rsidP="00E659E0">
      <w:pPr>
        <w:pStyle w:val="Heading1"/>
      </w:pPr>
      <w:r w:rsidRPr="00DB29F7">
        <w:t>2</w:t>
      </w:r>
      <w:r w:rsidRPr="00DB29F7">
        <w:tab/>
        <w:t>Otros casos</w:t>
      </w:r>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399"/>
        <w:gridCol w:w="1985"/>
        <w:gridCol w:w="2126"/>
        <w:gridCol w:w="2287"/>
      </w:tblGrid>
      <w:tr w:rsidR="004A2396" w:rsidRPr="00DB29F7" w:rsidTr="00E659E0">
        <w:trPr>
          <w:tblHeader/>
        </w:trPr>
        <w:tc>
          <w:tcPr>
            <w:tcW w:w="3399" w:type="dxa"/>
            <w:shd w:val="clear" w:color="auto" w:fill="auto"/>
            <w:tcMar>
              <w:top w:w="15" w:type="dxa"/>
              <w:left w:w="108" w:type="dxa"/>
              <w:bottom w:w="0" w:type="dxa"/>
              <w:right w:w="108" w:type="dxa"/>
            </w:tcMar>
            <w:vAlign w:val="center"/>
            <w:hideMark/>
          </w:tcPr>
          <w:p w:rsidR="004A2396" w:rsidRPr="00DB29F7" w:rsidRDefault="004A2396" w:rsidP="006A4748">
            <w:pPr>
              <w:pStyle w:val="Tablehead"/>
            </w:pPr>
            <w:r w:rsidRPr="00DB29F7">
              <w:t>Estaciones del SRNA</w:t>
            </w:r>
          </w:p>
        </w:tc>
        <w:tc>
          <w:tcPr>
            <w:tcW w:w="1985" w:type="dxa"/>
            <w:shd w:val="clear" w:color="auto" w:fill="auto"/>
            <w:tcMar>
              <w:top w:w="15" w:type="dxa"/>
              <w:left w:w="108" w:type="dxa"/>
              <w:bottom w:w="0" w:type="dxa"/>
              <w:right w:w="108" w:type="dxa"/>
            </w:tcMar>
            <w:vAlign w:val="center"/>
            <w:hideMark/>
          </w:tcPr>
          <w:p w:rsidR="004A2396" w:rsidRPr="00DB29F7" w:rsidRDefault="004A2396" w:rsidP="006A4748">
            <w:pPr>
              <w:pStyle w:val="Tablehead"/>
            </w:pPr>
            <w:r w:rsidRPr="00DB29F7">
              <w:t>Código de tipo de sistema</w:t>
            </w:r>
          </w:p>
        </w:tc>
        <w:tc>
          <w:tcPr>
            <w:tcW w:w="2126" w:type="dxa"/>
            <w:shd w:val="clear" w:color="auto" w:fill="auto"/>
            <w:tcMar>
              <w:top w:w="15" w:type="dxa"/>
              <w:left w:w="108" w:type="dxa"/>
              <w:bottom w:w="0" w:type="dxa"/>
              <w:right w:w="108" w:type="dxa"/>
            </w:tcMar>
            <w:vAlign w:val="center"/>
            <w:hideMark/>
          </w:tcPr>
          <w:p w:rsidR="004A2396" w:rsidRPr="00DB29F7" w:rsidRDefault="004A2396" w:rsidP="006A4748">
            <w:pPr>
              <w:pStyle w:val="Tablehead"/>
            </w:pPr>
            <w:r w:rsidRPr="00DB29F7">
              <w:t>Distancias de coordinación para las estaciones de base receptoras del SM (km)**</w:t>
            </w:r>
          </w:p>
        </w:tc>
        <w:tc>
          <w:tcPr>
            <w:tcW w:w="2287" w:type="dxa"/>
            <w:shd w:val="clear" w:color="auto" w:fill="auto"/>
            <w:tcMar>
              <w:top w:w="15" w:type="dxa"/>
              <w:left w:w="108" w:type="dxa"/>
              <w:bottom w:w="0" w:type="dxa"/>
              <w:right w:w="108" w:type="dxa"/>
            </w:tcMar>
            <w:vAlign w:val="center"/>
            <w:hideMark/>
          </w:tcPr>
          <w:p w:rsidR="004A2396" w:rsidRPr="00DB29F7" w:rsidRDefault="004A2396" w:rsidP="006A4748">
            <w:pPr>
              <w:pStyle w:val="Tablehead"/>
            </w:pPr>
            <w:r w:rsidRPr="00DB29F7">
              <w:t>Distancias de coordinación para las estaciones de base transmisoras del SM (km)</w:t>
            </w:r>
          </w:p>
        </w:tc>
      </w:tr>
      <w:tr w:rsidR="004A2396" w:rsidRPr="00DB29F7" w:rsidTr="00E659E0">
        <w:tc>
          <w:tcPr>
            <w:tcW w:w="3399" w:type="dxa"/>
            <w:shd w:val="clear" w:color="auto" w:fill="auto"/>
            <w:tcMar>
              <w:top w:w="15" w:type="dxa"/>
              <w:left w:w="108" w:type="dxa"/>
              <w:bottom w:w="0" w:type="dxa"/>
              <w:right w:w="108" w:type="dxa"/>
            </w:tcMar>
            <w:hideMark/>
          </w:tcPr>
          <w:p w:rsidR="004A2396" w:rsidRPr="00DB29F7" w:rsidRDefault="004A2396" w:rsidP="006A4748">
            <w:pPr>
              <w:pStyle w:val="Tabletext"/>
            </w:pPr>
            <w:r w:rsidRPr="00DB29F7">
              <w:t>RSBN</w:t>
            </w:r>
          </w:p>
        </w:tc>
        <w:tc>
          <w:tcPr>
            <w:tcW w:w="1985"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AA8</w:t>
            </w:r>
          </w:p>
        </w:tc>
        <w:tc>
          <w:tcPr>
            <w:tcW w:w="2126"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50</w:t>
            </w:r>
          </w:p>
        </w:tc>
        <w:tc>
          <w:tcPr>
            <w:tcW w:w="2287"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125/175*</w:t>
            </w:r>
          </w:p>
        </w:tc>
      </w:tr>
      <w:tr w:rsidR="004A2396" w:rsidRPr="00DB29F7" w:rsidTr="00E659E0">
        <w:tc>
          <w:tcPr>
            <w:tcW w:w="3399" w:type="dxa"/>
            <w:shd w:val="clear" w:color="auto" w:fill="auto"/>
            <w:tcMar>
              <w:top w:w="15" w:type="dxa"/>
              <w:left w:w="108" w:type="dxa"/>
              <w:bottom w:w="0" w:type="dxa"/>
              <w:right w:w="108" w:type="dxa"/>
            </w:tcMar>
            <w:hideMark/>
          </w:tcPr>
          <w:p w:rsidR="004A2396" w:rsidRPr="00DB29F7" w:rsidRDefault="004A2396" w:rsidP="006A4748">
            <w:pPr>
              <w:pStyle w:val="Tabletext"/>
            </w:pPr>
            <w:r w:rsidRPr="00DB29F7">
              <w:t>RLS 2 (tipo 1) (receptor aerotransportado)</w:t>
            </w:r>
          </w:p>
        </w:tc>
        <w:tc>
          <w:tcPr>
            <w:tcW w:w="1985"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BD</w:t>
            </w:r>
          </w:p>
        </w:tc>
        <w:tc>
          <w:tcPr>
            <w:tcW w:w="2126"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410</w:t>
            </w:r>
          </w:p>
        </w:tc>
        <w:tc>
          <w:tcPr>
            <w:tcW w:w="2287"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432</w:t>
            </w:r>
          </w:p>
        </w:tc>
      </w:tr>
      <w:tr w:rsidR="004A2396" w:rsidRPr="00DB29F7" w:rsidTr="00E659E0">
        <w:tc>
          <w:tcPr>
            <w:tcW w:w="3399" w:type="dxa"/>
            <w:shd w:val="clear" w:color="auto" w:fill="auto"/>
            <w:tcMar>
              <w:top w:w="15" w:type="dxa"/>
              <w:left w:w="108" w:type="dxa"/>
              <w:bottom w:w="0" w:type="dxa"/>
              <w:right w:w="108" w:type="dxa"/>
            </w:tcMar>
            <w:hideMark/>
          </w:tcPr>
          <w:p w:rsidR="004A2396" w:rsidRPr="00DB29F7" w:rsidRDefault="004A2396" w:rsidP="006A4748">
            <w:pPr>
              <w:pStyle w:val="Tabletext"/>
            </w:pPr>
            <w:r w:rsidRPr="00DB29F7">
              <w:t>RLS 2 (tipo 1) (receptor en tierra)</w:t>
            </w:r>
          </w:p>
        </w:tc>
        <w:tc>
          <w:tcPr>
            <w:tcW w:w="1985"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BA</w:t>
            </w:r>
          </w:p>
        </w:tc>
        <w:tc>
          <w:tcPr>
            <w:tcW w:w="2126"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50</w:t>
            </w:r>
          </w:p>
        </w:tc>
        <w:tc>
          <w:tcPr>
            <w:tcW w:w="2287"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250/275*</w:t>
            </w:r>
          </w:p>
        </w:tc>
      </w:tr>
      <w:tr w:rsidR="004A2396" w:rsidRPr="00DB29F7" w:rsidTr="00E659E0">
        <w:tc>
          <w:tcPr>
            <w:tcW w:w="3399" w:type="dxa"/>
            <w:shd w:val="clear" w:color="auto" w:fill="auto"/>
            <w:tcMar>
              <w:top w:w="15" w:type="dxa"/>
              <w:left w:w="108" w:type="dxa"/>
              <w:bottom w:w="0" w:type="dxa"/>
              <w:right w:w="108" w:type="dxa"/>
            </w:tcMar>
            <w:hideMark/>
          </w:tcPr>
          <w:p w:rsidR="004A2396" w:rsidRPr="00DB29F7" w:rsidRDefault="004A2396" w:rsidP="006A4748">
            <w:pPr>
              <w:pStyle w:val="Tabletext"/>
            </w:pPr>
            <w:r w:rsidRPr="00DB29F7">
              <w:t>RLS 2 (tipo 2) (receptor aerotransportado)</w:t>
            </w:r>
          </w:p>
        </w:tc>
        <w:tc>
          <w:tcPr>
            <w:tcW w:w="1985"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BC</w:t>
            </w:r>
          </w:p>
        </w:tc>
        <w:tc>
          <w:tcPr>
            <w:tcW w:w="2126"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150</w:t>
            </w:r>
          </w:p>
        </w:tc>
        <w:tc>
          <w:tcPr>
            <w:tcW w:w="2287" w:type="dxa"/>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432</w:t>
            </w:r>
          </w:p>
        </w:tc>
      </w:tr>
      <w:tr w:rsidR="004A2396" w:rsidRPr="00DB29F7" w:rsidTr="00E659E0">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3399"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4A2396" w:rsidRPr="00DB29F7" w:rsidRDefault="004A2396" w:rsidP="006A4748">
            <w:pPr>
              <w:pStyle w:val="Tabletext"/>
            </w:pPr>
            <w:r w:rsidRPr="00DB29F7">
              <w:t>RLS 2 (tipo 2) (receptor en tierra)</w:t>
            </w:r>
          </w:p>
        </w:tc>
        <w:tc>
          <w:tcPr>
            <w:tcW w:w="198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AA2</w:t>
            </w:r>
          </w:p>
        </w:tc>
        <w:tc>
          <w:tcPr>
            <w:tcW w:w="2126"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50/75*</w:t>
            </w:r>
          </w:p>
        </w:tc>
        <w:tc>
          <w:tcPr>
            <w:tcW w:w="2287"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300/325*</w:t>
            </w:r>
          </w:p>
        </w:tc>
      </w:tr>
      <w:tr w:rsidR="004A2396" w:rsidRPr="00DB29F7" w:rsidTr="00E659E0">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3399"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4A2396" w:rsidRPr="00DB29F7" w:rsidRDefault="004A2396" w:rsidP="006A4748">
            <w:pPr>
              <w:pStyle w:val="Tabletext"/>
            </w:pPr>
            <w:r w:rsidRPr="00DB29F7">
              <w:t>RLS 1 (tipos 1 y 2) (receptor en tierra)</w:t>
            </w:r>
          </w:p>
        </w:tc>
        <w:tc>
          <w:tcPr>
            <w:tcW w:w="198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AB</w:t>
            </w:r>
          </w:p>
        </w:tc>
        <w:tc>
          <w:tcPr>
            <w:tcW w:w="2126"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125/175*</w:t>
            </w:r>
          </w:p>
        </w:tc>
        <w:tc>
          <w:tcPr>
            <w:tcW w:w="2287"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400/450*</w:t>
            </w:r>
          </w:p>
        </w:tc>
      </w:tr>
      <w:tr w:rsidR="004A2396" w:rsidRPr="00DB29F7" w:rsidTr="00E659E0">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3399"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4A2396" w:rsidRPr="00DB29F7" w:rsidRDefault="004A2396" w:rsidP="006A4748">
            <w:pPr>
              <w:pStyle w:val="Tabletext"/>
            </w:pPr>
            <w:r w:rsidRPr="00DB29F7">
              <w:t>Otras estaciones terrenas del SRNA</w:t>
            </w:r>
          </w:p>
        </w:tc>
        <w:tc>
          <w:tcPr>
            <w:tcW w:w="198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No se aplica</w:t>
            </w:r>
          </w:p>
        </w:tc>
        <w:tc>
          <w:tcPr>
            <w:tcW w:w="2126"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125/175*</w:t>
            </w:r>
          </w:p>
        </w:tc>
        <w:tc>
          <w:tcPr>
            <w:tcW w:w="2287"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400/450*</w:t>
            </w:r>
          </w:p>
        </w:tc>
      </w:tr>
      <w:tr w:rsidR="004A2396" w:rsidRPr="00DB29F7" w:rsidTr="00E659E0">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3399"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4A2396" w:rsidRPr="00DB29F7" w:rsidRDefault="004A2396" w:rsidP="006A4748">
            <w:pPr>
              <w:pStyle w:val="Tabletext"/>
            </w:pPr>
            <w:r w:rsidRPr="00DB29F7">
              <w:lastRenderedPageBreak/>
              <w:t>Otras estaciones aerotransportadas del SRNA</w:t>
            </w:r>
          </w:p>
        </w:tc>
        <w:tc>
          <w:tcPr>
            <w:tcW w:w="198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No se aplica</w:t>
            </w:r>
          </w:p>
        </w:tc>
        <w:tc>
          <w:tcPr>
            <w:tcW w:w="2126"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410</w:t>
            </w:r>
          </w:p>
        </w:tc>
        <w:tc>
          <w:tcPr>
            <w:tcW w:w="2287"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4A2396" w:rsidRPr="00DB29F7" w:rsidRDefault="004A2396" w:rsidP="00E659E0">
            <w:pPr>
              <w:pStyle w:val="Tabletext"/>
              <w:jc w:val="center"/>
            </w:pPr>
            <w:r w:rsidRPr="00DB29F7">
              <w:t>432</w:t>
            </w:r>
          </w:p>
        </w:tc>
      </w:tr>
      <w:tr w:rsidR="004A2396" w:rsidRPr="00DB29F7" w:rsidTr="00E659E0">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c>
          <w:tcPr>
            <w:tcW w:w="9797" w:type="dxa"/>
            <w:gridSpan w:val="4"/>
            <w:tcBorders>
              <w:top w:val="single" w:sz="2" w:space="0" w:color="2A004E"/>
              <w:left w:val="nil"/>
              <w:bottom w:val="nil"/>
              <w:right w:val="nil"/>
            </w:tcBorders>
            <w:shd w:val="clear" w:color="auto" w:fill="auto"/>
            <w:tcMar>
              <w:top w:w="15" w:type="dxa"/>
              <w:left w:w="108" w:type="dxa"/>
              <w:bottom w:w="0" w:type="dxa"/>
              <w:right w:w="108" w:type="dxa"/>
            </w:tcMar>
            <w:hideMark/>
          </w:tcPr>
          <w:p w:rsidR="004A2396" w:rsidRPr="00DB29F7" w:rsidRDefault="00E659E0" w:rsidP="00CF046A">
            <w:pPr>
              <w:pStyle w:val="Tabletext"/>
            </w:pPr>
            <w:r>
              <w:t>*</w:t>
            </w:r>
            <w:r>
              <w:tab/>
            </w:r>
            <w:r w:rsidR="004A2396" w:rsidRPr="00DB29F7">
              <w:t>50% ≤ trayecto terrestre ≤ 100%/0% ≤ trayecto terrestre &lt; 50%.</w:t>
            </w:r>
          </w:p>
          <w:p w:rsidR="004A2396" w:rsidRPr="00DB29F7" w:rsidRDefault="00E659E0" w:rsidP="006A4748">
            <w:pPr>
              <w:pStyle w:val="Tabletext"/>
              <w:rPr>
                <w:highlight w:val="yellow"/>
              </w:rPr>
            </w:pPr>
            <w:r>
              <w:t>**</w:t>
            </w:r>
            <w:r>
              <w:tab/>
            </w:r>
            <w:r w:rsidR="004A2396" w:rsidRPr="00DB29F7">
              <w:t xml:space="preserve">Las distancias de coordinación de las estaciones de base receptoras del SM se basan en la protección de estaciones del SRNA contra estaciones móviles y no garantizan la protección de estaciones de base receptoras del SM contra estaciones del SRNA. </w:t>
            </w:r>
          </w:p>
        </w:tc>
      </w:tr>
    </w:tbl>
    <w:p w:rsidR="004A2396" w:rsidRDefault="004A2396" w:rsidP="00E659E0">
      <w:pPr>
        <w:pStyle w:val="Reasons"/>
      </w:pPr>
      <w:r w:rsidRPr="00DB29F7">
        <w:rPr>
          <w:b/>
        </w:rPr>
        <w:t>Motivos:</w:t>
      </w:r>
      <w:r w:rsidRPr="00DB29F7">
        <w:tab/>
        <w:t xml:space="preserve">La finalidad de esta nueva Resolución es especificar las condiciones técnicas y reglamentarias aplicables a la atribución al servicio móvil, salvo móvil aeronáutico, de conformidad con el </w:t>
      </w:r>
      <w:r w:rsidRPr="00DB29F7">
        <w:rPr>
          <w:i/>
          <w:iCs/>
        </w:rPr>
        <w:t>resuelve</w:t>
      </w:r>
      <w:r w:rsidR="002B77A1">
        <w:rPr>
          <w:i/>
          <w:iCs/>
        </w:rPr>
        <w:t> </w:t>
      </w:r>
      <w:r w:rsidRPr="00DB29F7">
        <w:t>5 de la Resolución</w:t>
      </w:r>
      <w:r w:rsidR="002B77A1">
        <w:t> </w:t>
      </w:r>
      <w:r w:rsidRPr="00DB29F7">
        <w:rPr>
          <w:rFonts w:eastAsia="Calibri"/>
        </w:rPr>
        <w:t>232 (CMR-12)</w:t>
      </w:r>
      <w:r w:rsidRPr="00DB29F7">
        <w:t xml:space="preserve">, teniendo en cuenta los resultados de los estudios realizados por el UIT-R en respuesta a los </w:t>
      </w:r>
      <w:r w:rsidRPr="00DB29F7">
        <w:rPr>
          <w:i/>
          <w:iCs/>
        </w:rPr>
        <w:t>invita al UIT-R,</w:t>
      </w:r>
      <w:r w:rsidR="002B77A1">
        <w:t xml:space="preserve"> 1 a 6 de la Resolución </w:t>
      </w:r>
      <w:r w:rsidRPr="00DB29F7">
        <w:rPr>
          <w:rFonts w:eastAsia="Calibri"/>
        </w:rPr>
        <w:t>232 (CMR-12)</w:t>
      </w:r>
      <w:r w:rsidRPr="00DB29F7">
        <w:t>.</w:t>
      </w:r>
    </w:p>
    <w:p w:rsidR="00CF719E" w:rsidRDefault="00CF719E" w:rsidP="00E659E0">
      <w:pPr>
        <w:pStyle w:val="Reasons"/>
      </w:pPr>
    </w:p>
    <w:p w:rsidR="00D8521D" w:rsidRPr="00DB29F7" w:rsidRDefault="00CF719E" w:rsidP="00CF719E">
      <w:pPr>
        <w:pStyle w:val="Reasons"/>
        <w:jc w:val="center"/>
      </w:pPr>
      <w:r>
        <w:t>_________________</w:t>
      </w:r>
    </w:p>
    <w:sectPr w:rsidR="00D8521D" w:rsidRPr="00DB29F7">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35DE1">
      <w:rPr>
        <w:noProof/>
      </w:rPr>
      <w:t>09.11.15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F7" w:rsidRDefault="00435DE1" w:rsidP="00DB29F7">
    <w:pPr>
      <w:pStyle w:val="Footer"/>
    </w:pPr>
    <w:r>
      <w:fldChar w:fldCharType="begin"/>
    </w:r>
    <w:r>
      <w:instrText xml:space="preserve"> FILENAME \p  \* MERGEFORMAT </w:instrText>
    </w:r>
    <w:r>
      <w:fldChar w:fldCharType="separate"/>
    </w:r>
    <w:r w:rsidR="00DB29F7">
      <w:t>P:\ESP\ITU-R\CONF-R\CMR15\000\009ADD02ADD03S.docx</w:t>
    </w:r>
    <w:r>
      <w:fldChar w:fldCharType="end"/>
    </w:r>
    <w:r w:rsidR="00DB29F7">
      <w:t xml:space="preserve"> (389843)</w:t>
    </w:r>
    <w:r w:rsidR="00DB29F7">
      <w:tab/>
    </w:r>
    <w:r w:rsidR="00DB29F7">
      <w:fldChar w:fldCharType="begin"/>
    </w:r>
    <w:r w:rsidR="00DB29F7">
      <w:instrText xml:space="preserve"> SAVEDATE \@ DD.MM.YY </w:instrText>
    </w:r>
    <w:r w:rsidR="00DB29F7">
      <w:fldChar w:fldCharType="separate"/>
    </w:r>
    <w:r>
      <w:t>09.11.15</w:t>
    </w:r>
    <w:r w:rsidR="00DB29F7">
      <w:fldChar w:fldCharType="end"/>
    </w:r>
    <w:r w:rsidR="00DB29F7">
      <w:tab/>
    </w:r>
    <w:r w:rsidR="00DB29F7">
      <w:fldChar w:fldCharType="begin"/>
    </w:r>
    <w:r w:rsidR="00DB29F7">
      <w:instrText xml:space="preserve"> PRINTDATE \@ DD.MM.YY </w:instrText>
    </w:r>
    <w:r w:rsidR="00DB29F7">
      <w:fldChar w:fldCharType="separate"/>
    </w:r>
    <w:r w:rsidR="00DB29F7">
      <w:t>19.02.03</w:t>
    </w:r>
    <w:r w:rsidR="00DB29F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EF" w:rsidRDefault="002D5DAD">
    <w:pPr>
      <w:pStyle w:val="Footer"/>
    </w:pPr>
    <w:fldSimple w:instr=" FILENAME \p  \* MERGEFORMAT ">
      <w:r w:rsidR="009428EF">
        <w:t>P:\ESP\ITU-R\CONF-R\CMR15\000\009ADD02ADD03S.docx</w:t>
      </w:r>
    </w:fldSimple>
    <w:r w:rsidR="009428EF">
      <w:t xml:space="preserve"> (</w:t>
    </w:r>
    <w:r w:rsidR="00DB29F7">
      <w:t>389843</w:t>
    </w:r>
    <w:r w:rsidR="009428EF">
      <w:t>)</w:t>
    </w:r>
    <w:r w:rsidR="009428EF">
      <w:tab/>
    </w:r>
    <w:r w:rsidR="009428EF">
      <w:fldChar w:fldCharType="begin"/>
    </w:r>
    <w:r w:rsidR="009428EF">
      <w:instrText xml:space="preserve"> SAVEDATE \@ DD.MM.YY </w:instrText>
    </w:r>
    <w:r w:rsidR="009428EF">
      <w:fldChar w:fldCharType="separate"/>
    </w:r>
    <w:r w:rsidR="00435DE1">
      <w:t>09.11.15</w:t>
    </w:r>
    <w:r w:rsidR="009428EF">
      <w:fldChar w:fldCharType="end"/>
    </w:r>
    <w:r w:rsidR="009428EF">
      <w:tab/>
    </w:r>
    <w:r w:rsidR="009428EF">
      <w:fldChar w:fldCharType="begin"/>
    </w:r>
    <w:r w:rsidR="009428EF">
      <w:instrText xml:space="preserve"> PRINTDATE \@ DD.MM.YY </w:instrText>
    </w:r>
    <w:r w:rsidR="009428EF">
      <w:fldChar w:fldCharType="separate"/>
    </w:r>
    <w:r w:rsidR="009428EF">
      <w:t>19.02.03</w:t>
    </w:r>
    <w:r w:rsidR="009428E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35DE1">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070AB"/>
    <w:rsid w:val="00236D2A"/>
    <w:rsid w:val="00255F12"/>
    <w:rsid w:val="00262C09"/>
    <w:rsid w:val="002A791F"/>
    <w:rsid w:val="002B77A1"/>
    <w:rsid w:val="002C1B26"/>
    <w:rsid w:val="002C5D6C"/>
    <w:rsid w:val="002D5DAD"/>
    <w:rsid w:val="002E701F"/>
    <w:rsid w:val="003248A9"/>
    <w:rsid w:val="00324FFA"/>
    <w:rsid w:val="0032680B"/>
    <w:rsid w:val="00363A65"/>
    <w:rsid w:val="003B1E8C"/>
    <w:rsid w:val="003C2508"/>
    <w:rsid w:val="003D0AA3"/>
    <w:rsid w:val="00435DE1"/>
    <w:rsid w:val="00440B3A"/>
    <w:rsid w:val="0045384C"/>
    <w:rsid w:val="00454553"/>
    <w:rsid w:val="004A2396"/>
    <w:rsid w:val="004B124A"/>
    <w:rsid w:val="004B3095"/>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0C07"/>
    <w:rsid w:val="007D330A"/>
    <w:rsid w:val="00866AE6"/>
    <w:rsid w:val="008750A8"/>
    <w:rsid w:val="008E5AF2"/>
    <w:rsid w:val="0090121B"/>
    <w:rsid w:val="009144C9"/>
    <w:rsid w:val="0094091F"/>
    <w:rsid w:val="009428EF"/>
    <w:rsid w:val="00973754"/>
    <w:rsid w:val="009A07BF"/>
    <w:rsid w:val="009C0BED"/>
    <w:rsid w:val="009E11EC"/>
    <w:rsid w:val="00A118DB"/>
    <w:rsid w:val="00A4450C"/>
    <w:rsid w:val="00A92CAA"/>
    <w:rsid w:val="00AA5E6C"/>
    <w:rsid w:val="00AE5677"/>
    <w:rsid w:val="00AE658F"/>
    <w:rsid w:val="00AF2F78"/>
    <w:rsid w:val="00B239FA"/>
    <w:rsid w:val="00B52D55"/>
    <w:rsid w:val="00B8288C"/>
    <w:rsid w:val="00BE2E80"/>
    <w:rsid w:val="00BE5EDD"/>
    <w:rsid w:val="00BE6A1F"/>
    <w:rsid w:val="00C126C4"/>
    <w:rsid w:val="00C63EB5"/>
    <w:rsid w:val="00CB5BB8"/>
    <w:rsid w:val="00CC01E0"/>
    <w:rsid w:val="00CD5FEE"/>
    <w:rsid w:val="00CE60D2"/>
    <w:rsid w:val="00CE7431"/>
    <w:rsid w:val="00CF046A"/>
    <w:rsid w:val="00CF719E"/>
    <w:rsid w:val="00D0288A"/>
    <w:rsid w:val="00D72A5D"/>
    <w:rsid w:val="00D8521D"/>
    <w:rsid w:val="00DB29F7"/>
    <w:rsid w:val="00DC629B"/>
    <w:rsid w:val="00E05BFF"/>
    <w:rsid w:val="00E262F1"/>
    <w:rsid w:val="00E3176A"/>
    <w:rsid w:val="00E54754"/>
    <w:rsid w:val="00E56BD3"/>
    <w:rsid w:val="00E659E0"/>
    <w:rsid w:val="00E71D14"/>
    <w:rsid w:val="00E73FE7"/>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3B61941-1151-4067-B46C-7FE8A167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styleId="Strong">
    <w:name w:val="Strong"/>
    <w:aliases w:val="ECC HL bold"/>
    <w:basedOn w:val="DefaultParagraphFont"/>
    <w:uiPriority w:val="1"/>
    <w:qFormat/>
    <w:rsid w:val="004A2396"/>
    <w:rPr>
      <w:b/>
      <w:bCs/>
    </w:rPr>
  </w:style>
  <w:style w:type="paragraph" w:customStyle="1" w:styleId="headingb0">
    <w:name w:val="heading_b"/>
    <w:basedOn w:val="Heading3"/>
    <w:next w:val="Normal"/>
    <w:uiPriority w:val="99"/>
    <w:rsid w:val="004A2396"/>
    <w:pPr>
      <w:tabs>
        <w:tab w:val="left" w:pos="567"/>
        <w:tab w:val="left" w:pos="1701"/>
        <w:tab w:val="left" w:pos="2835"/>
      </w:tabs>
      <w:spacing w:before="160"/>
      <w:ind w:left="0" w:firstLine="0"/>
      <w:outlineLvl w:val="9"/>
    </w:pPr>
    <w:rPr>
      <w:bCs/>
      <w:lang w:val="fr-FR"/>
    </w:rPr>
  </w:style>
  <w:style w:type="character" w:customStyle="1" w:styleId="NormalaftertitleChar">
    <w:name w:val="Normal after title Char"/>
    <w:basedOn w:val="DefaultParagraphFont"/>
    <w:link w:val="Normalaftertitle"/>
    <w:rsid w:val="004A2396"/>
    <w:rPr>
      <w:rFonts w:ascii="Times New Roman" w:hAnsi="Times New Roman"/>
      <w:sz w:val="24"/>
      <w:lang w:val="es-ES_tradnl" w:eastAsia="en-US"/>
    </w:rPr>
  </w:style>
  <w:style w:type="character" w:customStyle="1" w:styleId="hps">
    <w:name w:val="hps"/>
    <w:basedOn w:val="DefaultParagraphFont"/>
    <w:rsid w:val="004A2396"/>
  </w:style>
  <w:style w:type="character" w:customStyle="1" w:styleId="TabletextChar">
    <w:name w:val="Table_text Char"/>
    <w:basedOn w:val="DefaultParagraphFont"/>
    <w:link w:val="Tabletext"/>
    <w:locked/>
    <w:rsid w:val="004A2396"/>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R15-WRC15-C-0009!A2-A3!MSW-S</DPM_x0020_File_x0020_name>
    <DPM_x0020_Author xmlns="32a1a8c5-2265-4ebc-b7a0-2071e2c5c9bb" xsi:nil="false">Documents Proposals Manager (DPM)</DPM_x0020_Author>
    <DPM_x0020_Version xmlns="32a1a8c5-2265-4ebc-b7a0-2071e2c5c9bb" xsi:nil="false">DPM_v5.2015.11.94_prod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40EA-4D02-4BEA-8371-BCB416523D0D}">
  <ds:schemaRefs>
    <ds:schemaRef ds:uri="http://schemas.openxmlformats.org/package/2006/metadata/core-properties"/>
    <ds:schemaRef ds:uri="http://www.w3.org/XML/1998/namespace"/>
    <ds:schemaRef ds:uri="http://schemas.microsoft.com/office/2006/documentManagement/types"/>
    <ds:schemaRef ds:uri="http://purl.org/dc/terms/"/>
    <ds:schemaRef ds:uri="996b2e75-67fd-4955-a3b0-5ab9934cb50b"/>
    <ds:schemaRef ds:uri="32a1a8c5-2265-4ebc-b7a0-2071e2c5c9bb"/>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422C43FD-6853-473B-BC2A-BD16BADA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1083</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R15-WRC15-C-0009!A2-A3!MSW-S</vt:lpstr>
    </vt:vector>
  </TitlesOfParts>
  <Manager>Secretaría General - Pool</Manager>
  <Company>Unión Internacional de Telecomunicaciones (UIT)</Company>
  <LinksUpToDate>false</LinksUpToDate>
  <CharactersWithSpaces>6820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R15-WRC15-C-0009!A2-A3!MSW-S</dc:title>
  <dc:subject>Conferencia Mundial de Radiocomunicaciones - 2015</dc:subject>
  <dc:creator>Documents Proposals Manager (DPM)</dc:creator>
  <cp:keywords>DPM_v5.2015.11.94_prod</cp:keywords>
  <dc:description/>
  <cp:lastModifiedBy>Spanish</cp:lastModifiedBy>
  <cp:revision>14</cp:revision>
  <cp:lastPrinted>2003-02-19T20:20:00Z</cp:lastPrinted>
  <dcterms:created xsi:type="dcterms:W3CDTF">2015-11-09T15:41:00Z</dcterms:created>
  <dcterms:modified xsi:type="dcterms:W3CDTF">2015-11-09T17:32:00Z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