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B1A18" w:rsidTr="001226EC">
        <w:trPr>
          <w:cantSplit/>
        </w:trPr>
        <w:tc>
          <w:tcPr>
            <w:tcW w:w="6771" w:type="dxa"/>
          </w:tcPr>
          <w:p w:rsidR="005651C9" w:rsidRPr="006B1A1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B1A1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B1A18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B1A18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B1A18">
              <w:rPr>
                <w:rFonts w:ascii="Verdana" w:hAnsi="Verdana"/>
                <w:b/>
                <w:bCs/>
                <w:szCs w:val="22"/>
              </w:rPr>
              <w:t>15)</w:t>
            </w:r>
            <w:r w:rsidRPr="006B1A1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B1A1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B1A1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B1A18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B1A1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B1A1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B1A1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B1A1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B1A1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B1A1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B1A1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B1A1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B1A1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B1A18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  <w:shd w:val="clear" w:color="auto" w:fill="auto"/>
          </w:tcPr>
          <w:p w:rsidR="005651C9" w:rsidRPr="006B1A1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1A1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6B1A1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6B1A1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</w:t>
            </w:r>
            <w:proofErr w:type="spellEnd"/>
            <w:r w:rsidRPr="006B1A1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B1A1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B1A1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B1A1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B1A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B1A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1A18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6B1A18" w:rsidTr="001226EC">
        <w:trPr>
          <w:cantSplit/>
        </w:trPr>
        <w:tc>
          <w:tcPr>
            <w:tcW w:w="6771" w:type="dxa"/>
          </w:tcPr>
          <w:p w:rsidR="000F33D8" w:rsidRPr="006B1A1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B1A1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1A1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B1A18" w:rsidTr="009546EA">
        <w:trPr>
          <w:cantSplit/>
        </w:trPr>
        <w:tc>
          <w:tcPr>
            <w:tcW w:w="10031" w:type="dxa"/>
            <w:gridSpan w:val="2"/>
          </w:tcPr>
          <w:p w:rsidR="000F33D8" w:rsidRPr="006B1A1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B1A18">
        <w:trPr>
          <w:cantSplit/>
        </w:trPr>
        <w:tc>
          <w:tcPr>
            <w:tcW w:w="10031" w:type="dxa"/>
            <w:gridSpan w:val="2"/>
          </w:tcPr>
          <w:p w:rsidR="000F33D8" w:rsidRPr="006B1A18" w:rsidRDefault="000F33D8" w:rsidP="00DF40BF">
            <w:pPr>
              <w:pStyle w:val="Source"/>
            </w:pPr>
            <w:bookmarkStart w:id="4" w:name="dsource" w:colFirst="0" w:colLast="0"/>
            <w:r w:rsidRPr="006B1A18">
              <w:t>Общие предложения европейских стран</w:t>
            </w:r>
          </w:p>
        </w:tc>
      </w:tr>
      <w:tr w:rsidR="000F33D8" w:rsidRPr="006B1A18">
        <w:trPr>
          <w:cantSplit/>
        </w:trPr>
        <w:tc>
          <w:tcPr>
            <w:tcW w:w="10031" w:type="dxa"/>
            <w:gridSpan w:val="2"/>
          </w:tcPr>
          <w:p w:rsidR="000F33D8" w:rsidRPr="006B1A18" w:rsidRDefault="00DF40BF" w:rsidP="00DF40BF">
            <w:pPr>
              <w:pStyle w:val="Title1"/>
            </w:pPr>
            <w:bookmarkStart w:id="5" w:name="dtitle1" w:colFirst="0" w:colLast="0"/>
            <w:bookmarkEnd w:id="4"/>
            <w:r w:rsidRPr="006B1A18">
              <w:t>Предложения для работы конф</w:t>
            </w:r>
            <w:bookmarkStart w:id="6" w:name="_GoBack"/>
            <w:bookmarkEnd w:id="6"/>
            <w:r w:rsidRPr="006B1A18">
              <w:t>еренции</w:t>
            </w:r>
          </w:p>
        </w:tc>
      </w:tr>
      <w:tr w:rsidR="000F33D8" w:rsidRPr="006B1A18">
        <w:trPr>
          <w:cantSplit/>
        </w:trPr>
        <w:tc>
          <w:tcPr>
            <w:tcW w:w="10031" w:type="dxa"/>
            <w:gridSpan w:val="2"/>
          </w:tcPr>
          <w:p w:rsidR="000F33D8" w:rsidRPr="006B1A18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5"/>
          </w:p>
        </w:tc>
      </w:tr>
      <w:tr w:rsidR="000F33D8" w:rsidRPr="006B1A18">
        <w:trPr>
          <w:cantSplit/>
        </w:trPr>
        <w:tc>
          <w:tcPr>
            <w:tcW w:w="10031" w:type="dxa"/>
            <w:gridSpan w:val="2"/>
          </w:tcPr>
          <w:p w:rsidR="000F33D8" w:rsidRPr="006B1A18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6B1A18">
              <w:rPr>
                <w:lang w:val="ru-RU"/>
              </w:rPr>
              <w:t>Пункт 1.2 повестки дня</w:t>
            </w:r>
          </w:p>
        </w:tc>
      </w:tr>
    </w:tbl>
    <w:bookmarkEnd w:id="8"/>
    <w:p w:rsidR="00D51940" w:rsidRPr="006B1A18" w:rsidRDefault="00407E3F" w:rsidP="00DF40BF">
      <w:pPr>
        <w:pStyle w:val="Normalaftertitle"/>
        <w:rPr>
          <w:lang w:eastAsia="nl-NL"/>
        </w:rPr>
      </w:pPr>
      <w:r w:rsidRPr="006B1A18">
        <w:t>1.2</w:t>
      </w:r>
      <w:r w:rsidRPr="006B1A18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6B1A18">
        <w:rPr>
          <w:lang w:eastAsia="nl-NL"/>
        </w:rPr>
        <w:t xml:space="preserve"> </w:t>
      </w:r>
      <w:r w:rsidRPr="006B1A18">
        <w:rPr>
          <w:b/>
          <w:bCs/>
        </w:rPr>
        <w:t xml:space="preserve">232 </w:t>
      </w:r>
      <w:r w:rsidRPr="006B1A18">
        <w:rPr>
          <w:b/>
          <w:bCs/>
          <w:lang w:eastAsia="nl-NL"/>
        </w:rPr>
        <w:t>(</w:t>
      </w:r>
      <w:proofErr w:type="spellStart"/>
      <w:r w:rsidRPr="006B1A18">
        <w:rPr>
          <w:b/>
          <w:bCs/>
          <w:lang w:eastAsia="nl-NL"/>
        </w:rPr>
        <w:t>ВКР</w:t>
      </w:r>
      <w:proofErr w:type="spellEnd"/>
      <w:r w:rsidRPr="006B1A18">
        <w:rPr>
          <w:b/>
          <w:bCs/>
          <w:lang w:eastAsia="nl-NL"/>
        </w:rPr>
        <w:t>-12)</w:t>
      </w:r>
      <w:r w:rsidRPr="006B1A18">
        <w:rPr>
          <w:lang w:eastAsia="nl-NL"/>
        </w:rPr>
        <w:t>,</w:t>
      </w:r>
      <w:r w:rsidRPr="006B1A18">
        <w:t xml:space="preserve"> и принять надлежащие меры</w:t>
      </w:r>
      <w:r w:rsidRPr="006B1A18">
        <w:rPr>
          <w:lang w:eastAsia="nl-NL"/>
        </w:rPr>
        <w:t>;</w:t>
      </w:r>
    </w:p>
    <w:p w:rsidR="00DF40BF" w:rsidRPr="006B1A18" w:rsidRDefault="00DF40BF" w:rsidP="00DF40BF">
      <w:r w:rsidRPr="006B1A18">
        <w:t xml:space="preserve">Пункт 1.2 повестки дня </w:t>
      </w:r>
      <w:proofErr w:type="spellStart"/>
      <w:r w:rsidRPr="006B1A18">
        <w:t>ВКР</w:t>
      </w:r>
      <w:proofErr w:type="spellEnd"/>
      <w:r w:rsidRPr="006B1A18">
        <w:t>-15 касается исследований, проведенных в соответствии с Резолюцией 232 (</w:t>
      </w:r>
      <w:proofErr w:type="spellStart"/>
      <w:r w:rsidRPr="006B1A18">
        <w:t>ВКР</w:t>
      </w:r>
      <w:proofErr w:type="spellEnd"/>
      <w:r w:rsidRPr="006B1A18">
        <w:t xml:space="preserve">-12) об использовании полосы частот 694−790 МГц подвижной, за исключением воздушной подвижной, службой в Районе 1. Работа, которая велась в МСЭ-R в рамках подготовки к </w:t>
      </w:r>
      <w:proofErr w:type="spellStart"/>
      <w:r w:rsidRPr="006B1A18">
        <w:t>ВКР</w:t>
      </w:r>
      <w:proofErr w:type="spellEnd"/>
      <w:r w:rsidRPr="006B1A18">
        <w:t xml:space="preserve">-15 по данному пункту повестки дня (выполнялась </w:t>
      </w:r>
      <w:proofErr w:type="spellStart"/>
      <w:r w:rsidRPr="006B1A18">
        <w:t>ОЦГ</w:t>
      </w:r>
      <w:proofErr w:type="spellEnd"/>
      <w:r w:rsidRPr="006B1A18">
        <w:t xml:space="preserve"> 4-5-6-7), проводилась по четырем основным вопросам: </w:t>
      </w:r>
    </w:p>
    <w:p w:rsidR="00DF40BF" w:rsidRPr="006B1A18" w:rsidRDefault="00DF40BF" w:rsidP="00DF40BF">
      <w:pPr>
        <w:pStyle w:val="enumlev1"/>
      </w:pPr>
      <w:r w:rsidRPr="006B1A18">
        <w:t>•</w:t>
      </w:r>
      <w:r w:rsidRPr="006B1A18">
        <w:tab/>
        <w:t>Вопрос A: Вариант для уточнения нижней границы (см. Дополнительный документ 1 к Дополнительному документу 2 к Документу 9);</w:t>
      </w:r>
    </w:p>
    <w:p w:rsidR="00DF40BF" w:rsidRPr="006B1A18" w:rsidRDefault="00DF40BF" w:rsidP="00DF40BF">
      <w:pPr>
        <w:pStyle w:val="enumlev1"/>
      </w:pPr>
      <w:r w:rsidRPr="006B1A18">
        <w:t>•</w:t>
      </w:r>
      <w:r w:rsidRPr="006B1A18">
        <w:tab/>
        <w:t xml:space="preserve">Вопрос B: Технические и </w:t>
      </w:r>
      <w:proofErr w:type="spellStart"/>
      <w:r w:rsidRPr="006B1A18">
        <w:t>регламентарные</w:t>
      </w:r>
      <w:proofErr w:type="spellEnd"/>
      <w:r w:rsidRPr="006B1A18">
        <w:t xml:space="preserve"> условия, применимые к подвижной службе, которые касаются совместимости между подвижной службой (</w:t>
      </w:r>
      <w:proofErr w:type="spellStart"/>
      <w:r w:rsidRPr="006B1A18">
        <w:t>ПС</w:t>
      </w:r>
      <w:proofErr w:type="spellEnd"/>
      <w:r w:rsidRPr="006B1A18">
        <w:t>) и радиовещательной службой (</w:t>
      </w:r>
      <w:proofErr w:type="spellStart"/>
      <w:r w:rsidRPr="006B1A18">
        <w:t>РС</w:t>
      </w:r>
      <w:proofErr w:type="spellEnd"/>
      <w:r w:rsidRPr="006B1A18">
        <w:t>) (см. Дополнительный документ 2 к Дополнительному документу 2 к Документу 9);</w:t>
      </w:r>
    </w:p>
    <w:p w:rsidR="00DF40BF" w:rsidRPr="006B1A18" w:rsidRDefault="00DF40BF" w:rsidP="00DF40BF">
      <w:pPr>
        <w:pStyle w:val="enumlev1"/>
      </w:pPr>
      <w:r w:rsidRPr="006B1A18">
        <w:t>•</w:t>
      </w:r>
      <w:r w:rsidRPr="006B1A18">
        <w:tab/>
        <w:t xml:space="preserve">Вопрос C: Технические и </w:t>
      </w:r>
      <w:proofErr w:type="spellStart"/>
      <w:r w:rsidRPr="006B1A18">
        <w:t>регламентарные</w:t>
      </w:r>
      <w:proofErr w:type="spellEnd"/>
      <w:r w:rsidRPr="006B1A18">
        <w:t xml:space="preserve"> условия, применимые к </w:t>
      </w:r>
      <w:proofErr w:type="spellStart"/>
      <w:r w:rsidRPr="006B1A18">
        <w:t>ПС</w:t>
      </w:r>
      <w:proofErr w:type="spellEnd"/>
      <w:r w:rsidRPr="006B1A18">
        <w:t xml:space="preserve">, которые касаются совместимости между </w:t>
      </w:r>
      <w:proofErr w:type="spellStart"/>
      <w:r w:rsidRPr="006B1A18">
        <w:t>ПС</w:t>
      </w:r>
      <w:proofErr w:type="spellEnd"/>
      <w:r w:rsidRPr="006B1A18">
        <w:t xml:space="preserve"> и воздушной радионавигационной службой (</w:t>
      </w:r>
      <w:proofErr w:type="spellStart"/>
      <w:r w:rsidRPr="006B1A18">
        <w:t>ВРНС</w:t>
      </w:r>
      <w:proofErr w:type="spellEnd"/>
      <w:r w:rsidRPr="006B1A18">
        <w:t>) для стран, перечисленных в п. 5.312 (см. Дополнительный документ 3 к Дополнительному документу 2 к Документу 9);</w:t>
      </w:r>
    </w:p>
    <w:p w:rsidR="00DF40BF" w:rsidRPr="006B1A18" w:rsidRDefault="00DF40BF" w:rsidP="00DF40BF">
      <w:pPr>
        <w:pStyle w:val="enumlev1"/>
      </w:pPr>
      <w:r w:rsidRPr="006B1A18">
        <w:t>•</w:t>
      </w:r>
      <w:r w:rsidRPr="006B1A18">
        <w:tab/>
        <w:t>Вопрос D: Решения по учету требований к применениям, вспомогательным по отношению к радиовещанию (см. Дополнительный документ 1 к Дополнительному документу 2 к Документу 9).</w:t>
      </w:r>
    </w:p>
    <w:p w:rsidR="00DF40BF" w:rsidRPr="006B1A18" w:rsidRDefault="00DF40BF" w:rsidP="00DF40BF">
      <w:r w:rsidRPr="006B1A18">
        <w:t xml:space="preserve">Европейские страны признают, что </w:t>
      </w:r>
      <w:proofErr w:type="spellStart"/>
      <w:r w:rsidRPr="006B1A18">
        <w:t>ВКР</w:t>
      </w:r>
      <w:proofErr w:type="spellEnd"/>
      <w:r w:rsidRPr="006B1A18">
        <w:t>-12 приняла решение о том, что распределение подвижной службе в полосе 694−790 МГц используется при условии согласия, получаемого в соответствии с п. 9.21 в отношении воздушной радионавигационной службы (</w:t>
      </w:r>
      <w:proofErr w:type="spellStart"/>
      <w:r w:rsidRPr="006B1A18">
        <w:t>ВРНС</w:t>
      </w:r>
      <w:proofErr w:type="spellEnd"/>
      <w:r w:rsidRPr="006B1A18">
        <w:t>) в странах, перечисленных в п. 5.312.</w:t>
      </w:r>
    </w:p>
    <w:p w:rsidR="00DF40BF" w:rsidRPr="006B1A18" w:rsidRDefault="00DF40BF" w:rsidP="006B1A18">
      <w:pPr>
        <w:pStyle w:val="Heading1"/>
      </w:pPr>
      <w:r w:rsidRPr="006B1A18">
        <w:lastRenderedPageBreak/>
        <w:t>1</w:t>
      </w:r>
      <w:r w:rsidRPr="006B1A18">
        <w:tab/>
        <w:t>Методы, которые поддерживают европейские страны</w:t>
      </w:r>
    </w:p>
    <w:p w:rsidR="00DF40BF" w:rsidRPr="006B1A18" w:rsidRDefault="00F46329" w:rsidP="00F46329">
      <w:pPr>
        <w:rPr>
          <w:i/>
          <w:lang w:eastAsia="nl-NL"/>
        </w:rPr>
      </w:pPr>
      <w:r w:rsidRPr="006B1A18">
        <w:rPr>
          <w:b/>
          <w:bCs/>
          <w:i/>
          <w:iCs/>
        </w:rPr>
        <w:t>Вопрос C</w:t>
      </w:r>
      <w:r w:rsidRPr="006B1A18">
        <w:rPr>
          <w:i/>
          <w:iCs/>
        </w:rPr>
        <w:t xml:space="preserve">: Технические и </w:t>
      </w:r>
      <w:proofErr w:type="spellStart"/>
      <w:r w:rsidRPr="006B1A18">
        <w:rPr>
          <w:i/>
          <w:iCs/>
        </w:rPr>
        <w:t>регламентарные</w:t>
      </w:r>
      <w:proofErr w:type="spellEnd"/>
      <w:r w:rsidRPr="006B1A18">
        <w:rPr>
          <w:i/>
          <w:iCs/>
        </w:rPr>
        <w:t xml:space="preserve"> условия, применимые к </w:t>
      </w:r>
      <w:proofErr w:type="spellStart"/>
      <w:r w:rsidRPr="006B1A18">
        <w:rPr>
          <w:i/>
          <w:iCs/>
        </w:rPr>
        <w:t>ПС</w:t>
      </w:r>
      <w:proofErr w:type="spellEnd"/>
      <w:r w:rsidRPr="006B1A18">
        <w:rPr>
          <w:i/>
          <w:iCs/>
        </w:rPr>
        <w:t xml:space="preserve">, которые касаются совместимости между </w:t>
      </w:r>
      <w:proofErr w:type="spellStart"/>
      <w:r w:rsidRPr="006B1A18">
        <w:rPr>
          <w:i/>
          <w:iCs/>
        </w:rPr>
        <w:t>ПС</w:t>
      </w:r>
      <w:proofErr w:type="spellEnd"/>
      <w:r w:rsidRPr="006B1A18">
        <w:rPr>
          <w:i/>
          <w:iCs/>
        </w:rPr>
        <w:t xml:space="preserve"> и воздушной радионавигационной службой (</w:t>
      </w:r>
      <w:proofErr w:type="spellStart"/>
      <w:r w:rsidRPr="006B1A18">
        <w:rPr>
          <w:i/>
          <w:iCs/>
        </w:rPr>
        <w:t>ВРНС</w:t>
      </w:r>
      <w:proofErr w:type="spellEnd"/>
      <w:r w:rsidRPr="006B1A18">
        <w:rPr>
          <w:i/>
          <w:iCs/>
        </w:rPr>
        <w:t xml:space="preserve">) для стран, перечисленных в п. </w:t>
      </w:r>
      <w:r w:rsidRPr="006B1A18">
        <w:rPr>
          <w:b/>
          <w:bCs/>
          <w:i/>
          <w:iCs/>
        </w:rPr>
        <w:t>5.312</w:t>
      </w:r>
      <w:r w:rsidR="00DF40BF" w:rsidRPr="006B1A18">
        <w:rPr>
          <w:i/>
          <w:lang w:eastAsia="nl-NL"/>
        </w:rPr>
        <w:t>.</w:t>
      </w:r>
    </w:p>
    <w:p w:rsidR="00DF40BF" w:rsidRPr="006B1A18" w:rsidRDefault="00F46329" w:rsidP="00D150AD">
      <w:pPr>
        <w:rPr>
          <w:lang w:eastAsia="nl-NL"/>
        </w:rPr>
      </w:pPr>
      <w:r w:rsidRPr="006B1A18">
        <w:rPr>
          <w:lang w:eastAsia="nl-NL"/>
        </w:rPr>
        <w:t>П</w:t>
      </w:r>
      <w:r w:rsidR="00D150AD" w:rsidRPr="006B1A18">
        <w:rPr>
          <w:lang w:eastAsia="nl-NL"/>
        </w:rPr>
        <w:t>ункт</w:t>
      </w:r>
      <w:r w:rsidR="00DF40BF" w:rsidRPr="006B1A18">
        <w:rPr>
          <w:lang w:eastAsia="nl-NL"/>
        </w:rPr>
        <w:t xml:space="preserve"> </w:t>
      </w:r>
      <w:r w:rsidR="00DF40BF" w:rsidRPr="006B1A18">
        <w:rPr>
          <w:b/>
          <w:bCs/>
          <w:lang w:eastAsia="nl-NL"/>
        </w:rPr>
        <w:t xml:space="preserve">9.21 </w:t>
      </w:r>
      <w:r w:rsidRPr="006B1A18">
        <w:rPr>
          <w:lang w:eastAsia="nl-NL"/>
        </w:rPr>
        <w:t xml:space="preserve">применяется к подвижной службе в отношении воздушной радионавигационной службы в полосе частот </w:t>
      </w:r>
      <w:r w:rsidR="00611982" w:rsidRPr="006B1A18">
        <w:rPr>
          <w:lang w:eastAsia="nl-NL"/>
        </w:rPr>
        <w:t>694−</w:t>
      </w:r>
      <w:r w:rsidR="00DF40BF" w:rsidRPr="006B1A18">
        <w:rPr>
          <w:lang w:eastAsia="nl-NL"/>
        </w:rPr>
        <w:t>790</w:t>
      </w:r>
      <w:r w:rsidR="00611982" w:rsidRPr="006B1A18">
        <w:rPr>
          <w:lang w:eastAsia="nl-NL"/>
        </w:rPr>
        <w:t> МГц</w:t>
      </w:r>
      <w:r w:rsidR="00DF40BF" w:rsidRPr="006B1A18">
        <w:rPr>
          <w:lang w:eastAsia="nl-NL"/>
        </w:rPr>
        <w:t>.</w:t>
      </w:r>
    </w:p>
    <w:p w:rsidR="00DF40BF" w:rsidRPr="006B1A18" w:rsidRDefault="00F46329" w:rsidP="00F46329">
      <w:pPr>
        <w:rPr>
          <w:lang w:eastAsia="nl-NL"/>
        </w:rPr>
      </w:pPr>
      <w:r w:rsidRPr="006B1A18">
        <w:t>Европейские страны</w:t>
      </w:r>
      <w:r w:rsidRPr="006B1A18">
        <w:rPr>
          <w:lang w:eastAsia="nl-NL"/>
        </w:rPr>
        <w:t xml:space="preserve"> предлагают включить в Резолюцию</w:t>
      </w:r>
      <w:r w:rsidR="00DF40BF" w:rsidRPr="006B1A18">
        <w:rPr>
          <w:lang w:eastAsia="nl-NL"/>
        </w:rPr>
        <w:t xml:space="preserve"> </w:t>
      </w:r>
      <w:proofErr w:type="spellStart"/>
      <w:r w:rsidR="00611982" w:rsidRPr="006B1A18">
        <w:rPr>
          <w:lang w:eastAsia="nl-NL"/>
        </w:rPr>
        <w:t>ВКР</w:t>
      </w:r>
      <w:proofErr w:type="spellEnd"/>
      <w:r w:rsidR="00DF40BF" w:rsidRPr="006B1A18">
        <w:rPr>
          <w:lang w:eastAsia="nl-NL"/>
        </w:rPr>
        <w:t xml:space="preserve"> </w:t>
      </w:r>
      <w:r w:rsidRPr="006B1A18">
        <w:rPr>
          <w:lang w:eastAsia="nl-NL"/>
        </w:rPr>
        <w:t>критерии для определения</w:t>
      </w:r>
      <w:r w:rsidR="00DF40BF" w:rsidRPr="006B1A18">
        <w:rPr>
          <w:lang w:eastAsia="nl-NL"/>
        </w:rPr>
        <w:t xml:space="preserve"> </w:t>
      </w:r>
      <w:r w:rsidRPr="006B1A18">
        <w:rPr>
          <w:lang w:eastAsia="nl-NL"/>
        </w:rPr>
        <w:t xml:space="preserve">потенциально затронутых администраций, использующих воздушную радионавигационную службу в странах, перечисленных в п. </w:t>
      </w:r>
      <w:r w:rsidR="00DF40BF" w:rsidRPr="006B1A18">
        <w:rPr>
          <w:b/>
          <w:bCs/>
          <w:lang w:eastAsia="nl-NL"/>
        </w:rPr>
        <w:t>5.312</w:t>
      </w:r>
      <w:r w:rsidR="00DF40BF" w:rsidRPr="006B1A18">
        <w:rPr>
          <w:lang w:eastAsia="nl-NL"/>
        </w:rPr>
        <w:t>.</w:t>
      </w:r>
    </w:p>
    <w:p w:rsidR="00DF40BF" w:rsidRPr="006B1A18" w:rsidRDefault="00DF40BF" w:rsidP="006B1A18">
      <w:pPr>
        <w:pStyle w:val="Heading1"/>
        <w:rPr>
          <w:lang w:eastAsia="nl-NL"/>
        </w:rPr>
      </w:pPr>
      <w:r w:rsidRPr="006B1A18">
        <w:rPr>
          <w:lang w:eastAsia="nl-NL"/>
        </w:rPr>
        <w:t>2</w:t>
      </w:r>
      <w:r w:rsidRPr="006B1A18">
        <w:rPr>
          <w:lang w:eastAsia="nl-NL"/>
        </w:rPr>
        <w:tab/>
      </w:r>
      <w:proofErr w:type="spellStart"/>
      <w:r w:rsidR="00F46329" w:rsidRPr="006B1A18">
        <w:rPr>
          <w:lang w:eastAsia="nl-NL"/>
        </w:rPr>
        <w:t>Регламентарные</w:t>
      </w:r>
      <w:proofErr w:type="spellEnd"/>
      <w:r w:rsidR="00F46329" w:rsidRPr="006B1A18">
        <w:rPr>
          <w:lang w:eastAsia="nl-NL"/>
        </w:rPr>
        <w:t xml:space="preserve"> положения, поддерживаемые европейскими странами</w:t>
      </w:r>
    </w:p>
    <w:p w:rsidR="006E2743" w:rsidRPr="006B1A18" w:rsidRDefault="00407E3F">
      <w:pPr>
        <w:pStyle w:val="Proposal"/>
      </w:pPr>
      <w:proofErr w:type="spellStart"/>
      <w:r w:rsidRPr="006B1A18">
        <w:t>ADD</w:t>
      </w:r>
      <w:proofErr w:type="spellEnd"/>
      <w:r w:rsidRPr="006B1A18">
        <w:tab/>
      </w:r>
      <w:proofErr w:type="spellStart"/>
      <w:r w:rsidRPr="006B1A18">
        <w:t>EUR</w:t>
      </w:r>
      <w:proofErr w:type="spellEnd"/>
      <w:r w:rsidRPr="006B1A18">
        <w:t>/</w:t>
      </w:r>
      <w:proofErr w:type="spellStart"/>
      <w:r w:rsidRPr="006B1A18">
        <w:t>9A2A3</w:t>
      </w:r>
      <w:proofErr w:type="spellEnd"/>
      <w:r w:rsidRPr="006B1A18">
        <w:t>/1</w:t>
      </w:r>
    </w:p>
    <w:p w:rsidR="006E2743" w:rsidRPr="006B1A18" w:rsidRDefault="00611982" w:rsidP="00611982">
      <w:pPr>
        <w:pStyle w:val="ResNo"/>
      </w:pPr>
      <w:r w:rsidRPr="006B1A18">
        <w:t xml:space="preserve">Проект новой </w:t>
      </w:r>
      <w:proofErr w:type="gramStart"/>
      <w:r w:rsidRPr="006B1A18">
        <w:t xml:space="preserve">Резолюции </w:t>
      </w:r>
      <w:r w:rsidR="00BE59CA" w:rsidRPr="006B1A18">
        <w:t xml:space="preserve"> </w:t>
      </w:r>
      <w:r w:rsidRPr="006B1A18">
        <w:t>[</w:t>
      </w:r>
      <w:proofErr w:type="spellStart"/>
      <w:proofErr w:type="gramEnd"/>
      <w:r w:rsidRPr="006B1A18">
        <w:t>EUR-A</w:t>
      </w:r>
      <w:r w:rsidR="00407E3F" w:rsidRPr="006B1A18">
        <w:t>12</w:t>
      </w:r>
      <w:proofErr w:type="spellEnd"/>
      <w:r w:rsidR="00407E3F" w:rsidRPr="006B1A18">
        <w:t>]</w:t>
      </w:r>
      <w:r w:rsidR="00BE59CA" w:rsidRPr="006B1A18">
        <w:t xml:space="preserve">  (</w:t>
      </w:r>
      <w:proofErr w:type="spellStart"/>
      <w:r w:rsidR="00BE59CA" w:rsidRPr="006B1A18">
        <w:t>ВКР</w:t>
      </w:r>
      <w:proofErr w:type="spellEnd"/>
      <w:r w:rsidR="00BE59CA" w:rsidRPr="006B1A18">
        <w:t>-15)</w:t>
      </w:r>
    </w:p>
    <w:p w:rsidR="00611982" w:rsidRPr="006B1A18" w:rsidRDefault="00611982" w:rsidP="00611982">
      <w:pPr>
        <w:pStyle w:val="Restitle"/>
      </w:pPr>
      <w:bookmarkStart w:id="9" w:name="_Toc319401904"/>
      <w:bookmarkStart w:id="10" w:name="_Toc327364565"/>
      <w:r w:rsidRPr="006B1A18">
        <w:t>Положения, касающиеся использования полосы 694–790 МГц в Районе 1 подвижной, за исключением воздушной подвижной, службой и другими службами</w:t>
      </w:r>
      <w:bookmarkEnd w:id="9"/>
      <w:bookmarkEnd w:id="10"/>
    </w:p>
    <w:p w:rsidR="00611982" w:rsidRPr="006B1A18" w:rsidRDefault="00611982" w:rsidP="00611982">
      <w:pPr>
        <w:pStyle w:val="Normalaftertitle"/>
      </w:pPr>
      <w:r w:rsidRPr="006B1A18">
        <w:t>Всемирная конференция радиосвязи (Женева, 2015 г.),</w:t>
      </w:r>
    </w:p>
    <w:p w:rsidR="00611982" w:rsidRPr="006B1A18" w:rsidRDefault="00611982" w:rsidP="00407E3F">
      <w:r w:rsidRPr="006B1A18">
        <w:t>…</w:t>
      </w:r>
    </w:p>
    <w:p w:rsidR="00611982" w:rsidRPr="006B1A18" w:rsidRDefault="00611982" w:rsidP="00611982">
      <w:pPr>
        <w:pStyle w:val="Call"/>
      </w:pPr>
      <w:r w:rsidRPr="006B1A18">
        <w:t>отмечая</w:t>
      </w:r>
      <w:r w:rsidRPr="006B1A18">
        <w:rPr>
          <w:i w:val="0"/>
          <w:iCs/>
        </w:rPr>
        <w:t>,</w:t>
      </w:r>
    </w:p>
    <w:p w:rsidR="00611982" w:rsidRPr="006B1A18" w:rsidRDefault="00611982" w:rsidP="00407E3F">
      <w:r w:rsidRPr="006B1A18">
        <w:t>…</w:t>
      </w:r>
    </w:p>
    <w:p w:rsidR="00611982" w:rsidRPr="006B1A18" w:rsidRDefault="00611982" w:rsidP="00EA38E8">
      <w:r w:rsidRPr="006B1A18">
        <w:rPr>
          <w:i/>
          <w:iCs/>
        </w:rPr>
        <w:t>f)</w:t>
      </w:r>
      <w:r w:rsidRPr="006B1A18">
        <w:tab/>
      </w:r>
      <w:r w:rsidR="00F46329" w:rsidRPr="006B1A18">
        <w:t xml:space="preserve">что двусторонние </w:t>
      </w:r>
      <w:r w:rsidR="00176BF1" w:rsidRPr="006B1A18">
        <w:t xml:space="preserve">соглашения в отношении </w:t>
      </w:r>
      <w:proofErr w:type="spellStart"/>
      <w:r w:rsidR="00176BF1" w:rsidRPr="006B1A18">
        <w:t>ВРНС</w:t>
      </w:r>
      <w:proofErr w:type="spellEnd"/>
      <w:r w:rsidR="00176BF1" w:rsidRPr="006B1A18">
        <w:t xml:space="preserve"> администрациями уже достигнуты и будут использоваться в качестве согла</w:t>
      </w:r>
      <w:r w:rsidR="00EA38E8" w:rsidRPr="006B1A18">
        <w:t>с</w:t>
      </w:r>
      <w:r w:rsidR="00176BF1" w:rsidRPr="006B1A18">
        <w:t xml:space="preserve">ия, достигнутого </w:t>
      </w:r>
      <w:r w:rsidR="00EA38E8" w:rsidRPr="006B1A18">
        <w:t>в соответствии с</w:t>
      </w:r>
      <w:r w:rsidR="00176BF1" w:rsidRPr="006B1A18">
        <w:t xml:space="preserve"> п</w:t>
      </w:r>
      <w:r w:rsidRPr="006B1A18">
        <w:t xml:space="preserve"> </w:t>
      </w:r>
      <w:r w:rsidRPr="006B1A18">
        <w:rPr>
          <w:b/>
          <w:bCs/>
        </w:rPr>
        <w:t>9.21</w:t>
      </w:r>
      <w:r w:rsidRPr="006B1A18">
        <w:t>.</w:t>
      </w:r>
    </w:p>
    <w:p w:rsidR="00611982" w:rsidRPr="006B1A18" w:rsidRDefault="00611982" w:rsidP="00407E3F">
      <w:r w:rsidRPr="006B1A18">
        <w:t>…</w:t>
      </w:r>
    </w:p>
    <w:p w:rsidR="00611982" w:rsidRPr="006B1A18" w:rsidRDefault="00611982" w:rsidP="00611982">
      <w:pPr>
        <w:pStyle w:val="Call"/>
        <w:rPr>
          <w:iCs/>
        </w:rPr>
      </w:pPr>
      <w:r w:rsidRPr="006B1A18">
        <w:t>решает</w:t>
      </w:r>
      <w:r w:rsidRPr="006B1A18">
        <w:rPr>
          <w:iCs/>
        </w:rPr>
        <w:t>,</w:t>
      </w:r>
    </w:p>
    <w:p w:rsidR="00611982" w:rsidRPr="006B1A18" w:rsidRDefault="00611982" w:rsidP="00407E3F">
      <w:r w:rsidRPr="006B1A18">
        <w:t>…</w:t>
      </w:r>
    </w:p>
    <w:p w:rsidR="00176BF1" w:rsidRPr="006B1A18" w:rsidRDefault="00611982" w:rsidP="00BC7660">
      <w:r w:rsidRPr="006B1A18">
        <w:t>2</w:t>
      </w:r>
      <w:r w:rsidRPr="006B1A18">
        <w:tab/>
      </w:r>
      <w:r w:rsidR="00176BF1" w:rsidRPr="006B1A18">
        <w:t xml:space="preserve">что использование полосы частот 694–790 МГц </w:t>
      </w:r>
      <w:r w:rsidR="00BC7660" w:rsidRPr="006B1A18">
        <w:t xml:space="preserve">подвижной службой </w:t>
      </w:r>
      <w:r w:rsidR="00176BF1" w:rsidRPr="006B1A18">
        <w:t xml:space="preserve">осуществляется при условии согласия, получаемого в соответствии с п. </w:t>
      </w:r>
      <w:r w:rsidR="00176BF1" w:rsidRPr="006B1A18">
        <w:rPr>
          <w:b/>
          <w:bCs/>
        </w:rPr>
        <w:t>9.21</w:t>
      </w:r>
      <w:r w:rsidR="00176BF1" w:rsidRPr="006B1A18">
        <w:t xml:space="preserve"> в отношении воздушной радионавигационной службы</w:t>
      </w:r>
      <w:r w:rsidR="00BC7660" w:rsidRPr="006B1A18">
        <w:t xml:space="preserve">, действующей в полосе частот 694–790 МГц </w:t>
      </w:r>
      <w:r w:rsidR="00176BF1" w:rsidRPr="006B1A18">
        <w:t xml:space="preserve">в странах, перечисленных в п. </w:t>
      </w:r>
      <w:r w:rsidR="00176BF1" w:rsidRPr="006B1A18">
        <w:rPr>
          <w:b/>
          <w:bCs/>
        </w:rPr>
        <w:t>5.312</w:t>
      </w:r>
      <w:r w:rsidR="00BC7660" w:rsidRPr="006B1A18">
        <w:t>, а</w:t>
      </w:r>
      <w:r w:rsidR="00176BF1" w:rsidRPr="006B1A18">
        <w:t xml:space="preserve"> </w:t>
      </w:r>
      <w:r w:rsidR="00BC7660" w:rsidRPr="006B1A18">
        <w:t>к</w:t>
      </w:r>
      <w:r w:rsidR="00176BF1" w:rsidRPr="006B1A18">
        <w:t>ритерии определения затрагиваемых администраций приведены в Дополнении 1 к настоящей Резолюции;</w:t>
      </w:r>
    </w:p>
    <w:p w:rsidR="00611982" w:rsidRPr="006B1A18" w:rsidRDefault="00BC7660" w:rsidP="00D150AD">
      <w:pPr>
        <w:pStyle w:val="Note"/>
        <w:rPr>
          <w:rFonts w:eastAsia="Calibri"/>
          <w:lang w:val="ru-RU" w:eastAsia="de-DE"/>
        </w:rPr>
      </w:pPr>
      <w:r w:rsidRPr="006B1A18">
        <w:rPr>
          <w:rFonts w:eastAsia="Calibri"/>
          <w:highlight w:val="yellow"/>
          <w:lang w:val="ru-RU" w:eastAsia="de-DE"/>
        </w:rPr>
        <w:t>Примечание редактора</w:t>
      </w:r>
      <w:r w:rsidR="00D150AD" w:rsidRPr="006B1A18">
        <w:rPr>
          <w:rFonts w:eastAsia="Calibri"/>
          <w:highlight w:val="yellow"/>
          <w:lang w:val="ru-RU" w:eastAsia="de-DE"/>
        </w:rPr>
        <w:t xml:space="preserve"> 1</w:t>
      </w:r>
      <w:r w:rsidR="006B1A18" w:rsidRPr="006B1A18">
        <w:rPr>
          <w:rFonts w:eastAsia="Calibri"/>
          <w:highlight w:val="yellow"/>
          <w:lang w:val="ru-RU" w:eastAsia="de-DE"/>
        </w:rPr>
        <w:t>.</w:t>
      </w:r>
      <w:r w:rsidR="00D150AD" w:rsidRPr="006B1A18">
        <w:rPr>
          <w:rFonts w:eastAsia="Calibri"/>
          <w:highlight w:val="yellow"/>
          <w:lang w:val="ru-RU" w:eastAsia="de-DE"/>
        </w:rPr>
        <w:t xml:space="preserve"> – </w:t>
      </w:r>
      <w:r w:rsidR="005002F3" w:rsidRPr="006B1A18">
        <w:rPr>
          <w:rFonts w:eastAsia="Calibri"/>
          <w:highlight w:val="yellow"/>
          <w:lang w:val="ru-RU" w:eastAsia="de-DE"/>
        </w:rPr>
        <w:t xml:space="preserve">Другие пункты разделов </w:t>
      </w:r>
      <w:r w:rsidR="005002F3" w:rsidRPr="006B1A18">
        <w:rPr>
          <w:rFonts w:eastAsia="Calibri"/>
          <w:i/>
          <w:iCs/>
          <w:highlight w:val="yellow"/>
          <w:lang w:val="ru-RU" w:eastAsia="de-DE"/>
        </w:rPr>
        <w:t>отмечая</w:t>
      </w:r>
      <w:r w:rsidR="005002F3" w:rsidRPr="006B1A18">
        <w:rPr>
          <w:rFonts w:eastAsia="Calibri"/>
          <w:highlight w:val="yellow"/>
          <w:lang w:val="ru-RU" w:eastAsia="de-DE"/>
        </w:rPr>
        <w:t xml:space="preserve"> и </w:t>
      </w:r>
      <w:r w:rsidR="005002F3" w:rsidRPr="006B1A18">
        <w:rPr>
          <w:rFonts w:eastAsia="Calibri"/>
          <w:i/>
          <w:iCs/>
          <w:highlight w:val="yellow"/>
          <w:lang w:val="ru-RU" w:eastAsia="de-DE"/>
        </w:rPr>
        <w:t>решает</w:t>
      </w:r>
      <w:r w:rsidR="005002F3" w:rsidRPr="006B1A18">
        <w:rPr>
          <w:rFonts w:eastAsia="Calibri"/>
          <w:highlight w:val="yellow"/>
          <w:lang w:val="ru-RU" w:eastAsia="de-DE"/>
        </w:rPr>
        <w:t xml:space="preserve"> должны соответствовать </w:t>
      </w:r>
      <w:r w:rsidR="005002F3" w:rsidRPr="006B1A18">
        <w:rPr>
          <w:highlight w:val="yellow"/>
          <w:lang w:val="ru-RU"/>
        </w:rPr>
        <w:t xml:space="preserve">Дополнительному документу 1 к Дополнительному документу 2 к Документу </w:t>
      </w:r>
      <w:r w:rsidR="00611982" w:rsidRPr="006B1A18">
        <w:rPr>
          <w:rFonts w:eastAsia="Calibri"/>
          <w:highlight w:val="yellow"/>
          <w:lang w:val="ru-RU" w:eastAsia="de-DE"/>
        </w:rPr>
        <w:t>9.</w:t>
      </w:r>
    </w:p>
    <w:p w:rsidR="00611982" w:rsidRPr="006B1A18" w:rsidRDefault="00611982" w:rsidP="006B1A18">
      <w:pPr>
        <w:rPr>
          <w:rFonts w:eastAsia="SimSun"/>
        </w:rPr>
      </w:pPr>
      <w:r w:rsidRPr="006B1A18">
        <w:rPr>
          <w:rFonts w:eastAsia="SimSun"/>
        </w:rPr>
        <w:br w:type="page"/>
      </w:r>
    </w:p>
    <w:p w:rsidR="00BE59CA" w:rsidRPr="006B1A18" w:rsidRDefault="00BE59CA" w:rsidP="00BE59CA">
      <w:pPr>
        <w:pStyle w:val="AnnexNo"/>
      </w:pPr>
      <w:proofErr w:type="gramStart"/>
      <w:r w:rsidRPr="006B1A18">
        <w:lastRenderedPageBreak/>
        <w:t>Дополнение  1</w:t>
      </w:r>
      <w:proofErr w:type="gramEnd"/>
      <w:r w:rsidRPr="006B1A18">
        <w:t xml:space="preserve">  к  РЕЗОЛЮЦИи  </w:t>
      </w:r>
      <w:r w:rsidRPr="006B1A18">
        <w:rPr>
          <w:rStyle w:val="href"/>
          <w:rFonts w:asciiTheme="majorBidi" w:hAnsiTheme="majorBidi" w:cstheme="majorBidi"/>
        </w:rPr>
        <w:t>[</w:t>
      </w:r>
      <w:proofErr w:type="spellStart"/>
      <w:r w:rsidRPr="006B1A18">
        <w:rPr>
          <w:rStyle w:val="href"/>
          <w:rFonts w:asciiTheme="majorBidi" w:hAnsiTheme="majorBidi" w:cstheme="majorBidi"/>
        </w:rPr>
        <w:t>EUR-A12</w:t>
      </w:r>
      <w:proofErr w:type="spellEnd"/>
      <w:r w:rsidRPr="006B1A18">
        <w:rPr>
          <w:rStyle w:val="href"/>
          <w:rFonts w:asciiTheme="majorBidi" w:hAnsiTheme="majorBidi" w:cstheme="majorBidi"/>
        </w:rPr>
        <w:t>]</w:t>
      </w:r>
      <w:r w:rsidRPr="006B1A18">
        <w:t xml:space="preserve">  (</w:t>
      </w:r>
      <w:proofErr w:type="spellStart"/>
      <w:r w:rsidRPr="006B1A18">
        <w:t>ВКР</w:t>
      </w:r>
      <w:proofErr w:type="spellEnd"/>
      <w:r w:rsidRPr="006B1A18">
        <w:t>-15)</w:t>
      </w:r>
    </w:p>
    <w:p w:rsidR="00BE59CA" w:rsidRPr="006B1A18" w:rsidRDefault="00BE59CA" w:rsidP="00BE59CA">
      <w:pPr>
        <w:pStyle w:val="Annextitle"/>
      </w:pPr>
      <w:r w:rsidRPr="006B1A18">
        <w:t xml:space="preserve">Критерии определения потенциально затрагиваемых администраций в полосе частот 694–790 МГц </w:t>
      </w:r>
      <w:r w:rsidRPr="006B1A18">
        <w:rPr>
          <w:cs/>
        </w:rPr>
        <w:t>‎</w:t>
      </w:r>
      <w:r w:rsidRPr="006B1A18">
        <w:t>в отношении воздушной радионавигационной службы в странах, перечисленных в п. 5.312</w:t>
      </w:r>
    </w:p>
    <w:p w:rsidR="00BE59CA" w:rsidRPr="006B1A18" w:rsidRDefault="00BE59CA" w:rsidP="00BE59CA">
      <w:pPr>
        <w:pStyle w:val="Normalaftertitle"/>
      </w:pPr>
      <w:r w:rsidRPr="006B1A18">
        <w:t xml:space="preserve">Для определения потенциально затрагиваемых администраций при применении процедуры достижения согласия в соответствии с п. </w:t>
      </w:r>
      <w:r w:rsidRPr="006B1A18">
        <w:rPr>
          <w:b/>
          <w:bCs/>
        </w:rPr>
        <w:t>9.21</w:t>
      </w:r>
      <w:r w:rsidRPr="006B1A18">
        <w:t xml:space="preserve"> подвижной службой (</w:t>
      </w:r>
      <w:proofErr w:type="spellStart"/>
      <w:r w:rsidRPr="006B1A18">
        <w:t>ПС</w:t>
      </w:r>
      <w:proofErr w:type="spellEnd"/>
      <w:r w:rsidRPr="006B1A18">
        <w:t>) в отношении воздушной радионавигационной службы (</w:t>
      </w:r>
      <w:proofErr w:type="spellStart"/>
      <w:r w:rsidRPr="006B1A18">
        <w:t>ВРНС</w:t>
      </w:r>
      <w:proofErr w:type="spellEnd"/>
      <w:r w:rsidRPr="006B1A18">
        <w:t xml:space="preserve">), работающей в странах, указанных в п. </w:t>
      </w:r>
      <w:r w:rsidRPr="006B1A18">
        <w:rPr>
          <w:b/>
          <w:bCs/>
        </w:rPr>
        <w:t>5.312</w:t>
      </w:r>
      <w:r w:rsidRPr="006B1A18">
        <w:t xml:space="preserve">, следует использовать приведенные ниже координационные расстояния (между базовой станцией </w:t>
      </w:r>
      <w:proofErr w:type="spellStart"/>
      <w:r w:rsidRPr="006B1A18">
        <w:t>ПС</w:t>
      </w:r>
      <w:proofErr w:type="spellEnd"/>
      <w:r w:rsidRPr="006B1A18">
        <w:t xml:space="preserve"> и потенциально затрагиваемой станцией </w:t>
      </w:r>
      <w:proofErr w:type="spellStart"/>
      <w:r w:rsidRPr="006B1A18">
        <w:t>ВРНС</w:t>
      </w:r>
      <w:proofErr w:type="spellEnd"/>
      <w:r w:rsidRPr="006B1A18">
        <w:t>).</w:t>
      </w:r>
    </w:p>
    <w:p w:rsidR="00BE59CA" w:rsidRPr="006B1A18" w:rsidRDefault="00BE59CA" w:rsidP="00BE59CA">
      <w:r w:rsidRPr="006B1A18">
        <w:t>При осуществлении заявления администрации</w:t>
      </w:r>
      <w:r w:rsidRPr="006B1A18">
        <w:rPr>
          <w:b/>
          <w:bCs/>
        </w:rPr>
        <w:t xml:space="preserve"> </w:t>
      </w:r>
      <w:r w:rsidRPr="006B1A18">
        <w:t xml:space="preserve">могут указать в заявке, направляемой в </w:t>
      </w:r>
      <w:proofErr w:type="spellStart"/>
      <w:r w:rsidRPr="006B1A18">
        <w:t>БР</w:t>
      </w:r>
      <w:proofErr w:type="spellEnd"/>
      <w:r w:rsidRPr="006B1A18">
        <w:t xml:space="preserve">, список администраций, с которыми двусторонние соглашения уже достигнуты. </w:t>
      </w:r>
      <w:proofErr w:type="spellStart"/>
      <w:r w:rsidRPr="006B1A18">
        <w:t>БР</w:t>
      </w:r>
      <w:proofErr w:type="spellEnd"/>
      <w:r w:rsidRPr="006B1A18">
        <w:t xml:space="preserve"> должно принять это во внимание при определении администраций, с которыми необходимо провести координацию согласно п. </w:t>
      </w:r>
      <w:r w:rsidRPr="006B1A18">
        <w:rPr>
          <w:b/>
          <w:bCs/>
        </w:rPr>
        <w:t>9.21</w:t>
      </w:r>
      <w:r w:rsidRPr="006B1A18">
        <w:t>.</w:t>
      </w:r>
    </w:p>
    <w:p w:rsidR="00611982" w:rsidRPr="006B1A18" w:rsidRDefault="00D150AD" w:rsidP="00D150AD">
      <w:pPr>
        <w:pStyle w:val="Heading1"/>
      </w:pPr>
      <w:r w:rsidRPr="006B1A18">
        <w:t>1</w:t>
      </w:r>
      <w:r w:rsidRPr="006B1A18">
        <w:tab/>
        <w:t>Случай использования</w:t>
      </w:r>
      <w:r w:rsidR="00BE59CA" w:rsidRPr="006B1A18">
        <w:t xml:space="preserve"> подвижной службы в соответствии с план</w:t>
      </w:r>
      <w:r w:rsidR="00EA38E8" w:rsidRPr="006B1A18">
        <w:t>ами</w:t>
      </w:r>
      <w:r w:rsidR="00BE59CA" w:rsidRPr="006B1A18">
        <w:t xml:space="preserve"> распределения частот, при котор</w:t>
      </w:r>
      <w:r w:rsidR="00EA38E8" w:rsidRPr="006B1A18">
        <w:t>ых</w:t>
      </w:r>
      <w:r w:rsidR="00BE59CA" w:rsidRPr="006B1A18">
        <w:t xml:space="preserve"> базовые станции ведут передачу только в полосе частот 758–788 МГц и ведут прием только в полосе частот 703–733 МГц</w:t>
      </w:r>
    </w:p>
    <w:p w:rsidR="00BE59CA" w:rsidRPr="006B1A18" w:rsidRDefault="00407E3F" w:rsidP="00BE59CA">
      <w:pPr>
        <w:pStyle w:val="TableNo"/>
      </w:pPr>
      <w:r w:rsidRPr="006B1A18">
        <w:t>Таблица X</w:t>
      </w:r>
    </w:p>
    <w:tbl>
      <w:tblPr>
        <w:tblW w:w="965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14"/>
        <w:gridCol w:w="1417"/>
        <w:gridCol w:w="2268"/>
        <w:gridCol w:w="2238"/>
        <w:gridCol w:w="15"/>
      </w:tblGrid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 xml:space="preserve">Станция </w:t>
            </w:r>
            <w:proofErr w:type="spellStart"/>
            <w:r w:rsidRPr="006B1A18">
              <w:rPr>
                <w:lang w:val="ru-RU"/>
              </w:rPr>
              <w:t>ВРНС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>Код типа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 xml:space="preserve">Координационные расстояния для приемных базовых станций </w:t>
            </w:r>
            <w:proofErr w:type="spellStart"/>
            <w:r w:rsidRPr="006B1A18">
              <w:rPr>
                <w:lang w:val="ru-RU"/>
              </w:rPr>
              <w:t>ПС</w:t>
            </w:r>
            <w:proofErr w:type="spellEnd"/>
            <w:r w:rsidRPr="006B1A18">
              <w:rPr>
                <w:lang w:val="ru-RU"/>
              </w:rPr>
              <w:t xml:space="preserve"> (км)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 xml:space="preserve">Координационные расстояния для передающих базовых станций </w:t>
            </w:r>
            <w:proofErr w:type="spellStart"/>
            <w:r w:rsidRPr="006B1A18">
              <w:rPr>
                <w:lang w:val="ru-RU"/>
              </w:rPr>
              <w:t>ПС</w:t>
            </w:r>
            <w:proofErr w:type="spellEnd"/>
            <w:r w:rsidRPr="006B1A18">
              <w:rPr>
                <w:lang w:val="ru-RU"/>
              </w:rPr>
              <w:t xml:space="preserve"> (км)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proofErr w:type="spellStart"/>
            <w:r w:rsidRPr="006B1A18">
              <w:t>РСБН</w:t>
            </w:r>
            <w:proofErr w:type="spellEnd"/>
            <w:r w:rsidRPr="006B1A18">
              <w:t xml:space="preserve"> (наземный приемник)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  <w:rPr>
                <w:caps/>
              </w:rPr>
            </w:pPr>
            <w:proofErr w:type="spellStart"/>
            <w:r w:rsidRPr="006B1A18">
              <w:t>AA8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  <w:rPr>
                <w:caps/>
              </w:rPr>
            </w:pPr>
            <w:r w:rsidRPr="006B1A18">
              <w:rPr>
                <w:caps/>
              </w:rPr>
              <w:t>−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  <w:rPr>
                <w:caps/>
              </w:rPr>
            </w:pPr>
            <w:r w:rsidRPr="006B1A18">
              <w:t>70/125/175</w:t>
            </w:r>
            <w:r w:rsidRPr="006B1A18">
              <w:rPr>
                <w:rStyle w:val="FootnoteReference"/>
              </w:rPr>
              <w:t>*</w:t>
            </w:r>
          </w:p>
        </w:tc>
      </w:tr>
      <w:tr w:rsidR="00BE59CA" w:rsidRPr="006B1A18" w:rsidTr="00A73052">
        <w:trPr>
          <w:gridAfter w:val="1"/>
          <w:wAfter w:w="15" w:type="dxa"/>
        </w:trPr>
        <w:tc>
          <w:tcPr>
            <w:tcW w:w="9637" w:type="dxa"/>
            <w:gridSpan w:val="4"/>
            <w:tcBorders>
              <w:top w:val="single" w:sz="4" w:space="0" w:color="auto"/>
            </w:tcBorders>
          </w:tcPr>
          <w:p w:rsidR="00BE59CA" w:rsidRPr="006B1A18" w:rsidRDefault="00BE59CA" w:rsidP="00A73052">
            <w:pPr>
              <w:pStyle w:val="Tablelegend"/>
            </w:pPr>
            <w:r w:rsidRPr="006B1A18">
              <w:rPr>
                <w:rStyle w:val="FootnoteReference"/>
              </w:rPr>
              <w:t>*</w:t>
            </w:r>
            <w:r w:rsidRPr="006B1A18">
              <w:tab/>
              <w:t xml:space="preserve">90% ≤ сухопутная трасса ≤ 100%/50% ≤ сухопутная трасса </w:t>
            </w:r>
            <w:proofErr w:type="gramStart"/>
            <w:r w:rsidRPr="006B1A18">
              <w:t>&lt; 90</w:t>
            </w:r>
            <w:proofErr w:type="gramEnd"/>
            <w:r w:rsidRPr="006B1A18">
              <w:t>%/0% ≤ сухопутная трасса &lt; 50%.</w:t>
            </w:r>
          </w:p>
        </w:tc>
      </w:tr>
    </w:tbl>
    <w:p w:rsidR="00BE59CA" w:rsidRPr="006B1A18" w:rsidRDefault="00BE59CA" w:rsidP="00D150AD">
      <w:pPr>
        <w:pStyle w:val="Heading1"/>
      </w:pPr>
      <w:r w:rsidRPr="006B1A18">
        <w:t>2</w:t>
      </w:r>
      <w:r w:rsidRPr="006B1A18">
        <w:tab/>
      </w:r>
      <w:r w:rsidR="00EA38E8" w:rsidRPr="006B1A18">
        <w:t>Другие случаи</w:t>
      </w: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14"/>
        <w:gridCol w:w="1559"/>
        <w:gridCol w:w="2126"/>
        <w:gridCol w:w="2264"/>
        <w:gridCol w:w="62"/>
      </w:tblGrid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 xml:space="preserve">Станция </w:t>
            </w:r>
            <w:proofErr w:type="spellStart"/>
            <w:r w:rsidRPr="006B1A18">
              <w:rPr>
                <w:lang w:val="ru-RU"/>
              </w:rPr>
              <w:t>ВРНС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>Код типа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 xml:space="preserve">Координационные расстояния для приемных базовых станций </w:t>
            </w:r>
            <w:proofErr w:type="spellStart"/>
            <w:r w:rsidRPr="006B1A18">
              <w:rPr>
                <w:lang w:val="ru-RU"/>
              </w:rPr>
              <w:t>ПС</w:t>
            </w:r>
            <w:proofErr w:type="spellEnd"/>
            <w:r w:rsidRPr="006B1A18">
              <w:rPr>
                <w:lang w:val="ru-RU"/>
              </w:rPr>
              <w:t xml:space="preserve"> (км)</w:t>
            </w:r>
            <w:r w:rsidRPr="006B1A18">
              <w:rPr>
                <w:rStyle w:val="FootnoteReference"/>
                <w:lang w:val="ru-RU"/>
              </w:rPr>
              <w:t>**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head"/>
              <w:rPr>
                <w:lang w:val="ru-RU"/>
              </w:rPr>
            </w:pPr>
            <w:r w:rsidRPr="006B1A18">
              <w:rPr>
                <w:lang w:val="ru-RU"/>
              </w:rPr>
              <w:t xml:space="preserve">Координационные расстояния для передающих базовых станций </w:t>
            </w:r>
            <w:proofErr w:type="spellStart"/>
            <w:r w:rsidRPr="006B1A18">
              <w:rPr>
                <w:lang w:val="ru-RU"/>
              </w:rPr>
              <w:t>ПС</w:t>
            </w:r>
            <w:proofErr w:type="spellEnd"/>
            <w:r w:rsidRPr="006B1A18">
              <w:rPr>
                <w:lang w:val="ru-RU"/>
              </w:rPr>
              <w:t xml:space="preserve"> (км)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proofErr w:type="spellStart"/>
            <w:r w:rsidRPr="006B1A18">
              <w:t>РСБН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proofErr w:type="spellStart"/>
            <w:r w:rsidRPr="006B1A18">
              <w:t>AA8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50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125/175</w:t>
            </w:r>
            <w:r w:rsidRPr="006B1A18">
              <w:rPr>
                <w:rStyle w:val="FootnoteReference"/>
              </w:rPr>
              <w:t>*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proofErr w:type="spellStart"/>
            <w:r w:rsidRPr="006B1A18">
              <w:t>РЛС</w:t>
            </w:r>
            <w:proofErr w:type="spellEnd"/>
            <w:r w:rsidRPr="006B1A18">
              <w:t> 2 (тип 1) (приемник воздушного судна)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proofErr w:type="spellStart"/>
            <w:r w:rsidRPr="006B1A18">
              <w:t>BD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410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432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proofErr w:type="spellStart"/>
            <w:r w:rsidRPr="006B1A18">
              <w:t>РЛС</w:t>
            </w:r>
            <w:proofErr w:type="spellEnd"/>
            <w:r w:rsidRPr="006B1A18">
              <w:t> 2 (тип 1) (наземный приемник)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proofErr w:type="spellStart"/>
            <w:r w:rsidRPr="006B1A18">
              <w:t>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50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250/275</w:t>
            </w:r>
            <w:r w:rsidRPr="006B1A18">
              <w:rPr>
                <w:rStyle w:val="FootnoteReference"/>
              </w:rPr>
              <w:t>*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proofErr w:type="spellStart"/>
            <w:r w:rsidRPr="006B1A18">
              <w:t>РЛС</w:t>
            </w:r>
            <w:proofErr w:type="spellEnd"/>
            <w:r w:rsidRPr="006B1A18">
              <w:t> 2 (тип 2) (приемник воздушного судна)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proofErr w:type="spellStart"/>
            <w:r w:rsidRPr="006B1A18">
              <w:t>BC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150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432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proofErr w:type="spellStart"/>
            <w:r w:rsidRPr="006B1A18">
              <w:t>РЛС</w:t>
            </w:r>
            <w:proofErr w:type="spellEnd"/>
            <w:r w:rsidRPr="006B1A18">
              <w:t> 2 (тип 2) (наземный приемник)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proofErr w:type="spellStart"/>
            <w:r w:rsidRPr="006B1A18">
              <w:t>AA2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50/75</w:t>
            </w:r>
            <w:r w:rsidRPr="006B1A18">
              <w:rPr>
                <w:rStyle w:val="FootnoteReference"/>
              </w:rPr>
              <w:t>*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300/325</w:t>
            </w:r>
            <w:r w:rsidRPr="006B1A18">
              <w:rPr>
                <w:rStyle w:val="FootnoteReference"/>
              </w:rPr>
              <w:t>*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proofErr w:type="spellStart"/>
            <w:r w:rsidRPr="006B1A18">
              <w:t>РЛС</w:t>
            </w:r>
            <w:proofErr w:type="spellEnd"/>
            <w:r w:rsidRPr="006B1A18">
              <w:t> 1 (типы 1 и 2) (наземный приемник)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proofErr w:type="spellStart"/>
            <w:r w:rsidRPr="006B1A18">
              <w:t>AB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125/175</w:t>
            </w:r>
            <w:r w:rsidRPr="006B1A18">
              <w:rPr>
                <w:rStyle w:val="FootnoteReference"/>
              </w:rPr>
              <w:t>*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400/450</w:t>
            </w:r>
            <w:r w:rsidRPr="006B1A18">
              <w:rPr>
                <w:rStyle w:val="FootnoteReference"/>
              </w:rPr>
              <w:t>*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r w:rsidRPr="006B1A18">
              <w:t xml:space="preserve">Другие типы наземных станций </w:t>
            </w:r>
            <w:proofErr w:type="spellStart"/>
            <w:r w:rsidRPr="006B1A18">
              <w:t>ВРНС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Неприменимо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125/175</w:t>
            </w:r>
            <w:r w:rsidRPr="006B1A18">
              <w:rPr>
                <w:rStyle w:val="FootnoteReference"/>
              </w:rPr>
              <w:t>*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400/450</w:t>
            </w:r>
            <w:r w:rsidRPr="006B1A18">
              <w:rPr>
                <w:rStyle w:val="FootnoteReference"/>
              </w:rPr>
              <w:t>*</w:t>
            </w:r>
          </w:p>
        </w:tc>
      </w:tr>
      <w:tr w:rsidR="00BE59CA" w:rsidRPr="006B1A18" w:rsidTr="00A73052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CA" w:rsidRPr="006B1A18" w:rsidRDefault="00BE59CA" w:rsidP="00A73052">
            <w:pPr>
              <w:pStyle w:val="Tabletext"/>
            </w:pPr>
            <w:r w:rsidRPr="006B1A18">
              <w:t xml:space="preserve">Другие типы станций </w:t>
            </w:r>
            <w:proofErr w:type="spellStart"/>
            <w:r w:rsidRPr="006B1A18">
              <w:t>ВРНС</w:t>
            </w:r>
            <w:proofErr w:type="spellEnd"/>
            <w:r w:rsidRPr="006B1A18">
              <w:t xml:space="preserve"> на борту воздушных судов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Неприменимо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410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CA" w:rsidRPr="006B1A18" w:rsidRDefault="00BE59CA" w:rsidP="00A73052">
            <w:pPr>
              <w:pStyle w:val="Tabletext"/>
              <w:jc w:val="center"/>
            </w:pPr>
            <w:r w:rsidRPr="006B1A18">
              <w:t>432</w:t>
            </w:r>
          </w:p>
        </w:tc>
      </w:tr>
      <w:tr w:rsidR="00BE59CA" w:rsidRPr="006B1A18" w:rsidTr="00A73052">
        <w:trPr>
          <w:gridAfter w:val="1"/>
          <w:wAfter w:w="62" w:type="dxa"/>
        </w:trPr>
        <w:tc>
          <w:tcPr>
            <w:tcW w:w="9663" w:type="dxa"/>
            <w:gridSpan w:val="4"/>
            <w:tcBorders>
              <w:top w:val="single" w:sz="4" w:space="0" w:color="auto"/>
            </w:tcBorders>
          </w:tcPr>
          <w:p w:rsidR="00BE59CA" w:rsidRPr="006B1A18" w:rsidRDefault="00BE59CA" w:rsidP="00A73052">
            <w:pPr>
              <w:pStyle w:val="Tablelegend"/>
            </w:pPr>
            <w:r w:rsidRPr="006B1A18">
              <w:rPr>
                <w:rStyle w:val="FootnoteReference"/>
              </w:rPr>
              <w:t>*</w:t>
            </w:r>
            <w:r w:rsidRPr="006B1A18">
              <w:tab/>
              <w:t xml:space="preserve">50% ≤ сухопутная трасса ≤ 100%/0% ≤ сухопутная трасса </w:t>
            </w:r>
            <w:proofErr w:type="gramStart"/>
            <w:r w:rsidRPr="006B1A18">
              <w:t>&lt; 50</w:t>
            </w:r>
            <w:proofErr w:type="gramEnd"/>
            <w:r w:rsidRPr="006B1A18">
              <w:t>%.</w:t>
            </w:r>
          </w:p>
          <w:p w:rsidR="00BE59CA" w:rsidRPr="006B1A18" w:rsidRDefault="00BE59CA" w:rsidP="00EA38E8">
            <w:pPr>
              <w:pStyle w:val="Tablelegend"/>
              <w:rPr>
                <w:caps/>
              </w:rPr>
            </w:pPr>
            <w:r w:rsidRPr="006B1A18">
              <w:rPr>
                <w:rStyle w:val="FootnoteReference"/>
              </w:rPr>
              <w:t>**</w:t>
            </w:r>
            <w:r w:rsidRPr="006B1A18">
              <w:rPr>
                <w:lang w:eastAsia="ru-RU"/>
              </w:rPr>
              <w:tab/>
              <w:t xml:space="preserve">Координационные расстояния для приемных базовых станций </w:t>
            </w:r>
            <w:proofErr w:type="spellStart"/>
            <w:r w:rsidRPr="006B1A18">
              <w:rPr>
                <w:lang w:eastAsia="ru-RU"/>
              </w:rPr>
              <w:t>ПС</w:t>
            </w:r>
            <w:proofErr w:type="spellEnd"/>
            <w:r w:rsidRPr="006B1A18">
              <w:rPr>
                <w:lang w:eastAsia="ru-RU"/>
              </w:rPr>
              <w:t xml:space="preserve"> основаны на защите станций </w:t>
            </w:r>
            <w:proofErr w:type="spellStart"/>
            <w:r w:rsidRPr="006B1A18">
              <w:rPr>
                <w:lang w:eastAsia="ru-RU"/>
              </w:rPr>
              <w:t>ВРНС</w:t>
            </w:r>
            <w:proofErr w:type="spellEnd"/>
            <w:r w:rsidRPr="006B1A18">
              <w:rPr>
                <w:lang w:eastAsia="ru-RU"/>
              </w:rPr>
              <w:t xml:space="preserve"> от подвижных станций и не гарантиру</w:t>
            </w:r>
            <w:r w:rsidR="00EA38E8" w:rsidRPr="006B1A18">
              <w:rPr>
                <w:lang w:eastAsia="ru-RU"/>
              </w:rPr>
              <w:t>ю</w:t>
            </w:r>
            <w:r w:rsidRPr="006B1A18">
              <w:rPr>
                <w:lang w:eastAsia="ru-RU"/>
              </w:rPr>
              <w:t xml:space="preserve">т защиту приемных базовых станций </w:t>
            </w:r>
            <w:proofErr w:type="spellStart"/>
            <w:r w:rsidRPr="006B1A18">
              <w:rPr>
                <w:lang w:eastAsia="ru-RU"/>
              </w:rPr>
              <w:t>ПС</w:t>
            </w:r>
            <w:proofErr w:type="spellEnd"/>
            <w:r w:rsidRPr="006B1A18">
              <w:rPr>
                <w:lang w:eastAsia="ru-RU"/>
              </w:rPr>
              <w:t xml:space="preserve"> от станций </w:t>
            </w:r>
            <w:proofErr w:type="spellStart"/>
            <w:r w:rsidRPr="006B1A18">
              <w:rPr>
                <w:lang w:eastAsia="ru-RU"/>
              </w:rPr>
              <w:t>ВРНС</w:t>
            </w:r>
            <w:proofErr w:type="spellEnd"/>
            <w:r w:rsidRPr="006B1A18">
              <w:rPr>
                <w:lang w:eastAsia="ru-RU"/>
              </w:rPr>
              <w:t>.</w:t>
            </w:r>
          </w:p>
        </w:tc>
      </w:tr>
    </w:tbl>
    <w:p w:rsidR="00BE59CA" w:rsidRPr="006B1A18" w:rsidRDefault="00BE59CA" w:rsidP="00BE59CA">
      <w:pPr>
        <w:pStyle w:val="Reasons"/>
      </w:pPr>
      <w:proofErr w:type="gramStart"/>
      <w:r w:rsidRPr="006B1A18">
        <w:rPr>
          <w:b/>
          <w:bCs/>
        </w:rPr>
        <w:lastRenderedPageBreak/>
        <w:t>Основания</w:t>
      </w:r>
      <w:r w:rsidRPr="006B1A18">
        <w:t>:</w:t>
      </w:r>
      <w:r w:rsidRPr="006B1A18">
        <w:tab/>
      </w:r>
      <w:proofErr w:type="gramEnd"/>
      <w:r w:rsidRPr="006B1A18">
        <w:t xml:space="preserve">В этой новой Резолюции предлагается указать технические и </w:t>
      </w:r>
      <w:proofErr w:type="spellStart"/>
      <w:r w:rsidRPr="006B1A18">
        <w:t>регламентарные</w:t>
      </w:r>
      <w:proofErr w:type="spellEnd"/>
      <w:r w:rsidRPr="006B1A18">
        <w:t xml:space="preserve"> условия, применимые к распределению подвижной, за исключением воздушной подвижной, службе, как это требуется в пункте 5 раздела </w:t>
      </w:r>
      <w:r w:rsidRPr="006B1A18">
        <w:rPr>
          <w:i/>
          <w:iCs/>
        </w:rPr>
        <w:t>решает</w:t>
      </w:r>
      <w:r w:rsidRPr="006B1A18">
        <w:t xml:space="preserve"> Резолюции 232 (</w:t>
      </w:r>
      <w:proofErr w:type="spellStart"/>
      <w:r w:rsidRPr="006B1A18">
        <w:t>ВКР</w:t>
      </w:r>
      <w:proofErr w:type="spellEnd"/>
      <w:r w:rsidRPr="006B1A18">
        <w:t xml:space="preserve">-12), с учетом результатов исследований МСЭ-R, проведенных в соответствии с пунктами 1−6 раздела </w:t>
      </w:r>
      <w:r w:rsidRPr="006B1A18">
        <w:rPr>
          <w:i/>
          <w:iCs/>
        </w:rPr>
        <w:t>предлагает МСЭ-R</w:t>
      </w:r>
      <w:r w:rsidRPr="006B1A18">
        <w:t xml:space="preserve"> Резолюции 232 (</w:t>
      </w:r>
      <w:proofErr w:type="spellStart"/>
      <w:r w:rsidRPr="006B1A18">
        <w:t>ВКР</w:t>
      </w:r>
      <w:proofErr w:type="spellEnd"/>
      <w:r w:rsidRPr="006B1A18">
        <w:t>-12).</w:t>
      </w:r>
    </w:p>
    <w:p w:rsidR="00407E3F" w:rsidRPr="006B1A18" w:rsidRDefault="00407E3F" w:rsidP="00407E3F">
      <w:pPr>
        <w:spacing w:before="720"/>
        <w:jc w:val="center"/>
      </w:pPr>
      <w:r w:rsidRPr="006B1A18">
        <w:t>______________</w:t>
      </w:r>
    </w:p>
    <w:sectPr w:rsidR="00407E3F" w:rsidRPr="006B1A1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B1A18" w:rsidRDefault="00567276">
    <w:pPr>
      <w:ind w:right="360"/>
      <w:rPr>
        <w:lang w:val="en-GB"/>
      </w:rPr>
    </w:pPr>
    <w:r>
      <w:fldChar w:fldCharType="begin"/>
    </w:r>
    <w:r w:rsidRPr="006B1A18">
      <w:rPr>
        <w:lang w:val="en-GB"/>
      </w:rPr>
      <w:instrText xml:space="preserve"> FILENAME \p  \* MERGEFORMAT </w:instrText>
    </w:r>
    <w:r>
      <w:fldChar w:fldCharType="separate"/>
    </w:r>
    <w:r w:rsidR="006B44C0">
      <w:rPr>
        <w:noProof/>
        <w:lang w:val="en-GB"/>
      </w:rPr>
      <w:t>P:\RUS\ITU-R\CONF-R\CMR15\000\009ADD02ADD03R.docx</w:t>
    </w:r>
    <w:r>
      <w:fldChar w:fldCharType="end"/>
    </w:r>
    <w:r w:rsidRPr="006B1A1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44C0">
      <w:rPr>
        <w:noProof/>
      </w:rPr>
      <w:t>10.11.15</w:t>
    </w:r>
    <w:r>
      <w:fldChar w:fldCharType="end"/>
    </w:r>
    <w:r w:rsidRPr="006B1A1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44C0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A70A4">
      <w:instrText xml:space="preserve"> FILENAME \p  \* MERGEFORMAT </w:instrText>
    </w:r>
    <w:r>
      <w:fldChar w:fldCharType="separate"/>
    </w:r>
    <w:r w:rsidR="006B44C0">
      <w:t>P:\RUS\ITU-R\CONF-R\CMR15\000\009ADD02ADD03R.docx</w:t>
    </w:r>
    <w:r>
      <w:fldChar w:fldCharType="end"/>
    </w:r>
    <w:r w:rsidR="00DF40BF">
      <w:t xml:space="preserve"> (389843)</w:t>
    </w:r>
    <w:r w:rsidRPr="006A70A4">
      <w:tab/>
    </w:r>
    <w:r>
      <w:fldChar w:fldCharType="begin"/>
    </w:r>
    <w:r>
      <w:instrText xml:space="preserve"> SAVEDATE \@ DD.MM.YY </w:instrText>
    </w:r>
    <w:r>
      <w:fldChar w:fldCharType="separate"/>
    </w:r>
    <w:r w:rsidR="006B44C0">
      <w:t>10.11.15</w:t>
    </w:r>
    <w:r>
      <w:fldChar w:fldCharType="end"/>
    </w:r>
    <w:r w:rsidRPr="006A70A4">
      <w:tab/>
    </w:r>
    <w:r>
      <w:fldChar w:fldCharType="begin"/>
    </w:r>
    <w:r>
      <w:instrText xml:space="preserve"> PRINTDATE \@ DD.MM.YY </w:instrText>
    </w:r>
    <w:r>
      <w:fldChar w:fldCharType="separate"/>
    </w:r>
    <w:r w:rsidR="006B44C0">
      <w:t>10.11.15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A70A4" w:rsidRDefault="00567276" w:rsidP="00DE2EBA">
    <w:pPr>
      <w:pStyle w:val="Footer"/>
    </w:pPr>
    <w:r>
      <w:fldChar w:fldCharType="begin"/>
    </w:r>
    <w:r w:rsidRPr="006A70A4">
      <w:instrText xml:space="preserve"> FILENAME \p  \* MERGEFORMAT </w:instrText>
    </w:r>
    <w:r>
      <w:fldChar w:fldCharType="separate"/>
    </w:r>
    <w:r w:rsidR="006B44C0">
      <w:t>P:\RUS\ITU-R\CONF-R\CMR15\000\009ADD02ADD03R.docx</w:t>
    </w:r>
    <w:r>
      <w:fldChar w:fldCharType="end"/>
    </w:r>
    <w:r w:rsidR="00DF40BF">
      <w:t xml:space="preserve"> (389843)</w:t>
    </w:r>
    <w:r w:rsidRPr="006A70A4">
      <w:tab/>
    </w:r>
    <w:r>
      <w:fldChar w:fldCharType="begin"/>
    </w:r>
    <w:r>
      <w:instrText xml:space="preserve"> SAVEDATE \@ DD.MM.YY </w:instrText>
    </w:r>
    <w:r>
      <w:fldChar w:fldCharType="separate"/>
    </w:r>
    <w:r w:rsidR="006B44C0">
      <w:t>10.11.15</w:t>
    </w:r>
    <w:r>
      <w:fldChar w:fldCharType="end"/>
    </w:r>
    <w:r w:rsidRPr="006A70A4">
      <w:tab/>
    </w:r>
    <w:r>
      <w:fldChar w:fldCharType="begin"/>
    </w:r>
    <w:r>
      <w:instrText xml:space="preserve"> PRINTDATE \@ DD.MM.YY </w:instrText>
    </w:r>
    <w:r>
      <w:fldChar w:fldCharType="separate"/>
    </w:r>
    <w:r w:rsidR="006B44C0"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B44C0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</w:t>
    </w:r>
    <w:proofErr w:type="spellStart"/>
    <w:r w:rsidR="00F761D2">
      <w:t>Add.2</w:t>
    </w:r>
    <w:proofErr w:type="spellEnd"/>
    <w:proofErr w:type="gramStart"/>
    <w:r w:rsidR="00F761D2">
      <w:t>)(</w:t>
    </w:r>
    <w:proofErr w:type="spellStart"/>
    <w:proofErr w:type="gramEnd"/>
    <w:r w:rsidR="00F761D2">
      <w:t>Add.3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20BF"/>
    <w:rsid w:val="00113D0B"/>
    <w:rsid w:val="001226EC"/>
    <w:rsid w:val="00123B68"/>
    <w:rsid w:val="00124C09"/>
    <w:rsid w:val="00126F2E"/>
    <w:rsid w:val="001521AE"/>
    <w:rsid w:val="001624BC"/>
    <w:rsid w:val="00176BF1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07E3F"/>
    <w:rsid w:val="00434A7C"/>
    <w:rsid w:val="0045143A"/>
    <w:rsid w:val="004A58F4"/>
    <w:rsid w:val="004B716F"/>
    <w:rsid w:val="004C47ED"/>
    <w:rsid w:val="004F3B0D"/>
    <w:rsid w:val="005002F3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1982"/>
    <w:rsid w:val="00614771"/>
    <w:rsid w:val="00620DD7"/>
    <w:rsid w:val="00657DE0"/>
    <w:rsid w:val="00692C06"/>
    <w:rsid w:val="006A6E9B"/>
    <w:rsid w:val="006A70A4"/>
    <w:rsid w:val="006B1A18"/>
    <w:rsid w:val="006B44C0"/>
    <w:rsid w:val="006E2743"/>
    <w:rsid w:val="006F20D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C7660"/>
    <w:rsid w:val="00BE59CA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50AD"/>
    <w:rsid w:val="00D53715"/>
    <w:rsid w:val="00DE2EBA"/>
    <w:rsid w:val="00DF40BF"/>
    <w:rsid w:val="00E2253F"/>
    <w:rsid w:val="00E43E99"/>
    <w:rsid w:val="00E5155F"/>
    <w:rsid w:val="00E65919"/>
    <w:rsid w:val="00E976C1"/>
    <w:rsid w:val="00EA38E8"/>
    <w:rsid w:val="00F21A03"/>
    <w:rsid w:val="00F46329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F04C033-CDE8-4599-8B15-330C071F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Style 3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BE59CA"/>
  </w:style>
  <w:style w:type="paragraph" w:customStyle="1" w:styleId="headingb0">
    <w:name w:val="heading_b"/>
    <w:basedOn w:val="Heading3"/>
    <w:next w:val="Normal"/>
    <w:uiPriority w:val="99"/>
    <w:rsid w:val="00BE59CA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R15-WRC15-C-0009!A2-A3!MSW-R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376A0-FC03-4777-AF86-1934F0D6186B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elements/1.1/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DFE22B6-BC2B-404F-9EA2-C6799722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852</Words>
  <Characters>5396</Characters>
  <Application>Microsoft Office Word</Application>
  <DocSecurity>0</DocSecurity>
  <Lines>161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R15-WRC15-C-0009!A2-A3!MSW-R</vt:lpstr>
    </vt:vector>
  </TitlesOfParts>
  <Manager>General Secretariat - Pool</Manager>
  <Company>International Telecommunication Union (ITU)</Company>
  <LinksUpToDate>false</LinksUpToDate>
  <CharactersWithSpaces>6163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R15-WRC15-C-0009!A2-A3!MSW-R</dc:title>
  <dc:subject>World Radiocommunication Conference - 2015</dc:subject>
  <dc:creator>Documents Proposals Manager (DPM)</dc:creator>
  <cp:keywords>DPM_v5.2015.11.61_prod</cp:keywords>
  <dc:description/>
  <cp:lastModifiedBy>Tsarapkina, Yulia</cp:lastModifiedBy>
  <cp:revision>8</cp:revision>
  <cp:lastPrinted>2015-11-10T10:10:00Z</cp:lastPrinted>
  <dcterms:created xsi:type="dcterms:W3CDTF">2015-11-09T13:13:00Z</dcterms:created>
  <dcterms:modified xsi:type="dcterms:W3CDTF">2015-11-10T10:12:00Z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