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1F3A2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1F3A20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1F3A2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1F3A2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1F3A2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1F3A2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1F3A2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4</w:t>
            </w:r>
          </w:p>
        </w:tc>
        <w:tc>
          <w:tcPr>
            <w:tcW w:w="3120" w:type="dxa"/>
            <w:shd w:val="clear" w:color="auto" w:fill="auto"/>
          </w:tcPr>
          <w:p w:rsidR="00BB1D82" w:rsidRPr="00A805AA" w:rsidRDefault="006D4724" w:rsidP="001F3A2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805AA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A805AA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9(Add.2)</w:t>
            </w:r>
            <w:r w:rsidR="00BB1D82" w:rsidRPr="00A805A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805A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A805AA" w:rsidRDefault="00690C7B" w:rsidP="001F3A2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1F3A2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1F3A2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1F3A2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F3A2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F3A20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européennes communes</w:t>
            </w:r>
          </w:p>
        </w:tc>
      </w:tr>
      <w:tr w:rsidR="00690C7B" w:rsidRPr="00462AA8" w:rsidTr="0050008E">
        <w:trPr>
          <w:cantSplit/>
        </w:trPr>
        <w:tc>
          <w:tcPr>
            <w:tcW w:w="10031" w:type="dxa"/>
            <w:gridSpan w:val="2"/>
          </w:tcPr>
          <w:p w:rsidR="00690C7B" w:rsidRPr="00462AA8" w:rsidRDefault="00462AA8" w:rsidP="001F3A2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62AA8">
              <w:rPr>
                <w:lang w:val="fr-CH"/>
              </w:rPr>
              <w:t>propositions pour les travaux de la conférence</w:t>
            </w:r>
          </w:p>
        </w:tc>
      </w:tr>
      <w:tr w:rsidR="00690C7B" w:rsidRPr="00462AA8" w:rsidTr="0050008E">
        <w:trPr>
          <w:cantSplit/>
        </w:trPr>
        <w:tc>
          <w:tcPr>
            <w:tcW w:w="10031" w:type="dxa"/>
            <w:gridSpan w:val="2"/>
          </w:tcPr>
          <w:p w:rsidR="00690C7B" w:rsidRPr="00462AA8" w:rsidRDefault="00690C7B" w:rsidP="001F3A20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1F3A20">
            <w:pPr>
              <w:pStyle w:val="Agendaitem"/>
            </w:pPr>
            <w:bookmarkStart w:id="5" w:name="dtitle3" w:colFirst="0" w:colLast="0"/>
            <w:bookmarkEnd w:id="4"/>
            <w:r w:rsidRPr="006D4724">
              <w:t>Point 1.2 de l'ordre du jour</w:t>
            </w:r>
          </w:p>
        </w:tc>
      </w:tr>
    </w:tbl>
    <w:bookmarkEnd w:id="5"/>
    <w:p w:rsidR="001C0E40" w:rsidRDefault="009F7FD4" w:rsidP="001F3A20">
      <w:pPr>
        <w:rPr>
          <w:lang w:val="fr-CA"/>
        </w:rPr>
      </w:pPr>
      <w:r w:rsidRPr="009A0F74">
        <w:rPr>
          <w:lang w:val="fr-CA"/>
        </w:rPr>
        <w:t>1.2</w:t>
      </w:r>
      <w:r w:rsidRPr="009A0F74">
        <w:rPr>
          <w:lang w:val="fr-CA"/>
        </w:rPr>
        <w:tab/>
        <w:t xml:space="preserve">examiner les résultats des études de l'UIT-R, conformément à la Résolution </w:t>
      </w:r>
      <w:r w:rsidRPr="004D786B">
        <w:rPr>
          <w:b/>
          <w:bCs/>
          <w:lang w:val="fr-CA"/>
        </w:rPr>
        <w:t>232 (CMR</w:t>
      </w:r>
      <w:r w:rsidR="00BF1E28">
        <w:rPr>
          <w:b/>
          <w:bCs/>
          <w:lang w:val="fr-CA"/>
        </w:rPr>
        <w:noBreakHyphen/>
      </w:r>
      <w:r w:rsidRPr="004D786B">
        <w:rPr>
          <w:b/>
          <w:bCs/>
          <w:lang w:val="fr-CA"/>
        </w:rPr>
        <w:t>12)</w:t>
      </w:r>
      <w:r w:rsidRPr="009A0F74">
        <w:rPr>
          <w:lang w:val="fr-CA"/>
        </w:rPr>
        <w:t>, sur l'utilisation de la bande de fréquences 694-790 MHz par le service mobile, sauf mobile aéronautique, dans la Région 1 et prendre les mesures appropriées;</w:t>
      </w:r>
    </w:p>
    <w:p w:rsidR="00A805AA" w:rsidRPr="009A0F74" w:rsidRDefault="00A805AA" w:rsidP="001F3A20">
      <w:pPr>
        <w:rPr>
          <w:lang w:val="fr-CA"/>
        </w:rPr>
      </w:pPr>
    </w:p>
    <w:p w:rsidR="00636890" w:rsidRPr="004B679F" w:rsidRDefault="00636890" w:rsidP="001F3A20">
      <w:pPr>
        <w:rPr>
          <w:lang w:val="fr-CA"/>
        </w:rPr>
      </w:pPr>
      <w:r>
        <w:rPr>
          <w:lang w:val="fr-CA"/>
        </w:rPr>
        <w:t>Le point 1.2 de l’ordre du jour de la CMR-15 traite des études menées</w:t>
      </w:r>
      <w:r w:rsidRPr="004B679F">
        <w:rPr>
          <w:lang w:val="fr-CA"/>
        </w:rPr>
        <w:t xml:space="preserve"> </w:t>
      </w:r>
      <w:r>
        <w:rPr>
          <w:lang w:val="fr-CA"/>
        </w:rPr>
        <w:t xml:space="preserve">conformément à </w:t>
      </w:r>
      <w:r w:rsidRPr="004B679F">
        <w:rPr>
          <w:lang w:val="fr-CA"/>
        </w:rPr>
        <w:t>la R</w:t>
      </w:r>
      <w:r w:rsidRPr="004B679F">
        <w:rPr>
          <w:rFonts w:hint="eastAsia"/>
          <w:lang w:val="fr-CA"/>
        </w:rPr>
        <w:t>é</w:t>
      </w:r>
      <w:r>
        <w:rPr>
          <w:lang w:val="fr-CA"/>
        </w:rPr>
        <w:t>solution 232 (CMR-15</w:t>
      </w:r>
      <w:r w:rsidRPr="004B679F">
        <w:rPr>
          <w:lang w:val="fr-CA"/>
        </w:rPr>
        <w:t>)</w:t>
      </w:r>
      <w:r>
        <w:rPr>
          <w:lang w:val="fr-CA"/>
        </w:rPr>
        <w:t xml:space="preserve"> et</w:t>
      </w:r>
      <w:r w:rsidRPr="004B679F">
        <w:rPr>
          <w:lang w:val="fr-CA"/>
        </w:rPr>
        <w:t xml:space="preserve"> relative</w:t>
      </w:r>
      <w:r>
        <w:rPr>
          <w:lang w:val="fr-CA"/>
        </w:rPr>
        <w:t>s</w:t>
      </w:r>
      <w:r w:rsidRPr="004B679F">
        <w:rPr>
          <w:lang w:val="fr-CA"/>
        </w:rPr>
        <w:t xml:space="preserve"> </w:t>
      </w:r>
      <w:r w:rsidRPr="004B679F">
        <w:rPr>
          <w:rFonts w:hint="eastAsia"/>
          <w:lang w:val="fr-CA"/>
        </w:rPr>
        <w:t>à</w:t>
      </w:r>
      <w:r w:rsidRPr="004B679F">
        <w:rPr>
          <w:lang w:val="fr-CA"/>
        </w:rPr>
        <w:t xml:space="preserve"> l</w:t>
      </w:r>
      <w:r>
        <w:rPr>
          <w:lang w:val="fr-CA"/>
        </w:rPr>
        <w:t xml:space="preserve">’utilisation </w:t>
      </w:r>
      <w:r w:rsidRPr="004B679F">
        <w:rPr>
          <w:lang w:val="fr-CA"/>
        </w:rPr>
        <w:t>de la bande</w:t>
      </w:r>
      <w:r>
        <w:rPr>
          <w:lang w:val="fr-CA"/>
        </w:rPr>
        <w:t xml:space="preserve"> de fréquences</w:t>
      </w:r>
      <w:r w:rsidRPr="004B679F">
        <w:rPr>
          <w:lang w:val="fr-CA"/>
        </w:rPr>
        <w:t xml:space="preserve"> 694-790 MHz </w:t>
      </w:r>
      <w:r>
        <w:rPr>
          <w:lang w:val="fr-CA"/>
        </w:rPr>
        <w:t>par le service mobile, sauf</w:t>
      </w:r>
      <w:r w:rsidRPr="004B679F">
        <w:rPr>
          <w:lang w:val="fr-CA"/>
        </w:rPr>
        <w:t xml:space="preserve"> mobile a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ronautiqu</w:t>
      </w:r>
      <w:r>
        <w:rPr>
          <w:lang w:val="fr-CA"/>
        </w:rPr>
        <w:t>e, dans la Région 1. Les travaux préparatoires menés à l'UIT-R (par le GAM 4-5-6-7) concernant ce point de l'ordre du jour de la CMR-15 ont porté essentiellement sur quatre points:</w:t>
      </w:r>
    </w:p>
    <w:p w:rsidR="00636890" w:rsidRPr="004B679F" w:rsidRDefault="00636890" w:rsidP="001F3A20">
      <w:pPr>
        <w:pStyle w:val="enumlev1"/>
        <w:rPr>
          <w:lang w:val="fr-CA"/>
        </w:rPr>
      </w:pPr>
      <w:r w:rsidRPr="004B679F">
        <w:rPr>
          <w:rFonts w:hint="eastAsia"/>
          <w:lang w:val="fr-CA"/>
        </w:rPr>
        <w:t>•</w:t>
      </w:r>
      <w:r>
        <w:rPr>
          <w:lang w:val="fr-CA"/>
        </w:rPr>
        <w:tab/>
      </w:r>
      <w:r w:rsidRPr="004B679F">
        <w:rPr>
          <w:lang w:val="fr-CA"/>
        </w:rPr>
        <w:t xml:space="preserve">Question A: </w:t>
      </w:r>
      <w:r w:rsidRPr="000A1E84">
        <w:t>Option</w:t>
      </w:r>
      <w:r w:rsidRPr="004B679F">
        <w:rPr>
          <w:lang w:val="fr-CA"/>
        </w:rPr>
        <w:t xml:space="preserve"> pour </w:t>
      </w:r>
      <w:r>
        <w:rPr>
          <w:lang w:val="fr-CA"/>
        </w:rPr>
        <w:t>préciser</w:t>
      </w:r>
      <w:r w:rsidRPr="004B679F">
        <w:rPr>
          <w:lang w:val="fr-CA"/>
        </w:rPr>
        <w:t xml:space="preserve"> la limite inf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rieure de la bande</w:t>
      </w:r>
      <w:r>
        <w:rPr>
          <w:lang w:val="fr-CA"/>
        </w:rPr>
        <w:t xml:space="preserve"> (voir l’Addendum 1 à l'Addendum 2 au Document 9)</w:t>
      </w:r>
      <w:r w:rsidRPr="004B679F">
        <w:rPr>
          <w:lang w:val="fr-CA"/>
        </w:rPr>
        <w:t>.</w:t>
      </w:r>
    </w:p>
    <w:p w:rsidR="00636890" w:rsidRPr="004B679F" w:rsidRDefault="00636890" w:rsidP="001F3A20">
      <w:pPr>
        <w:pStyle w:val="enumlev1"/>
        <w:rPr>
          <w:lang w:val="fr-CA"/>
        </w:rPr>
      </w:pPr>
      <w:r w:rsidRPr="004B679F">
        <w:rPr>
          <w:rFonts w:hint="eastAsia"/>
          <w:lang w:val="fr-CA"/>
        </w:rPr>
        <w:t>•</w:t>
      </w:r>
      <w:r>
        <w:rPr>
          <w:lang w:val="fr-CA"/>
        </w:rPr>
        <w:tab/>
      </w:r>
      <w:r w:rsidRPr="004B679F">
        <w:rPr>
          <w:lang w:val="fr-CA"/>
        </w:rPr>
        <w:t>Questio</w:t>
      </w:r>
      <w:r>
        <w:rPr>
          <w:lang w:val="fr-CA"/>
        </w:rPr>
        <w:t xml:space="preserve">n </w:t>
      </w:r>
      <w:r w:rsidRPr="004B679F">
        <w:rPr>
          <w:lang w:val="fr-CA"/>
        </w:rPr>
        <w:t xml:space="preserve">B: Conditions </w:t>
      </w:r>
      <w:r w:rsidRPr="000A1E84">
        <w:t>techniques</w:t>
      </w:r>
      <w:r w:rsidRPr="004B679F">
        <w:rPr>
          <w:lang w:val="fr-CA"/>
        </w:rPr>
        <w:t xml:space="preserve"> et r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glementaires applicables au</w:t>
      </w:r>
      <w:r>
        <w:rPr>
          <w:lang w:val="fr-CA"/>
        </w:rPr>
        <w:t xml:space="preserve"> service mobile </w:t>
      </w:r>
      <w:r w:rsidRPr="004B679F">
        <w:rPr>
          <w:lang w:val="fr-CA"/>
        </w:rPr>
        <w:t>du point de vue de la compatibilit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 xml:space="preserve"> entre le </w:t>
      </w:r>
      <w:r>
        <w:rPr>
          <w:lang w:val="fr-CA"/>
        </w:rPr>
        <w:t>service mobile (</w:t>
      </w:r>
      <w:r w:rsidRPr="004B679F">
        <w:rPr>
          <w:lang w:val="fr-CA"/>
        </w:rPr>
        <w:t>SM</w:t>
      </w:r>
      <w:r>
        <w:rPr>
          <w:lang w:val="fr-CA"/>
        </w:rPr>
        <w:t>)</w:t>
      </w:r>
      <w:r w:rsidRPr="004B679F">
        <w:rPr>
          <w:lang w:val="fr-CA"/>
        </w:rPr>
        <w:t xml:space="preserve"> et le</w:t>
      </w:r>
      <w:r>
        <w:rPr>
          <w:lang w:val="fr-CA"/>
        </w:rPr>
        <w:t xml:space="preserve"> service de radiodiffusion (</w:t>
      </w:r>
      <w:r w:rsidRPr="004B679F">
        <w:rPr>
          <w:lang w:val="fr-CA"/>
        </w:rPr>
        <w:t>SR</w:t>
      </w:r>
      <w:r>
        <w:rPr>
          <w:lang w:val="fr-CA"/>
        </w:rPr>
        <w:t>) (voir l'Addendum 2 à l'Addendum 2 au Document 9).</w:t>
      </w:r>
    </w:p>
    <w:p w:rsidR="00636890" w:rsidRPr="004B679F" w:rsidRDefault="00636890" w:rsidP="001F3A20">
      <w:pPr>
        <w:pStyle w:val="enumlev1"/>
        <w:rPr>
          <w:lang w:val="fr-CA"/>
        </w:rPr>
      </w:pPr>
      <w:r w:rsidRPr="004B679F">
        <w:rPr>
          <w:rFonts w:hint="eastAsia"/>
          <w:lang w:val="fr-CA"/>
        </w:rPr>
        <w:t>•</w:t>
      </w:r>
      <w:r w:rsidRPr="004B679F">
        <w:rPr>
          <w:lang w:val="fr-CA"/>
        </w:rPr>
        <w:t xml:space="preserve"> </w:t>
      </w:r>
      <w:r>
        <w:rPr>
          <w:lang w:val="fr-CA"/>
        </w:rPr>
        <w:tab/>
      </w:r>
      <w:r w:rsidRPr="004B679F">
        <w:rPr>
          <w:lang w:val="fr-CA"/>
        </w:rPr>
        <w:t>Question C: Conditions techniques et r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glementaires applicables au SM du point de vue de la compatibilit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 xml:space="preserve"> entre le SM et le </w:t>
      </w:r>
      <w:r>
        <w:rPr>
          <w:lang w:val="fr-CA"/>
        </w:rPr>
        <w:t>service de radionavigation aéronautique (</w:t>
      </w:r>
      <w:r w:rsidRPr="004B679F">
        <w:rPr>
          <w:lang w:val="fr-CA"/>
        </w:rPr>
        <w:t>SRNA</w:t>
      </w:r>
      <w:r>
        <w:rPr>
          <w:lang w:val="fr-CA"/>
        </w:rPr>
        <w:t>)</w:t>
      </w:r>
      <w:r w:rsidRPr="004B679F">
        <w:rPr>
          <w:lang w:val="fr-CA"/>
        </w:rPr>
        <w:t xml:space="preserve"> pour les pays 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num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s au num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ro 5.312 du RR</w:t>
      </w:r>
      <w:r>
        <w:rPr>
          <w:lang w:val="fr-CA"/>
        </w:rPr>
        <w:t xml:space="preserve"> (voir l'Addendum 3 à l'Addendum 2 au Document 9)</w:t>
      </w:r>
      <w:r w:rsidRPr="004B679F">
        <w:rPr>
          <w:lang w:val="fr-CA"/>
        </w:rPr>
        <w:t>.</w:t>
      </w:r>
    </w:p>
    <w:p w:rsidR="00636890" w:rsidRDefault="00636890" w:rsidP="001F3A20">
      <w:pPr>
        <w:pStyle w:val="enumlev1"/>
        <w:rPr>
          <w:lang w:val="fr-CA"/>
        </w:rPr>
      </w:pPr>
      <w:r w:rsidRPr="004B679F">
        <w:rPr>
          <w:rFonts w:hint="eastAsia"/>
          <w:lang w:val="fr-CA"/>
        </w:rPr>
        <w:t>•</w:t>
      </w:r>
      <w:r>
        <w:rPr>
          <w:lang w:val="fr-CA"/>
        </w:rPr>
        <w:tab/>
      </w:r>
      <w:r w:rsidRPr="004B679F">
        <w:rPr>
          <w:lang w:val="fr-CA"/>
        </w:rPr>
        <w:t xml:space="preserve">Question D: Solutions permettant de </w:t>
      </w:r>
      <w:r w:rsidRPr="000A1E84">
        <w:t>r</w:t>
      </w:r>
      <w:r w:rsidRPr="000A1E84">
        <w:rPr>
          <w:rFonts w:hint="eastAsia"/>
        </w:rPr>
        <w:t>é</w:t>
      </w:r>
      <w:r w:rsidRPr="000A1E84">
        <w:t>pondre</w:t>
      </w:r>
      <w:r w:rsidRPr="004B679F">
        <w:rPr>
          <w:lang w:val="fr-CA"/>
        </w:rPr>
        <w:t xml:space="preserve"> aux besoins des applications auxiliaires de la radiodiffusion</w:t>
      </w:r>
      <w:r>
        <w:rPr>
          <w:lang w:val="fr-CA"/>
        </w:rPr>
        <w:t xml:space="preserve"> (voir l'Addendum 1 à l'Addendum 2 au Document 9).</w:t>
      </w:r>
    </w:p>
    <w:p w:rsidR="003A583E" w:rsidRPr="00636890" w:rsidRDefault="00636890" w:rsidP="00E248AC">
      <w:pPr>
        <w:rPr>
          <w:lang w:val="fr-CH"/>
        </w:rPr>
      </w:pPr>
      <w:r w:rsidRPr="0063658E">
        <w:rPr>
          <w:lang w:val="fr-CA"/>
        </w:rPr>
        <w:t>L</w:t>
      </w:r>
      <w:r>
        <w:rPr>
          <w:lang w:val="fr-CA"/>
        </w:rPr>
        <w:t>'</w:t>
      </w:r>
      <w:r w:rsidRPr="0063658E">
        <w:rPr>
          <w:lang w:val="fr-CA"/>
        </w:rPr>
        <w:t>Europe est consciente du fait que la CMR–12 a décidé que l</w:t>
      </w:r>
      <w:r>
        <w:rPr>
          <w:lang w:val="fr-CA"/>
        </w:rPr>
        <w:t>'</w:t>
      </w:r>
      <w:r w:rsidRPr="0063658E">
        <w:rPr>
          <w:lang w:val="fr-CA"/>
        </w:rPr>
        <w:t>attribution au service mobile dans la bande 694–790 MHz est subordonnée</w:t>
      </w:r>
      <w:r>
        <w:rPr>
          <w:lang w:val="fr-CA"/>
        </w:rPr>
        <w:t xml:space="preserve"> à l'obtention de l'accord au titre du numéro</w:t>
      </w:r>
      <w:r w:rsidRPr="0063658E">
        <w:rPr>
          <w:lang w:val="fr-CA"/>
        </w:rPr>
        <w:t xml:space="preserve"> 9.21 </w:t>
      </w:r>
      <w:r>
        <w:rPr>
          <w:lang w:val="fr-CA"/>
        </w:rPr>
        <w:t xml:space="preserve">pour ce qui est du service de radionavigation aéronautique (SRNA) dans les pays 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num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s au num</w:t>
      </w:r>
      <w:r w:rsidRPr="004B679F">
        <w:rPr>
          <w:rFonts w:hint="eastAsia"/>
          <w:lang w:val="fr-CA"/>
        </w:rPr>
        <w:t>é</w:t>
      </w:r>
      <w:r w:rsidRPr="004B679F">
        <w:rPr>
          <w:lang w:val="fr-CA"/>
        </w:rPr>
        <w:t>ro 5.312 du</w:t>
      </w:r>
      <w:r w:rsidR="00E248AC">
        <w:rPr>
          <w:lang w:val="fr-CA"/>
        </w:rPr>
        <w:t> </w:t>
      </w:r>
      <w:r w:rsidRPr="004B679F">
        <w:rPr>
          <w:lang w:val="fr-CA"/>
        </w:rPr>
        <w:t>RR</w:t>
      </w:r>
      <w:r w:rsidRPr="0063658E">
        <w:rPr>
          <w:lang w:val="fr-CA"/>
        </w:rPr>
        <w:t>.</w:t>
      </w:r>
    </w:p>
    <w:p w:rsidR="00A805AA" w:rsidRPr="00C010BF" w:rsidRDefault="00A805AA" w:rsidP="00E3402D">
      <w:pPr>
        <w:pStyle w:val="Heading1"/>
      </w:pPr>
      <w:r w:rsidRPr="00C010BF">
        <w:lastRenderedPageBreak/>
        <w:t>1</w:t>
      </w:r>
      <w:r w:rsidRPr="00C010BF">
        <w:tab/>
      </w:r>
      <w:r w:rsidR="00C010BF" w:rsidRPr="00C010BF">
        <w:t>Méthodes appuyées par l'Europe</w:t>
      </w:r>
    </w:p>
    <w:p w:rsidR="00A805AA" w:rsidRPr="00636890" w:rsidRDefault="00C010BF" w:rsidP="001F3A20">
      <w:pPr>
        <w:pStyle w:val="Headingi"/>
        <w:rPr>
          <w:lang w:val="fr-CH"/>
        </w:rPr>
      </w:pPr>
      <w:r>
        <w:rPr>
          <w:rStyle w:val="Strong"/>
          <w:lang w:val="fr-CH"/>
        </w:rPr>
        <w:t>Question</w:t>
      </w:r>
      <w:r w:rsidR="00A805AA" w:rsidRPr="00636890">
        <w:rPr>
          <w:rStyle w:val="Strong"/>
          <w:lang w:val="fr-CH"/>
        </w:rPr>
        <w:t xml:space="preserve"> C</w:t>
      </w:r>
      <w:r w:rsidR="00A805AA" w:rsidRPr="00636890">
        <w:rPr>
          <w:lang w:val="fr-CH"/>
        </w:rPr>
        <w:t xml:space="preserve">: </w:t>
      </w:r>
      <w:r w:rsidR="00A805AA" w:rsidRPr="00636890">
        <w:rPr>
          <w:lang w:val="fr-CH"/>
        </w:rPr>
        <w:tab/>
      </w:r>
      <w:r w:rsidR="00636890" w:rsidRPr="00636890">
        <w:t xml:space="preserve">Conditions techniques et </w:t>
      </w:r>
      <w:r w:rsidR="00636890">
        <w:t>réglementaires applicables au service mobile</w:t>
      </w:r>
      <w:r w:rsidR="00636890" w:rsidRPr="00636890">
        <w:t xml:space="preserve"> du point de vue de la compatibilité entre le </w:t>
      </w:r>
      <w:r w:rsidR="00636890">
        <w:t>servi</w:t>
      </w:r>
      <w:r>
        <w:t>c</w:t>
      </w:r>
      <w:r w:rsidR="00636890">
        <w:t>e mobile et le service de radionavigation aéronautique</w:t>
      </w:r>
      <w:r w:rsidR="00636890" w:rsidRPr="00636890">
        <w:t xml:space="preserve"> pour les pays énumérés au numéro </w:t>
      </w:r>
      <w:r w:rsidR="00636890" w:rsidRPr="00636890">
        <w:rPr>
          <w:b/>
          <w:bCs/>
        </w:rPr>
        <w:t>5.312</w:t>
      </w:r>
    </w:p>
    <w:p w:rsidR="00636890" w:rsidRDefault="00636890" w:rsidP="001F3A20">
      <w:pPr>
        <w:rPr>
          <w:lang w:val="fr-CH"/>
        </w:rPr>
      </w:pPr>
      <w:r>
        <w:rPr>
          <w:lang w:val="fr-CH"/>
        </w:rPr>
        <w:t xml:space="preserve">Le numéro </w:t>
      </w:r>
      <w:r w:rsidRPr="00E248AC">
        <w:rPr>
          <w:b/>
          <w:bCs/>
          <w:lang w:val="fr-CH"/>
        </w:rPr>
        <w:t>9.21</w:t>
      </w:r>
      <w:r>
        <w:rPr>
          <w:lang w:val="fr-CH"/>
        </w:rPr>
        <w:t xml:space="preserve"> s'applique au service mobile vis-à-vis du service de radionavigation aéronautique dans la bande de fréquences </w:t>
      </w:r>
      <w:r w:rsidRPr="00636890">
        <w:rPr>
          <w:lang w:val="fr-CH"/>
        </w:rPr>
        <w:t>694-790 MHz</w:t>
      </w:r>
      <w:r>
        <w:rPr>
          <w:lang w:val="fr-CH"/>
        </w:rPr>
        <w:t>.</w:t>
      </w:r>
    </w:p>
    <w:p w:rsidR="00636890" w:rsidRPr="00636890" w:rsidRDefault="00636890" w:rsidP="001F3A20">
      <w:pPr>
        <w:rPr>
          <w:lang w:val="fr-CH"/>
        </w:rPr>
      </w:pPr>
      <w:r>
        <w:rPr>
          <w:lang w:val="fr-CH"/>
        </w:rPr>
        <w:t xml:space="preserve">L'Europe propose de faire figurer dans une Résolution de la CMR les critères </w:t>
      </w:r>
      <w:r w:rsidR="00183FFF">
        <w:rPr>
          <w:lang w:val="fr-CH"/>
        </w:rPr>
        <w:t xml:space="preserve">à </w:t>
      </w:r>
      <w:r w:rsidR="00C010BF">
        <w:rPr>
          <w:lang w:val="fr-CH"/>
        </w:rPr>
        <w:t>utiliser</w:t>
      </w:r>
      <w:r>
        <w:rPr>
          <w:lang w:val="fr-CH"/>
        </w:rPr>
        <w:t xml:space="preserve"> </w:t>
      </w:r>
      <w:r w:rsidR="00183FFF">
        <w:rPr>
          <w:lang w:val="fr-CH"/>
        </w:rPr>
        <w:t>pour</w:t>
      </w:r>
      <w:r>
        <w:rPr>
          <w:lang w:val="fr-CH"/>
        </w:rPr>
        <w:t xml:space="preserve"> identifi</w:t>
      </w:r>
      <w:r w:rsidR="00183FFF">
        <w:rPr>
          <w:lang w:val="fr-CH"/>
        </w:rPr>
        <w:t>er</w:t>
      </w:r>
      <w:r>
        <w:rPr>
          <w:lang w:val="fr-CH"/>
        </w:rPr>
        <w:t xml:space="preserve"> </w:t>
      </w:r>
      <w:r w:rsidR="00183FFF">
        <w:rPr>
          <w:lang w:val="fr-CH"/>
        </w:rPr>
        <w:t>l</w:t>
      </w:r>
      <w:r>
        <w:rPr>
          <w:lang w:val="fr-CH"/>
        </w:rPr>
        <w:t xml:space="preserve">es administrations susceptibles d'être affectées </w:t>
      </w:r>
      <w:r w:rsidR="00183FFF">
        <w:rPr>
          <w:lang w:val="fr-CH"/>
        </w:rPr>
        <w:t xml:space="preserve">parmi celles </w:t>
      </w:r>
      <w:r>
        <w:rPr>
          <w:lang w:val="fr-CH"/>
        </w:rPr>
        <w:t xml:space="preserve">qui utilisent le service </w:t>
      </w:r>
      <w:r w:rsidR="00BF1E28">
        <w:rPr>
          <w:lang w:val="fr-CH"/>
        </w:rPr>
        <w:t>de radionavigation</w:t>
      </w:r>
      <w:r>
        <w:rPr>
          <w:lang w:val="fr-CH"/>
        </w:rPr>
        <w:t xml:space="preserve"> aéronautique dans les pays</w:t>
      </w:r>
      <w:r w:rsidR="00183FFF">
        <w:rPr>
          <w:lang w:val="fr-CH"/>
        </w:rPr>
        <w:t xml:space="preserve"> énumérés au numéro </w:t>
      </w:r>
      <w:r w:rsidR="00183FFF" w:rsidRPr="00E248AC">
        <w:rPr>
          <w:b/>
          <w:bCs/>
          <w:lang w:val="fr-CH"/>
        </w:rPr>
        <w:t>5.312</w:t>
      </w:r>
      <w:r w:rsidR="00183FFF">
        <w:rPr>
          <w:lang w:val="fr-CH"/>
        </w:rPr>
        <w:t>.</w:t>
      </w:r>
    </w:p>
    <w:p w:rsidR="00A805AA" w:rsidRPr="00183FFF" w:rsidRDefault="00A805AA" w:rsidP="00E248AC">
      <w:pPr>
        <w:pStyle w:val="Heading1"/>
        <w:rPr>
          <w:lang w:val="fr-CH"/>
        </w:rPr>
      </w:pPr>
      <w:r w:rsidRPr="00183FFF">
        <w:rPr>
          <w:lang w:val="fr-CH"/>
        </w:rPr>
        <w:t>2</w:t>
      </w:r>
      <w:r w:rsidRPr="00183FFF">
        <w:rPr>
          <w:lang w:val="fr-CH"/>
        </w:rPr>
        <w:tab/>
      </w:r>
      <w:r w:rsidR="00183FFF" w:rsidRPr="00183FFF">
        <w:rPr>
          <w:lang w:val="fr-CH"/>
        </w:rPr>
        <w:t xml:space="preserve">Dispositions réglementaires </w:t>
      </w:r>
      <w:r w:rsidR="009E55B6">
        <w:rPr>
          <w:lang w:val="fr-CH"/>
        </w:rPr>
        <w:t>appuyées par</w:t>
      </w:r>
      <w:r w:rsidR="00183FFF">
        <w:rPr>
          <w:lang w:val="fr-CH"/>
        </w:rPr>
        <w:t xml:space="preserve"> l'Europe</w:t>
      </w:r>
    </w:p>
    <w:p w:rsidR="009B6DC9" w:rsidRDefault="009F7FD4" w:rsidP="001F3A20">
      <w:pPr>
        <w:pStyle w:val="Proposal"/>
      </w:pPr>
      <w:r>
        <w:t>ADD</w:t>
      </w:r>
      <w:r>
        <w:tab/>
        <w:t>EUR/9A2A3/1</w:t>
      </w:r>
    </w:p>
    <w:p w:rsidR="009B6DC9" w:rsidRDefault="009F7FD4" w:rsidP="001F3A20">
      <w:pPr>
        <w:pStyle w:val="ResNo"/>
      </w:pPr>
      <w:r>
        <w:t>Projet de nouvelle Résolution [EUR-A</w:t>
      </w:r>
      <w:r w:rsidR="00183FFF">
        <w:t>1</w:t>
      </w:r>
      <w:r>
        <w:t>2]</w:t>
      </w:r>
      <w:r w:rsidR="00183FFF">
        <w:t xml:space="preserve"> (CMR</w:t>
      </w:r>
      <w:r w:rsidR="00183FFF">
        <w:noBreakHyphen/>
        <w:t>15)</w:t>
      </w:r>
    </w:p>
    <w:p w:rsidR="009E55B6" w:rsidRPr="00764A23" w:rsidRDefault="009E55B6" w:rsidP="00E248AC">
      <w:pPr>
        <w:pStyle w:val="Restitle"/>
        <w:rPr>
          <w:lang w:val="fr-CH"/>
        </w:rPr>
      </w:pPr>
      <w:bookmarkStart w:id="6" w:name="_Toc319401904"/>
      <w:bookmarkStart w:id="7" w:name="_Toc327364565"/>
      <w:r w:rsidRPr="00764A23">
        <w:rPr>
          <w:lang w:val="fr-CH"/>
        </w:rPr>
        <w:t xml:space="preserve">Dispositions relatives à l'utilisation de la bande 694-790 MHz </w:t>
      </w:r>
      <w:r w:rsidR="00E248AC">
        <w:rPr>
          <w:lang w:val="fr-CH"/>
        </w:rPr>
        <w:br/>
      </w:r>
      <w:r w:rsidRPr="00764A23">
        <w:rPr>
          <w:lang w:val="fr-CH"/>
        </w:rPr>
        <w:t>dans la Région 1</w:t>
      </w:r>
      <w:r w:rsidR="00E248AC">
        <w:rPr>
          <w:lang w:val="fr-CH"/>
        </w:rPr>
        <w:t xml:space="preserve"> </w:t>
      </w:r>
      <w:r w:rsidRPr="00764A23">
        <w:rPr>
          <w:lang w:val="fr-CH"/>
        </w:rPr>
        <w:t xml:space="preserve">par le service mobile, sauf mobile aéronautique, </w:t>
      </w:r>
      <w:r w:rsidRPr="00764A23">
        <w:rPr>
          <w:lang w:val="fr-CH"/>
        </w:rPr>
        <w:br/>
        <w:t>et par d'autres services</w:t>
      </w:r>
    </w:p>
    <w:bookmarkEnd w:id="6"/>
    <w:bookmarkEnd w:id="7"/>
    <w:p w:rsidR="009B6DC9" w:rsidRDefault="009E55B6" w:rsidP="001F3A20">
      <w:pPr>
        <w:pStyle w:val="Normalaftertitle0"/>
      </w:pPr>
      <w:r w:rsidRPr="00764A23">
        <w:t>La Conférence mondiale des radiocommunications (Genève, 2015),</w:t>
      </w:r>
    </w:p>
    <w:p w:rsidR="009E55B6" w:rsidRPr="009E55B6" w:rsidRDefault="009E55B6" w:rsidP="001F3A20">
      <w:r>
        <w:t>...</w:t>
      </w:r>
    </w:p>
    <w:p w:rsidR="009E55B6" w:rsidRPr="00764A23" w:rsidRDefault="009E55B6" w:rsidP="001F3A20">
      <w:pPr>
        <w:pStyle w:val="Call"/>
      </w:pPr>
      <w:r>
        <w:t>not</w:t>
      </w:r>
      <w:r w:rsidRPr="00764A23">
        <w:t>ant</w:t>
      </w:r>
    </w:p>
    <w:p w:rsidR="009E55B6" w:rsidRPr="009E55B6" w:rsidRDefault="009E55B6" w:rsidP="001F3A20">
      <w:pPr>
        <w:pStyle w:val="Normalaftertitle0"/>
        <w:spacing w:before="120"/>
      </w:pPr>
      <w:r>
        <w:t>...</w:t>
      </w:r>
    </w:p>
    <w:p w:rsidR="009E55B6" w:rsidRDefault="009E55B6" w:rsidP="001F3A20">
      <w:pPr>
        <w:pStyle w:val="Normalaftertitle0"/>
        <w:spacing w:before="120"/>
      </w:pPr>
      <w:r>
        <w:rPr>
          <w:i/>
          <w:iCs/>
        </w:rPr>
        <w:t>f</w:t>
      </w:r>
      <w:r w:rsidRPr="00764A23">
        <w:rPr>
          <w:i/>
          <w:iCs/>
        </w:rPr>
        <w:t>)</w:t>
      </w:r>
      <w:r w:rsidRPr="00764A23">
        <w:tab/>
        <w:t xml:space="preserve">que </w:t>
      </w:r>
      <w:r w:rsidR="009E2AE6">
        <w:t xml:space="preserve">des accords de coordination bilatéraux ont déjà été conclus et seront utilisés par les administrations comme </w:t>
      </w:r>
      <w:r w:rsidR="00C010BF">
        <w:t xml:space="preserve">des </w:t>
      </w:r>
      <w:r w:rsidR="009E2AE6">
        <w:t>accord</w:t>
      </w:r>
      <w:r w:rsidR="00C010BF">
        <w:t>s</w:t>
      </w:r>
      <w:r w:rsidR="009E2AE6">
        <w:t xml:space="preserve"> obtenu</w:t>
      </w:r>
      <w:r w:rsidR="00C010BF">
        <w:t>s</w:t>
      </w:r>
      <w:r w:rsidR="009E2AE6">
        <w:t xml:space="preserve"> au titre du numéro </w:t>
      </w:r>
      <w:r w:rsidR="009E2AE6" w:rsidRPr="009E2AE6">
        <w:rPr>
          <w:b/>
          <w:bCs/>
        </w:rPr>
        <w:t>9.21</w:t>
      </w:r>
      <w:r w:rsidR="009E2AE6">
        <w:t xml:space="preserve"> vis-à-vis du SRNA,</w:t>
      </w:r>
    </w:p>
    <w:p w:rsidR="009E2AE6" w:rsidRDefault="009E2AE6" w:rsidP="001F3A20">
      <w:r>
        <w:t>...</w:t>
      </w:r>
    </w:p>
    <w:p w:rsidR="009E2AE6" w:rsidRDefault="009E2AE6" w:rsidP="001F3A20">
      <w:pPr>
        <w:pStyle w:val="Call"/>
      </w:pPr>
      <w:r>
        <w:t>décide</w:t>
      </w:r>
    </w:p>
    <w:p w:rsidR="009E2AE6" w:rsidRDefault="009E2AE6" w:rsidP="001F3A20">
      <w:r>
        <w:t>...</w:t>
      </w:r>
    </w:p>
    <w:p w:rsidR="009E2AE6" w:rsidRDefault="009E2AE6" w:rsidP="001F3A20">
      <w:r>
        <w:t>2</w:t>
      </w:r>
      <w:r>
        <w:tab/>
      </w:r>
      <w:r w:rsidRPr="009E2AE6">
        <w:t xml:space="preserve">que l'utilisation de </w:t>
      </w:r>
      <w:r>
        <w:t xml:space="preserve">la bande de fréquences 694-790 MHz par le service mobile </w:t>
      </w:r>
      <w:r w:rsidRPr="009E2AE6">
        <w:t xml:space="preserve">est assujettie à l'accord obtenu au titre du numéro </w:t>
      </w:r>
      <w:r w:rsidRPr="009E2AE6">
        <w:rPr>
          <w:b/>
          <w:bCs/>
        </w:rPr>
        <w:t>9.21</w:t>
      </w:r>
      <w:r w:rsidRPr="009E2AE6">
        <w:t xml:space="preserve"> vis-à-vis du service de radionavigation aéronautique dans </w:t>
      </w:r>
      <w:r>
        <w:t xml:space="preserve">la bande de fréquences 694-790 MHz dans </w:t>
      </w:r>
      <w:r w:rsidRPr="009E2AE6">
        <w:t xml:space="preserve">les pays énumérés au numéro </w:t>
      </w:r>
      <w:r w:rsidRPr="009E2AE6">
        <w:rPr>
          <w:b/>
          <w:bCs/>
        </w:rPr>
        <w:t>5.312</w:t>
      </w:r>
      <w:r>
        <w:t>,</w:t>
      </w:r>
      <w:r w:rsidRPr="009E2AE6">
        <w:t xml:space="preserve"> </w:t>
      </w:r>
      <w:r>
        <w:t>et que l</w:t>
      </w:r>
      <w:r w:rsidRPr="009E2AE6">
        <w:t>es critères à utiliser pour identifier les administrations affectées sont donnés dans l'Ann</w:t>
      </w:r>
      <w:r>
        <w:t>exe 1 de la présente Résolution;</w:t>
      </w:r>
    </w:p>
    <w:p w:rsidR="009E2AE6" w:rsidRPr="009E2AE6" w:rsidRDefault="00E248AC" w:rsidP="00E248AC">
      <w:pPr>
        <w:pStyle w:val="Note"/>
      </w:pPr>
      <w:r w:rsidRPr="00E248AC">
        <w:rPr>
          <w:highlight w:val="yellow"/>
          <w:lang w:val="fr-CH"/>
        </w:rPr>
        <w:t xml:space="preserve">Note rédactionnelle 1 – </w:t>
      </w:r>
      <w:r w:rsidR="009E2AE6" w:rsidRPr="00E248AC">
        <w:rPr>
          <w:highlight w:val="yellow"/>
          <w:lang w:val="fr-CH"/>
        </w:rPr>
        <w:t xml:space="preserve">D'autres points du </w:t>
      </w:r>
      <w:r w:rsidR="009E2AE6" w:rsidRPr="00E248AC">
        <w:rPr>
          <w:i/>
          <w:iCs/>
          <w:highlight w:val="yellow"/>
          <w:lang w:val="fr-CH"/>
        </w:rPr>
        <w:t>notant</w:t>
      </w:r>
      <w:r w:rsidR="009E2AE6" w:rsidRPr="00E248AC">
        <w:rPr>
          <w:highlight w:val="yellow"/>
          <w:lang w:val="fr-CH"/>
        </w:rPr>
        <w:t xml:space="preserve"> et du </w:t>
      </w:r>
      <w:r w:rsidR="009E2AE6" w:rsidRPr="00E248AC">
        <w:rPr>
          <w:i/>
          <w:iCs/>
          <w:highlight w:val="yellow"/>
          <w:lang w:val="fr-CH"/>
        </w:rPr>
        <w:t>décide</w:t>
      </w:r>
      <w:r w:rsidR="009E2AE6" w:rsidRPr="00E248AC">
        <w:rPr>
          <w:highlight w:val="yellow"/>
          <w:lang w:val="fr-CH"/>
        </w:rPr>
        <w:t xml:space="preserve"> c</w:t>
      </w:r>
      <w:r w:rsidR="00A63634" w:rsidRPr="00E248AC">
        <w:rPr>
          <w:highlight w:val="yellow"/>
          <w:lang w:val="fr-CH"/>
        </w:rPr>
        <w:t>oncernant les Questions A et D s</w:t>
      </w:r>
      <w:r w:rsidR="009E2AE6" w:rsidRPr="00E248AC">
        <w:rPr>
          <w:highlight w:val="yellow"/>
          <w:lang w:val="fr-CH"/>
        </w:rPr>
        <w:t xml:space="preserve">ont </w:t>
      </w:r>
      <w:r w:rsidR="00A63634" w:rsidRPr="00E248AC">
        <w:rPr>
          <w:highlight w:val="yellow"/>
          <w:lang w:val="fr-CH"/>
        </w:rPr>
        <w:t>présentés dans</w:t>
      </w:r>
      <w:r w:rsidR="009E2AE6" w:rsidRPr="00E248AC">
        <w:rPr>
          <w:highlight w:val="yellow"/>
          <w:lang w:val="fr-CH"/>
        </w:rPr>
        <w:t xml:space="preserve"> l'Addendum 1 à l'Addendum 2 au Document 9.</w:t>
      </w:r>
    </w:p>
    <w:p w:rsidR="002C7676" w:rsidRDefault="002C7676" w:rsidP="00E3402D">
      <w:pPr>
        <w:pStyle w:val="AnnexNo"/>
      </w:pPr>
      <w:r w:rsidRPr="002C7676">
        <w:lastRenderedPageBreak/>
        <w:t xml:space="preserve">ANNEXE 1 </w:t>
      </w:r>
      <w:r>
        <w:t>DE LA</w:t>
      </w:r>
      <w:bookmarkStart w:id="8" w:name="_GoBack"/>
      <w:bookmarkEnd w:id="8"/>
      <w:r w:rsidRPr="002C7676">
        <w:t xml:space="preserve"> RÉSOLUTION [EUR-A12] (CMR-15)</w:t>
      </w:r>
    </w:p>
    <w:p w:rsidR="002C7676" w:rsidRDefault="002C7676" w:rsidP="001F3A20">
      <w:pPr>
        <w:pStyle w:val="Annextitle"/>
      </w:pPr>
      <w:r w:rsidRPr="002C7676">
        <w:t>Critères à utiliser pour identifier les administrations susceptibles d'être affectées, dans la bande de fréquences 694-790 MHz, pour ce qui est du service de radionavigation aéronautique dans les pays énumérés au numéro 5.312</w:t>
      </w:r>
    </w:p>
    <w:p w:rsidR="002C7676" w:rsidRDefault="002C7676" w:rsidP="001F3A20">
      <w:pPr>
        <w:pStyle w:val="Normalaftertitle"/>
      </w:pPr>
      <w:r w:rsidRPr="002C7676">
        <w:t xml:space="preserve">Pour identifier les administrations susceptibles d'être affectées, lors de l'application de la procédure de recherche d'un accord conformément au numéro </w:t>
      </w:r>
      <w:r w:rsidRPr="002C7676">
        <w:rPr>
          <w:b/>
          <w:bCs/>
        </w:rPr>
        <w:t>9.21</w:t>
      </w:r>
      <w:r w:rsidRPr="002C7676">
        <w:t xml:space="preserve"> par le service mobile (SM) vis-à-vis du service de radionavigation aéronautique (SRNA) exploité dans les pays énumérés au numéro </w:t>
      </w:r>
      <w:r w:rsidRPr="002C7676">
        <w:rPr>
          <w:b/>
          <w:bCs/>
        </w:rPr>
        <w:t>5.312</w:t>
      </w:r>
      <w:r w:rsidRPr="002C7676">
        <w:t xml:space="preserve">, il convient d'utiliser les distances de coordination (entre une station de base du SM et une station du SRNA susceptible d'être affectée) indiquées ci-après. </w:t>
      </w:r>
    </w:p>
    <w:p w:rsidR="002C7676" w:rsidRDefault="002C7676" w:rsidP="00E3402D">
      <w:r w:rsidRPr="002C7676">
        <w:t xml:space="preserve">Au stade de la notification, les administrations peuvent indiquer, dans la fiche de notification qu'elles envoient au BR, la liste des administrations avec lesquelles un accord bilatéral a déjà été obtenu. Le BR doit en tenir compte lorsqu'il détermine les administrations avec lesquelles une coordination est requise au titre du numéro </w:t>
      </w:r>
      <w:r w:rsidRPr="002C7676">
        <w:rPr>
          <w:b/>
          <w:bCs/>
        </w:rPr>
        <w:t>9.21</w:t>
      </w:r>
      <w:r w:rsidRPr="002C7676">
        <w:t>.</w:t>
      </w:r>
    </w:p>
    <w:p w:rsidR="002C7676" w:rsidRPr="002C7676" w:rsidRDefault="002C7676" w:rsidP="008C2F1E">
      <w:pPr>
        <w:pStyle w:val="Heading1"/>
      </w:pPr>
      <w:r>
        <w:t>1</w:t>
      </w:r>
      <w:r>
        <w:tab/>
      </w:r>
      <w:r w:rsidRPr="002C7676">
        <w:t xml:space="preserve">Cas où le service mobile est exploité </w:t>
      </w:r>
      <w:r w:rsidR="00A63634">
        <w:t>conformément aux plans d'attribution des fréquences</w:t>
      </w:r>
      <w:r w:rsidR="00EE0A03">
        <w:t xml:space="preserve"> et</w:t>
      </w:r>
      <w:r w:rsidR="00A63634">
        <w:t xml:space="preserve"> </w:t>
      </w:r>
      <w:r w:rsidR="00EE0A03">
        <w:t>où</w:t>
      </w:r>
      <w:r w:rsidR="00A63634">
        <w:t xml:space="preserve"> </w:t>
      </w:r>
      <w:r w:rsidRPr="002C7676">
        <w:t xml:space="preserve">les stations de base émettent uniquement dans la bande de fréquences 758-788 MHz et reçoivent </w:t>
      </w:r>
      <w:r w:rsidR="00A63634">
        <w:t xml:space="preserve">des signaux </w:t>
      </w:r>
      <w:r w:rsidRPr="002C7676">
        <w:t>uniquement dans la bande</w:t>
      </w:r>
      <w:r w:rsidR="003D0953">
        <w:t xml:space="preserve"> de fréquences 703-733 </w:t>
      </w:r>
      <w:r w:rsidRPr="002C7676">
        <w:t>MHz</w:t>
      </w:r>
    </w:p>
    <w:p w:rsidR="002C7676" w:rsidRDefault="001F3A20" w:rsidP="001F3A20">
      <w:pPr>
        <w:pStyle w:val="TableNo"/>
        <w:keepLines/>
        <w:spacing w:before="240"/>
      </w:pPr>
      <w:r>
        <w:t>tableau</w:t>
      </w:r>
      <w:r w:rsidR="008C2F1E">
        <w:t xml:space="preserve"> </w:t>
      </w:r>
      <w:r w:rsidR="00BF1E28">
        <w:t>X</w:t>
      </w:r>
    </w:p>
    <w:tbl>
      <w:tblPr>
        <w:tblW w:w="97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1660"/>
        <w:gridCol w:w="2234"/>
        <w:gridCol w:w="2305"/>
      </w:tblGrid>
      <w:tr w:rsidR="002C7676" w:rsidRPr="001E4B26" w:rsidTr="00EE0A03"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head"/>
            </w:pPr>
            <w:r w:rsidRPr="00545CAD">
              <w:rPr>
                <w:lang w:eastAsia="zh-CN"/>
              </w:rPr>
              <w:t>Station du SRNA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A121B9" w:rsidRDefault="002C7676" w:rsidP="001F3A20">
            <w:pPr>
              <w:pStyle w:val="Tablehead"/>
            </w:pPr>
            <w:r w:rsidRPr="00A121B9">
              <w:rPr>
                <w:lang w:eastAsia="zh-CN"/>
                <w:rPrChange w:id="9" w:author="Joly,Alice" w:date="2015-10-21T19:40:00Z">
                  <w:rPr>
                    <w:sz w:val="18"/>
                    <w:szCs w:val="18"/>
                    <w:lang w:eastAsia="zh-CN"/>
                  </w:rPr>
                </w:rPrChange>
              </w:rPr>
              <w:t>Code du type de système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1E4B26" w:rsidRDefault="002C7676" w:rsidP="001F3A20">
            <w:pPr>
              <w:pStyle w:val="Tablehead"/>
              <w:rPr>
                <w:lang w:val="fr-CH"/>
                <w:rPrChange w:id="10" w:author="Joly,Alice" w:date="2015-10-21T19:01:00Z">
                  <w:rPr/>
                </w:rPrChange>
              </w:rPr>
            </w:pPr>
            <w:r w:rsidRPr="001E4B26">
              <w:rPr>
                <w:lang w:eastAsia="zh-CN"/>
                <w:rPrChange w:id="11" w:author="Joly,Alice" w:date="2015-10-21T19:01:00Z">
                  <w:rPr>
                    <w:sz w:val="18"/>
                    <w:szCs w:val="18"/>
                    <w:lang w:eastAsia="zh-CN"/>
                  </w:rPr>
                </w:rPrChange>
              </w:rPr>
              <w:t xml:space="preserve">Distances de coordination pour les stations de base de réception du SM </w:t>
            </w:r>
            <w:r w:rsidRPr="001E4B26">
              <w:rPr>
                <w:lang w:val="fr-CH"/>
                <w:rPrChange w:id="12" w:author="Joly,Alice" w:date="2015-10-21T19:01:00Z">
                  <w:rPr>
                    <w:sz w:val="18"/>
                    <w:szCs w:val="18"/>
                    <w:lang w:val="fr-CH"/>
                  </w:rPr>
                </w:rPrChange>
              </w:rPr>
              <w:t>(km)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1E4B26" w:rsidRDefault="002C7676" w:rsidP="001F3A20">
            <w:pPr>
              <w:pStyle w:val="Tablehead"/>
              <w:rPr>
                <w:lang w:val="fr-CH"/>
                <w:rPrChange w:id="13" w:author="Joly,Alice" w:date="2015-10-21T19:01:00Z">
                  <w:rPr/>
                </w:rPrChange>
              </w:rPr>
            </w:pPr>
            <w:r w:rsidRPr="001E4B26">
              <w:rPr>
                <w:lang w:eastAsia="zh-CN"/>
                <w:rPrChange w:id="14" w:author="Joly,Alice" w:date="2015-10-21T19:01:00Z">
                  <w:rPr>
                    <w:sz w:val="18"/>
                    <w:szCs w:val="18"/>
                    <w:lang w:eastAsia="zh-CN"/>
                  </w:rPr>
                </w:rPrChange>
              </w:rPr>
              <w:t xml:space="preserve">Distances de coordination pour les stations de base d'émission du SM </w:t>
            </w:r>
            <w:r w:rsidRPr="001E4B26">
              <w:rPr>
                <w:lang w:val="fr-CH"/>
                <w:rPrChange w:id="15" w:author="Joly,Alice" w:date="2015-10-21T19:01:00Z">
                  <w:rPr>
                    <w:sz w:val="18"/>
                    <w:szCs w:val="18"/>
                    <w:lang w:val="fr-CH"/>
                  </w:rPr>
                </w:rPrChange>
              </w:rPr>
              <w:t>(km)</w:t>
            </w:r>
          </w:p>
        </w:tc>
      </w:tr>
      <w:tr w:rsidR="002C7676" w:rsidRPr="00C22B82" w:rsidTr="00EE0A03"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 xml:space="preserve">RSBN </w:t>
            </w:r>
            <w:r>
              <w:rPr>
                <w:lang w:eastAsia="ru-RU"/>
              </w:rPr>
              <w:t>(récepteur au sol</w:t>
            </w:r>
            <w:r w:rsidRPr="00C22B82">
              <w:rPr>
                <w:lang w:eastAsia="ru-RU"/>
              </w:rPr>
              <w:t>)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AA8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EE141B" w:rsidP="001F3A20">
            <w:pPr>
              <w:pStyle w:val="Tabletext"/>
              <w:keepNext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–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7</w:t>
            </w:r>
            <w:r>
              <w:rPr>
                <w:lang w:eastAsia="ru-RU"/>
              </w:rPr>
              <w:t>0/125/175</w:t>
            </w:r>
            <w:r w:rsidRPr="00EE141B">
              <w:rPr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2C7676" w:rsidRPr="00C22B82" w:rsidTr="00EE0A03">
        <w:trPr>
          <w:trHeight w:val="359"/>
        </w:trPr>
        <w:tc>
          <w:tcPr>
            <w:tcW w:w="9799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rPr>
                <w:lang w:eastAsia="ru-RU"/>
              </w:rPr>
            </w:pPr>
            <w:r w:rsidRPr="00EE141B">
              <w:rPr>
                <w:sz w:val="24"/>
                <w:szCs w:val="24"/>
                <w:vertAlign w:val="superscript"/>
                <w:lang w:val="fr-CH" w:eastAsia="ru-RU"/>
                <w:rPrChange w:id="16" w:author="Joly,Alice" w:date="2015-10-21T18:59:00Z">
                  <w:rPr>
                    <w:lang w:eastAsia="ru-RU"/>
                  </w:rPr>
                </w:rPrChange>
              </w:rPr>
              <w:t>*</w:t>
            </w:r>
            <w:r w:rsidRPr="00182122">
              <w:rPr>
                <w:vertAlign w:val="superscript"/>
                <w:lang w:val="fr-CH" w:eastAsia="ru-RU"/>
              </w:rPr>
              <w:tab/>
            </w:r>
            <w:r w:rsidRPr="00182122">
              <w:rPr>
                <w:lang w:val="fr-CH" w:eastAsia="ru-RU"/>
                <w:rPrChange w:id="17" w:author="Joly,Alice" w:date="2015-10-21T18:59:00Z">
                  <w:rPr>
                    <w:lang w:eastAsia="ru-RU"/>
                  </w:rPr>
                </w:rPrChange>
              </w:rPr>
              <w:t>90% ≤</w:t>
            </w:r>
            <w:r>
              <w:rPr>
                <w:lang w:val="fr-CH" w:eastAsia="ru-RU"/>
              </w:rPr>
              <w:t xml:space="preserve"> </w:t>
            </w:r>
            <w:r w:rsidRPr="00182122">
              <w:rPr>
                <w:lang w:val="fr-CH" w:eastAsia="ru-RU"/>
              </w:rPr>
              <w:t xml:space="preserve">trajet terrestre </w:t>
            </w:r>
            <w:r w:rsidRPr="00182122">
              <w:rPr>
                <w:lang w:val="fr-CH" w:eastAsia="ru-RU"/>
                <w:rPrChange w:id="18" w:author="Joly,Alice" w:date="2015-10-21T18:59:00Z">
                  <w:rPr>
                    <w:lang w:eastAsia="ru-RU"/>
                  </w:rPr>
                </w:rPrChange>
              </w:rPr>
              <w:t>≤ 100% / 50% ≤</w:t>
            </w:r>
            <w:r w:rsidRPr="00182122">
              <w:rPr>
                <w:lang w:val="fr-CH" w:eastAsia="ru-RU"/>
              </w:rPr>
              <w:t xml:space="preserve"> trajet terrestre </w:t>
            </w:r>
            <w:r w:rsidRPr="00182122">
              <w:rPr>
                <w:lang w:val="fr-CH"/>
                <w:rPrChange w:id="19" w:author="Joly,Alice" w:date="2015-10-21T18:59:00Z">
                  <w:rPr/>
                </w:rPrChange>
              </w:rPr>
              <w:t>&lt; 90% / 0% ≤</w:t>
            </w:r>
            <w:r w:rsidRPr="00182122">
              <w:rPr>
                <w:lang w:val="fr-CH" w:eastAsia="ru-RU"/>
              </w:rPr>
              <w:t xml:space="preserve"> trajet terrestre </w:t>
            </w:r>
            <w:r w:rsidRPr="00182122">
              <w:rPr>
                <w:lang w:val="fr-CH" w:eastAsia="ru-RU"/>
                <w:rPrChange w:id="20" w:author="Joly,Alice" w:date="2015-10-21T18:59:00Z">
                  <w:rPr>
                    <w:lang w:eastAsia="ru-RU"/>
                  </w:rPr>
                </w:rPrChange>
              </w:rPr>
              <w:t>&lt; 50%.</w:t>
            </w:r>
          </w:p>
        </w:tc>
      </w:tr>
    </w:tbl>
    <w:p w:rsidR="00EE0A03" w:rsidRDefault="002C7676" w:rsidP="00EE141B">
      <w:pPr>
        <w:pStyle w:val="Heading1"/>
      </w:pPr>
      <w:r w:rsidRPr="002C7676">
        <w:lastRenderedPageBreak/>
        <w:t>2</w:t>
      </w:r>
      <w:r w:rsidRPr="002C7676">
        <w:tab/>
        <w:t>Autres cas</w:t>
      </w:r>
    </w:p>
    <w:tbl>
      <w:tblPr>
        <w:tblW w:w="9797" w:type="dxa"/>
        <w:tblBorders>
          <w:top w:val="single" w:sz="2" w:space="0" w:color="2A004E"/>
          <w:left w:val="single" w:sz="2" w:space="0" w:color="2A004E"/>
          <w:bottom w:val="single" w:sz="2" w:space="0" w:color="2A004E"/>
          <w:right w:val="single" w:sz="2" w:space="0" w:color="2A004E"/>
          <w:insideH w:val="single" w:sz="2" w:space="0" w:color="2A004E"/>
          <w:insideV w:val="single" w:sz="2" w:space="0" w:color="2A004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8"/>
        <w:gridCol w:w="1660"/>
        <w:gridCol w:w="2234"/>
        <w:gridCol w:w="2305"/>
      </w:tblGrid>
      <w:tr w:rsidR="002C7676" w:rsidRPr="003A0467" w:rsidTr="002C7676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1E4B26" w:rsidRDefault="002C7676" w:rsidP="001F3A20">
            <w:pPr>
              <w:pStyle w:val="Tablehead"/>
            </w:pPr>
            <w:r w:rsidRPr="001E4B26">
              <w:rPr>
                <w:lang w:eastAsia="zh-CN"/>
                <w:rPrChange w:id="21" w:author="Joly,Alice" w:date="2015-10-21T19:02:00Z">
                  <w:rPr>
                    <w:sz w:val="18"/>
                    <w:szCs w:val="18"/>
                    <w:lang w:eastAsia="zh-CN"/>
                  </w:rPr>
                </w:rPrChange>
              </w:rPr>
              <w:t>Station du SRNA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A121B9" w:rsidRDefault="002C7676" w:rsidP="001F3A20">
            <w:pPr>
              <w:pStyle w:val="Tablehead"/>
            </w:pPr>
            <w:r w:rsidRPr="00A121B9">
              <w:rPr>
                <w:lang w:eastAsia="zh-CN"/>
                <w:rPrChange w:id="22" w:author="Joly,Alice" w:date="2015-10-21T19:40:00Z">
                  <w:rPr>
                    <w:sz w:val="18"/>
                    <w:szCs w:val="18"/>
                    <w:lang w:eastAsia="zh-CN"/>
                  </w:rPr>
                </w:rPrChange>
              </w:rPr>
              <w:t>Code du type de système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1E4B26" w:rsidRDefault="002C7676" w:rsidP="001F3A20">
            <w:pPr>
              <w:pStyle w:val="Tablehead"/>
              <w:rPr>
                <w:lang w:val="fr-CH"/>
                <w:rPrChange w:id="23" w:author="Joly,Alice" w:date="2015-10-21T19:02:00Z">
                  <w:rPr/>
                </w:rPrChange>
              </w:rPr>
            </w:pPr>
            <w:r w:rsidRPr="00545CAD">
              <w:rPr>
                <w:lang w:eastAsia="zh-CN"/>
              </w:rPr>
              <w:t xml:space="preserve">Distances de coordination pour les stations de base de réception du SM </w:t>
            </w:r>
            <w:r w:rsidRPr="00545CAD">
              <w:rPr>
                <w:lang w:val="fr-CH"/>
              </w:rPr>
              <w:t>(km)</w:t>
            </w:r>
            <w:r w:rsidR="00BF1E28">
              <w:rPr>
                <w:vertAlign w:val="superscript"/>
                <w:lang w:val="fr-CH"/>
              </w:rPr>
              <w:t>**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3A0467" w:rsidRDefault="002C7676" w:rsidP="001F3A20">
            <w:pPr>
              <w:pStyle w:val="Tablehead"/>
              <w:rPr>
                <w:lang w:val="fr-CH"/>
                <w:rPrChange w:id="24" w:author="Joly,Alice" w:date="2015-10-21T19:01:00Z">
                  <w:rPr/>
                </w:rPrChange>
              </w:rPr>
            </w:pPr>
            <w:r w:rsidRPr="001E4B26">
              <w:rPr>
                <w:lang w:eastAsia="zh-CN"/>
                <w:rPrChange w:id="25" w:author="Joly,Alice" w:date="2015-10-21T19:01:00Z">
                  <w:rPr>
                    <w:sz w:val="18"/>
                    <w:szCs w:val="18"/>
                    <w:lang w:eastAsia="zh-CN"/>
                  </w:rPr>
                </w:rPrChange>
              </w:rPr>
              <w:t xml:space="preserve">Distances de coordination pour les stations de base d'émission du SM </w:t>
            </w:r>
            <w:r w:rsidRPr="001E4B26">
              <w:rPr>
                <w:lang w:val="fr-CH"/>
                <w:rPrChange w:id="26" w:author="Joly,Alice" w:date="2015-10-21T19:01:00Z">
                  <w:rPr>
                    <w:sz w:val="18"/>
                    <w:szCs w:val="18"/>
                    <w:lang w:val="fr-CH"/>
                  </w:rPr>
                </w:rPrChange>
              </w:rPr>
              <w:t>(km)</w:t>
            </w:r>
          </w:p>
        </w:tc>
      </w:tr>
      <w:tr w:rsidR="002C7676" w:rsidRPr="00C22B82" w:rsidTr="002C7676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>RSBN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AA8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50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125/175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27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</w:tr>
      <w:tr w:rsidR="002C7676" w:rsidRPr="00C22B82" w:rsidTr="002C7676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>RLS 2 (type 1) (</w:t>
            </w:r>
            <w:r>
              <w:rPr>
                <w:lang w:eastAsia="ru-RU"/>
              </w:rPr>
              <w:t>récepteur d</w:t>
            </w:r>
            <w:r>
              <w:t>'</w:t>
            </w:r>
            <w:r>
              <w:rPr>
                <w:lang w:eastAsia="ru-RU"/>
              </w:rPr>
              <w:t>aéronef</w:t>
            </w:r>
            <w:r w:rsidRPr="00C22B82">
              <w:rPr>
                <w:lang w:eastAsia="ru-RU"/>
              </w:rPr>
              <w:t>)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D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410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432</w:t>
            </w:r>
          </w:p>
        </w:tc>
      </w:tr>
      <w:tr w:rsidR="002C7676" w:rsidRPr="00C22B82" w:rsidTr="002C7676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 xml:space="preserve">RLS 2 (type 1) </w:t>
            </w:r>
            <w:r>
              <w:rPr>
                <w:lang w:eastAsia="ru-RU"/>
              </w:rPr>
              <w:t>récepteur au sol</w:t>
            </w:r>
            <w:r w:rsidRPr="00C22B82">
              <w:rPr>
                <w:lang w:eastAsia="ru-RU"/>
              </w:rPr>
              <w:t>)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BA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50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250/275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28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</w:tr>
      <w:tr w:rsidR="002C7676" w:rsidRPr="00C22B82" w:rsidTr="002C7676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>RLS 2 (type 2) (</w:t>
            </w:r>
            <w:r>
              <w:rPr>
                <w:lang w:eastAsia="ru-RU"/>
              </w:rPr>
              <w:t>récepteur d</w:t>
            </w:r>
            <w:r>
              <w:t>'</w:t>
            </w:r>
            <w:r>
              <w:rPr>
                <w:lang w:eastAsia="ru-RU"/>
              </w:rPr>
              <w:t>aéronef</w:t>
            </w:r>
            <w:r w:rsidRPr="00C22B82">
              <w:rPr>
                <w:lang w:eastAsia="ru-RU"/>
              </w:rPr>
              <w:t>)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BC</w:t>
            </w:r>
          </w:p>
        </w:tc>
        <w:tc>
          <w:tcPr>
            <w:tcW w:w="22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150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432</w:t>
            </w:r>
          </w:p>
        </w:tc>
      </w:tr>
      <w:tr w:rsidR="002C7676" w:rsidRPr="00C22B82" w:rsidTr="002C7676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 w:rsidRPr="00C22B82">
              <w:rPr>
                <w:lang w:eastAsia="ru-RU"/>
              </w:rPr>
              <w:t>RLS 2 (type 2) (</w:t>
            </w:r>
            <w:r>
              <w:rPr>
                <w:lang w:eastAsia="ru-RU"/>
              </w:rPr>
              <w:t>récepteur au sol</w:t>
            </w:r>
            <w:r w:rsidRPr="00C22B82">
              <w:rPr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2" w:space="0" w:color="2A004E"/>
              <w:left w:val="single" w:sz="4" w:space="0" w:color="auto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lang w:eastAsia="ru-RU"/>
              </w:rPr>
              <w:t>AA2</w:t>
            </w:r>
          </w:p>
        </w:tc>
        <w:tc>
          <w:tcPr>
            <w:tcW w:w="223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50/75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29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  <w:tc>
          <w:tcPr>
            <w:tcW w:w="2305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300/325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30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</w:tr>
      <w:tr w:rsidR="002C7676" w:rsidRPr="00C22B82" w:rsidTr="002C7676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1A4835" w:rsidRDefault="002C7676" w:rsidP="001F3A20">
            <w:pPr>
              <w:pStyle w:val="Tabletext"/>
              <w:keepNext/>
              <w:rPr>
                <w:lang w:val="fr-CH" w:eastAsia="ru-RU"/>
                <w:rPrChange w:id="31" w:author="Joly,Alice" w:date="2015-10-21T19:01:00Z">
                  <w:rPr>
                    <w:lang w:eastAsia="ru-RU"/>
                  </w:rPr>
                </w:rPrChange>
              </w:rPr>
            </w:pPr>
            <w:r w:rsidRPr="001A4835">
              <w:rPr>
                <w:lang w:val="fr-CH" w:eastAsia="ru-RU"/>
                <w:rPrChange w:id="32" w:author="Joly,Alice" w:date="2015-10-21T19:01:00Z">
                  <w:rPr>
                    <w:lang w:eastAsia="ru-RU"/>
                  </w:rPr>
                </w:rPrChange>
              </w:rPr>
              <w:t xml:space="preserve">RLS 1 (types 1 </w:t>
            </w:r>
            <w:r>
              <w:rPr>
                <w:lang w:val="fr-CH" w:eastAsia="ru-RU"/>
              </w:rPr>
              <w:t>et</w:t>
            </w:r>
            <w:r w:rsidRPr="001A4835">
              <w:rPr>
                <w:lang w:val="fr-CH" w:eastAsia="ru-RU"/>
                <w:rPrChange w:id="33" w:author="Joly,Alice" w:date="2015-10-21T19:01:00Z">
                  <w:rPr>
                    <w:lang w:eastAsia="ru-RU"/>
                  </w:rPr>
                </w:rPrChange>
              </w:rPr>
              <w:t xml:space="preserve"> 2) (</w:t>
            </w:r>
            <w:r w:rsidRPr="001A4835">
              <w:rPr>
                <w:lang w:val="fr-CH" w:eastAsia="ru-RU"/>
              </w:rPr>
              <w:t>récepteur au sol</w:t>
            </w:r>
            <w:r w:rsidRPr="001A4835">
              <w:rPr>
                <w:lang w:val="fr-CH" w:eastAsia="ru-RU"/>
                <w:rPrChange w:id="34" w:author="Joly,Alice" w:date="2015-10-21T19:01:00Z">
                  <w:rPr>
                    <w:lang w:eastAsia="ru-RU"/>
                  </w:rPr>
                </w:rPrChange>
              </w:rPr>
              <w:t>)</w:t>
            </w:r>
          </w:p>
        </w:tc>
        <w:tc>
          <w:tcPr>
            <w:tcW w:w="1660" w:type="dxa"/>
            <w:tcBorders>
              <w:top w:val="single" w:sz="2" w:space="0" w:color="2A004E"/>
              <w:left w:val="single" w:sz="4" w:space="0" w:color="auto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C22B82">
              <w:rPr>
                <w:kern w:val="24"/>
                <w:lang w:eastAsia="ru-RU"/>
              </w:rPr>
              <w:t>AB</w:t>
            </w:r>
          </w:p>
        </w:tc>
        <w:tc>
          <w:tcPr>
            <w:tcW w:w="223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125/175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35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  <w:tc>
          <w:tcPr>
            <w:tcW w:w="2305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400/450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36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</w:tr>
      <w:tr w:rsidR="002C7676" w:rsidRPr="00C22B82" w:rsidTr="002C7676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>
              <w:rPr>
                <w:lang w:eastAsia="ru-RU"/>
              </w:rPr>
              <w:t>Autres stations au sol du SRNA</w:t>
            </w:r>
          </w:p>
        </w:tc>
        <w:tc>
          <w:tcPr>
            <w:tcW w:w="1660" w:type="dxa"/>
            <w:tcBorders>
              <w:top w:val="single" w:sz="2" w:space="0" w:color="2A004E"/>
              <w:left w:val="single" w:sz="4" w:space="0" w:color="auto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Sans objet</w:t>
            </w:r>
          </w:p>
        </w:tc>
        <w:tc>
          <w:tcPr>
            <w:tcW w:w="2234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125/175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37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  <w:tc>
          <w:tcPr>
            <w:tcW w:w="2305" w:type="dxa"/>
            <w:tcBorders>
              <w:top w:val="single" w:sz="2" w:space="0" w:color="2A004E"/>
              <w:left w:val="single" w:sz="2" w:space="0" w:color="2A004E"/>
              <w:bottom w:val="single" w:sz="2" w:space="0" w:color="2A004E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400/450</w:t>
            </w:r>
            <w:r w:rsidRPr="00EE141B">
              <w:rPr>
                <w:sz w:val="24"/>
                <w:szCs w:val="24"/>
                <w:vertAlign w:val="superscript"/>
                <w:lang w:eastAsia="ru-RU"/>
                <w:rPrChange w:id="38" w:author="Turnbull, Karen" w:date="2015-10-13T16:42:00Z">
                  <w:rPr>
                    <w:rStyle w:val="FootnoteReference"/>
                  </w:rPr>
                </w:rPrChange>
              </w:rPr>
              <w:t>*</w:t>
            </w:r>
          </w:p>
        </w:tc>
      </w:tr>
      <w:tr w:rsidR="002C7676" w:rsidRPr="00C22B82" w:rsidTr="002C7676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Pr="00C22B82" w:rsidRDefault="002C7676" w:rsidP="001F3A20">
            <w:pPr>
              <w:pStyle w:val="Tabletext"/>
              <w:keepNext/>
              <w:rPr>
                <w:lang w:eastAsia="ru-RU"/>
              </w:rPr>
            </w:pPr>
            <w:r>
              <w:rPr>
                <w:lang w:eastAsia="ru-RU"/>
              </w:rPr>
              <w:t>Autres stations d</w:t>
            </w:r>
            <w:r>
              <w:t>'</w:t>
            </w:r>
            <w:r>
              <w:rPr>
                <w:lang w:eastAsia="ru-RU"/>
              </w:rPr>
              <w:t>aéronef du SRNA</w:t>
            </w:r>
          </w:p>
        </w:tc>
        <w:tc>
          <w:tcPr>
            <w:tcW w:w="1660" w:type="dxa"/>
            <w:tcBorders>
              <w:top w:val="single" w:sz="2" w:space="0" w:color="2A004E"/>
              <w:left w:val="single" w:sz="4" w:space="0" w:color="auto"/>
              <w:bottom w:val="single" w:sz="4" w:space="0" w:color="auto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Sans objet</w:t>
            </w:r>
          </w:p>
        </w:tc>
        <w:tc>
          <w:tcPr>
            <w:tcW w:w="2234" w:type="dxa"/>
            <w:tcBorders>
              <w:top w:val="single" w:sz="2" w:space="0" w:color="2A004E"/>
              <w:left w:val="single" w:sz="2" w:space="0" w:color="2A004E"/>
              <w:bottom w:val="single" w:sz="4" w:space="0" w:color="auto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410</w:t>
            </w:r>
          </w:p>
        </w:tc>
        <w:tc>
          <w:tcPr>
            <w:tcW w:w="2305" w:type="dxa"/>
            <w:tcBorders>
              <w:top w:val="single" w:sz="2" w:space="0" w:color="2A004E"/>
              <w:left w:val="single" w:sz="2" w:space="0" w:color="2A004E"/>
              <w:bottom w:val="single" w:sz="4" w:space="0" w:color="auto"/>
              <w:right w:val="single" w:sz="2" w:space="0" w:color="2A004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76" w:rsidRPr="00C22B82" w:rsidRDefault="002C7676" w:rsidP="001F3A20">
            <w:pPr>
              <w:pStyle w:val="Tabletext"/>
              <w:keepNext/>
              <w:jc w:val="center"/>
              <w:rPr>
                <w:lang w:eastAsia="ru-RU"/>
              </w:rPr>
            </w:pPr>
            <w:r w:rsidRPr="00291E73">
              <w:rPr>
                <w:lang w:eastAsia="ru-RU"/>
              </w:rPr>
              <w:t>432</w:t>
            </w:r>
          </w:p>
        </w:tc>
      </w:tr>
      <w:tr w:rsidR="002C7676" w:rsidRPr="001A4835" w:rsidTr="002C7676">
        <w:tblPrEx>
          <w:tblBorders>
            <w:top w:val="single" w:sz="8" w:space="0" w:color="2A004E"/>
            <w:left w:val="single" w:sz="8" w:space="0" w:color="2A004E"/>
            <w:bottom w:val="single" w:sz="8" w:space="0" w:color="2A004E"/>
            <w:right w:val="single" w:sz="8" w:space="0" w:color="2A004E"/>
            <w:insideH w:val="single" w:sz="8" w:space="0" w:color="2A004E"/>
            <w:insideV w:val="single" w:sz="8" w:space="0" w:color="2A004E"/>
          </w:tblBorders>
        </w:tblPrEx>
        <w:trPr>
          <w:cantSplit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676" w:rsidRDefault="002C7676" w:rsidP="00EE141B">
            <w:pPr>
              <w:pStyle w:val="Tabletext"/>
              <w:rPr>
                <w:lang w:val="fr-CH" w:eastAsia="ru-RU"/>
              </w:rPr>
            </w:pPr>
            <w:r w:rsidRPr="00EE141B">
              <w:rPr>
                <w:sz w:val="24"/>
                <w:szCs w:val="24"/>
                <w:vertAlign w:val="superscript"/>
                <w:lang w:val="fr-CH" w:eastAsia="ru-RU"/>
                <w:rPrChange w:id="39" w:author="Joly,Alice" w:date="2015-10-21T19:01:00Z">
                  <w:rPr>
                    <w:lang w:eastAsia="ru-RU"/>
                  </w:rPr>
                </w:rPrChange>
              </w:rPr>
              <w:t>*</w:t>
            </w:r>
            <w:r>
              <w:rPr>
                <w:vertAlign w:val="superscript"/>
                <w:lang w:val="fr-CH" w:eastAsia="ru-RU"/>
              </w:rPr>
              <w:tab/>
            </w:r>
            <w:r w:rsidRPr="00CD3D80">
              <w:rPr>
                <w:lang w:val="fr-CH" w:eastAsia="ru-RU"/>
                <w:rPrChange w:id="40" w:author="Joly,Alice" w:date="2015-10-21T19:01:00Z">
                  <w:rPr>
                    <w:lang w:eastAsia="ru-RU"/>
                  </w:rPr>
                </w:rPrChange>
              </w:rPr>
              <w:t>50% ≤</w:t>
            </w:r>
            <w:r w:rsidRPr="00CD3D80">
              <w:rPr>
                <w:lang w:val="fr-CH" w:eastAsia="ru-RU"/>
              </w:rPr>
              <w:t xml:space="preserve"> trajet terrestre </w:t>
            </w:r>
            <w:r w:rsidRPr="00CD3D80">
              <w:rPr>
                <w:lang w:val="fr-CH" w:eastAsia="ru-RU"/>
                <w:rPrChange w:id="41" w:author="Joly,Alice" w:date="2015-10-21T19:01:00Z">
                  <w:rPr>
                    <w:lang w:eastAsia="ru-RU"/>
                  </w:rPr>
                </w:rPrChange>
              </w:rPr>
              <w:t>≤ 100% / 0% ≤</w:t>
            </w:r>
            <w:r w:rsidRPr="00CD3D80">
              <w:rPr>
                <w:lang w:val="fr-CH" w:eastAsia="ru-RU"/>
              </w:rPr>
              <w:t xml:space="preserve"> trajet terrestre </w:t>
            </w:r>
            <w:r w:rsidRPr="00CD3D80">
              <w:rPr>
                <w:lang w:val="fr-CH" w:eastAsia="ru-RU"/>
                <w:rPrChange w:id="42" w:author="Joly,Alice" w:date="2015-10-21T19:01:00Z">
                  <w:rPr>
                    <w:lang w:eastAsia="ru-RU"/>
                  </w:rPr>
                </w:rPrChange>
              </w:rPr>
              <w:t>&lt; 50%.</w:t>
            </w:r>
          </w:p>
          <w:p w:rsidR="002C7676" w:rsidRPr="001A4835" w:rsidRDefault="002C7676" w:rsidP="00EE141B">
            <w:pPr>
              <w:pStyle w:val="Tabletext"/>
              <w:rPr>
                <w:lang w:val="fr-CH" w:eastAsia="ru-RU"/>
                <w:rPrChange w:id="43" w:author="Touraud, Michele" w:date="2015-10-22T09:56:00Z">
                  <w:rPr>
                    <w:lang w:eastAsia="ru-RU"/>
                  </w:rPr>
                </w:rPrChange>
              </w:rPr>
            </w:pPr>
            <w:r w:rsidRPr="00EE141B">
              <w:rPr>
                <w:sz w:val="24"/>
                <w:szCs w:val="24"/>
                <w:vertAlign w:val="superscript"/>
                <w:lang w:val="fr-CH"/>
              </w:rPr>
              <w:t>**</w:t>
            </w:r>
            <w:r>
              <w:rPr>
                <w:vertAlign w:val="superscript"/>
                <w:lang w:val="fr-CH"/>
              </w:rPr>
              <w:tab/>
            </w:r>
            <w:r w:rsidRPr="002C7676">
              <w:rPr>
                <w:lang w:val="fr-CH"/>
              </w:rPr>
              <w:t>Les distances de coordination applicable</w:t>
            </w:r>
            <w:r>
              <w:rPr>
                <w:lang w:val="fr-CH"/>
              </w:rPr>
              <w:t>s</w:t>
            </w:r>
            <w:r w:rsidRPr="002C7676">
              <w:rPr>
                <w:lang w:val="fr-CH"/>
              </w:rPr>
              <w:t xml:space="preserve"> aux stations de base de réception du service mobile sont basées sur la protection des stations du SRNA vis-à-vis des stations mobiles et ne garantissent pas la protection des stations de base </w:t>
            </w:r>
            <w:r>
              <w:rPr>
                <w:lang w:val="fr-CH"/>
              </w:rPr>
              <w:t xml:space="preserve">de réception du </w:t>
            </w:r>
            <w:r w:rsidR="00EE0A03">
              <w:rPr>
                <w:lang w:val="fr-CH"/>
              </w:rPr>
              <w:t>SM</w:t>
            </w:r>
            <w:r>
              <w:rPr>
                <w:lang w:val="fr-CH"/>
              </w:rPr>
              <w:t xml:space="preserve"> vis-à-vis des stations du SRNA.</w:t>
            </w:r>
          </w:p>
        </w:tc>
      </w:tr>
    </w:tbl>
    <w:p w:rsidR="009E55B6" w:rsidRPr="002C7676" w:rsidRDefault="009E55B6" w:rsidP="00EE141B">
      <w:pPr>
        <w:pStyle w:val="Reasons"/>
        <w:rPr>
          <w:lang w:val="fr-CH"/>
        </w:rPr>
      </w:pPr>
      <w:r w:rsidRPr="002C7676">
        <w:rPr>
          <w:b/>
          <w:lang w:val="fr-CH"/>
        </w:rPr>
        <w:t>Motifs:</w:t>
      </w:r>
      <w:r w:rsidRPr="002C7676">
        <w:rPr>
          <w:lang w:val="fr-CH"/>
        </w:rPr>
        <w:tab/>
      </w:r>
      <w:r w:rsidR="002C7676" w:rsidRPr="00F91C9F">
        <w:rPr>
          <w:lang w:val="fr-CH"/>
        </w:rPr>
        <w:t xml:space="preserve">Cette </w:t>
      </w:r>
      <w:r w:rsidR="002C7676" w:rsidRPr="005539BF">
        <w:t>nouvelle</w:t>
      </w:r>
      <w:r w:rsidR="002C7676" w:rsidRPr="00F91C9F">
        <w:rPr>
          <w:lang w:val="fr-CH"/>
        </w:rPr>
        <w:t xml:space="preserve"> Résolution vise à spécifier les conditions techniques et réglementaires applicables </w:t>
      </w:r>
      <w:r w:rsidR="002C7676">
        <w:rPr>
          <w:lang w:val="fr-CH"/>
        </w:rPr>
        <w:t>à l</w:t>
      </w:r>
      <w:r w:rsidR="00EE141B" w:rsidRPr="002C7676">
        <w:t>'</w:t>
      </w:r>
      <w:r w:rsidR="002C7676">
        <w:rPr>
          <w:lang w:val="fr-CH"/>
        </w:rPr>
        <w:t>attribution faite au service mobile, sauf mobile aéronautique, conformément au point</w:t>
      </w:r>
      <w:r w:rsidR="00EE141B">
        <w:rPr>
          <w:lang w:val="fr-CH"/>
        </w:rPr>
        <w:t> </w:t>
      </w:r>
      <w:r w:rsidR="002C7676">
        <w:rPr>
          <w:lang w:val="fr-CH"/>
        </w:rPr>
        <w:t xml:space="preserve">5 du </w:t>
      </w:r>
      <w:r w:rsidR="002C7676" w:rsidRPr="00F91C9F">
        <w:rPr>
          <w:i/>
          <w:iCs/>
          <w:lang w:val="fr-CH"/>
        </w:rPr>
        <w:t>décide</w:t>
      </w:r>
      <w:r w:rsidR="002C7676">
        <w:rPr>
          <w:lang w:val="fr-CH"/>
        </w:rPr>
        <w:t xml:space="preserve"> de la Ré</w:t>
      </w:r>
      <w:r w:rsidR="002C7676" w:rsidRPr="00F91C9F">
        <w:rPr>
          <w:lang w:val="fr-CH"/>
        </w:rPr>
        <w:t xml:space="preserve">solution </w:t>
      </w:r>
      <w:r w:rsidR="002C7676" w:rsidRPr="00F91C9F">
        <w:rPr>
          <w:rFonts w:eastAsia="Calibri"/>
          <w:lang w:val="fr-CH"/>
        </w:rPr>
        <w:t>232 (</w:t>
      </w:r>
      <w:r w:rsidR="002C7676">
        <w:rPr>
          <w:rFonts w:eastAsia="Calibri"/>
          <w:lang w:val="fr-CH"/>
        </w:rPr>
        <w:t>CMR</w:t>
      </w:r>
      <w:r w:rsidR="002C7676" w:rsidRPr="00F91C9F">
        <w:rPr>
          <w:rFonts w:eastAsia="Calibri"/>
          <w:lang w:val="fr-CH"/>
        </w:rPr>
        <w:t>-12)</w:t>
      </w:r>
      <w:r w:rsidR="002C7676" w:rsidRPr="00F91C9F">
        <w:rPr>
          <w:lang w:val="fr-CH"/>
        </w:rPr>
        <w:t>,</w:t>
      </w:r>
      <w:r w:rsidR="002C7676">
        <w:rPr>
          <w:lang w:val="fr-CH"/>
        </w:rPr>
        <w:t xml:space="preserve"> compte tenu des résultats des études menées par l</w:t>
      </w:r>
      <w:r w:rsidR="00EE141B" w:rsidRPr="002C7676">
        <w:t>'</w:t>
      </w:r>
      <w:r w:rsidR="002C7676">
        <w:rPr>
          <w:lang w:val="fr-CH"/>
        </w:rPr>
        <w:t>UIT–R en application des points 1 à 6</w:t>
      </w:r>
      <w:r w:rsidR="002C7676" w:rsidRPr="00F91C9F">
        <w:rPr>
          <w:lang w:val="fr-CH"/>
        </w:rPr>
        <w:t xml:space="preserve"> </w:t>
      </w:r>
      <w:r w:rsidR="002C7676">
        <w:rPr>
          <w:lang w:val="fr-CH"/>
        </w:rPr>
        <w:t xml:space="preserve">du </w:t>
      </w:r>
      <w:r w:rsidR="00EE0A03">
        <w:rPr>
          <w:i/>
          <w:iCs/>
          <w:lang w:val="fr-CH"/>
        </w:rPr>
        <w:t>invite l</w:t>
      </w:r>
      <w:r w:rsidR="00EE141B" w:rsidRPr="002C7676">
        <w:t>'</w:t>
      </w:r>
      <w:r w:rsidR="00EE0A03">
        <w:rPr>
          <w:i/>
          <w:iCs/>
          <w:lang w:val="fr-CH"/>
        </w:rPr>
        <w:t>UIT</w:t>
      </w:r>
      <w:r w:rsidR="00EE0A03">
        <w:rPr>
          <w:i/>
          <w:iCs/>
          <w:lang w:val="fr-CH"/>
        </w:rPr>
        <w:noBreakHyphen/>
      </w:r>
      <w:r w:rsidR="002C7676" w:rsidRPr="00F91C9F">
        <w:rPr>
          <w:i/>
          <w:iCs/>
          <w:lang w:val="fr-CH"/>
        </w:rPr>
        <w:t>R</w:t>
      </w:r>
      <w:r w:rsidR="002C7676">
        <w:rPr>
          <w:lang w:val="fr-CH"/>
        </w:rPr>
        <w:t xml:space="preserve"> de la Résolution </w:t>
      </w:r>
      <w:r w:rsidR="002C7676" w:rsidRPr="00F91C9F">
        <w:rPr>
          <w:rFonts w:eastAsia="Calibri"/>
          <w:lang w:val="fr-CH"/>
        </w:rPr>
        <w:t>232 (</w:t>
      </w:r>
      <w:r w:rsidR="002C7676">
        <w:rPr>
          <w:rFonts w:eastAsia="Calibri"/>
          <w:lang w:val="fr-CH"/>
        </w:rPr>
        <w:t>CMR</w:t>
      </w:r>
      <w:r w:rsidR="002C7676" w:rsidRPr="00F91C9F">
        <w:rPr>
          <w:rFonts w:eastAsia="Calibri"/>
          <w:lang w:val="fr-CH"/>
        </w:rPr>
        <w:t>-12)</w:t>
      </w:r>
      <w:r w:rsidR="002C7676" w:rsidRPr="00F91C9F">
        <w:rPr>
          <w:lang w:val="fr-CH"/>
        </w:rPr>
        <w:t>.</w:t>
      </w:r>
    </w:p>
    <w:p w:rsidR="00183FFF" w:rsidRPr="002C7676" w:rsidRDefault="00183FFF" w:rsidP="001F3A20">
      <w:pPr>
        <w:pStyle w:val="Reasons"/>
        <w:rPr>
          <w:lang w:val="fr-CH"/>
        </w:rPr>
      </w:pPr>
    </w:p>
    <w:p w:rsidR="00183FFF" w:rsidRPr="002C7676" w:rsidRDefault="00183FFF" w:rsidP="001F3A20">
      <w:pPr>
        <w:jc w:val="center"/>
        <w:rPr>
          <w:lang w:val="en-US"/>
        </w:rPr>
      </w:pPr>
      <w:r w:rsidRPr="002C7676">
        <w:rPr>
          <w:lang w:val="en-US"/>
        </w:rPr>
        <w:t>______________</w:t>
      </w:r>
    </w:p>
    <w:p w:rsidR="00A805AA" w:rsidRPr="002C7676" w:rsidRDefault="00A805AA" w:rsidP="001F3A20">
      <w:pPr>
        <w:pStyle w:val="Reasons"/>
        <w:rPr>
          <w:lang w:val="en-US"/>
        </w:rPr>
      </w:pPr>
    </w:p>
    <w:sectPr w:rsidR="00A805AA" w:rsidRPr="002C767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0953">
      <w:rPr>
        <w:noProof/>
        <w:lang w:val="en-US"/>
      </w:rPr>
      <w:t>P:\FRA\ITU-R\CONF-R\CMR15\000\009ADD02ADD03F.docx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48AC">
      <w:rPr>
        <w:noProof/>
      </w:rPr>
      <w:t>09.11.15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0953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20" w:rsidRDefault="00C273A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D0953">
      <w:t>P:\FRA\ITU-R\CONF-R\CMR15\000\009ADD02ADD03F.docx</w:t>
    </w:r>
    <w:r>
      <w:fldChar w:fldCharType="end"/>
    </w:r>
    <w:r w:rsidR="001F3A20">
      <w:t xml:space="preserve"> (389843)</w:t>
    </w:r>
    <w:r w:rsidR="001F3A20">
      <w:tab/>
    </w:r>
    <w:r w:rsidR="001F3A20">
      <w:fldChar w:fldCharType="begin"/>
    </w:r>
    <w:r w:rsidR="001F3A20">
      <w:instrText xml:space="preserve"> SAVEDATE \@ DD.MM.YY </w:instrText>
    </w:r>
    <w:r w:rsidR="001F3A20">
      <w:fldChar w:fldCharType="separate"/>
    </w:r>
    <w:r w:rsidR="00E248AC">
      <w:t>09.11.15</w:t>
    </w:r>
    <w:r w:rsidR="001F3A20">
      <w:fldChar w:fldCharType="end"/>
    </w:r>
    <w:r w:rsidR="001F3A20">
      <w:tab/>
    </w:r>
    <w:r w:rsidR="001F3A20">
      <w:fldChar w:fldCharType="begin"/>
    </w:r>
    <w:r w:rsidR="001F3A20">
      <w:instrText xml:space="preserve"> PRINTDATE \@ DD.MM.YY </w:instrText>
    </w:r>
    <w:r w:rsidR="001F3A20">
      <w:fldChar w:fldCharType="separate"/>
    </w:r>
    <w:r w:rsidR="003D0953">
      <w:t>09.11.15</w:t>
    </w:r>
    <w:r w:rsidR="001F3A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20" w:rsidRDefault="00C273A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D0953">
      <w:t>P:\FRA\ITU-R\CONF-R\CMR15\000\009ADD02ADD03F.docx</w:t>
    </w:r>
    <w:r>
      <w:fldChar w:fldCharType="end"/>
    </w:r>
    <w:r w:rsidR="001F3A20">
      <w:t xml:space="preserve"> (389843)</w:t>
    </w:r>
    <w:r w:rsidR="001F3A20">
      <w:tab/>
    </w:r>
    <w:r w:rsidR="001F3A20">
      <w:fldChar w:fldCharType="begin"/>
    </w:r>
    <w:r w:rsidR="001F3A20">
      <w:instrText xml:space="preserve"> SAVEDATE \@ DD.MM.YY </w:instrText>
    </w:r>
    <w:r w:rsidR="001F3A20">
      <w:fldChar w:fldCharType="separate"/>
    </w:r>
    <w:r w:rsidR="00E248AC">
      <w:t>09.11.15</w:t>
    </w:r>
    <w:r w:rsidR="001F3A20">
      <w:fldChar w:fldCharType="end"/>
    </w:r>
    <w:r w:rsidR="001F3A20">
      <w:tab/>
    </w:r>
    <w:r w:rsidR="001F3A20">
      <w:fldChar w:fldCharType="begin"/>
    </w:r>
    <w:r w:rsidR="001F3A20">
      <w:instrText xml:space="preserve"> PRINTDATE \@ DD.MM.YY </w:instrText>
    </w:r>
    <w:r w:rsidR="001F3A20">
      <w:fldChar w:fldCharType="separate"/>
    </w:r>
    <w:r w:rsidR="003D0953">
      <w:t>09.11.15</w:t>
    </w:r>
    <w:r w:rsidR="001F3A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73A7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y,Alice">
    <w15:presenceInfo w15:providerId="AD" w15:userId="S-1-5-21-8740799-900759487-1415713722-49160"/>
  </w15:person>
  <w15:person w15:author="Turnbull, Karen">
    <w15:presenceInfo w15:providerId="AD" w15:userId="S-1-5-21-8740799-900759487-1415713722-6120"/>
  </w15:person>
  <w15:person w15:author="Touraud, Michele">
    <w15:presenceInfo w15:providerId="AD" w15:userId="S-1-5-21-8740799-900759487-1415713722-2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83FFF"/>
    <w:rsid w:val="0019352B"/>
    <w:rsid w:val="001960D0"/>
    <w:rsid w:val="001F17E8"/>
    <w:rsid w:val="001F3A20"/>
    <w:rsid w:val="00204306"/>
    <w:rsid w:val="00232FD2"/>
    <w:rsid w:val="0026554E"/>
    <w:rsid w:val="002A4622"/>
    <w:rsid w:val="002A6F8F"/>
    <w:rsid w:val="002B17E5"/>
    <w:rsid w:val="002C0EBF"/>
    <w:rsid w:val="002C28A4"/>
    <w:rsid w:val="002C7676"/>
    <w:rsid w:val="00315AFE"/>
    <w:rsid w:val="003606A6"/>
    <w:rsid w:val="0036650C"/>
    <w:rsid w:val="00393ACD"/>
    <w:rsid w:val="003A583E"/>
    <w:rsid w:val="003D0953"/>
    <w:rsid w:val="003E112B"/>
    <w:rsid w:val="003E1D1C"/>
    <w:rsid w:val="003E7B05"/>
    <w:rsid w:val="00462AA8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6890"/>
    <w:rsid w:val="00637ECF"/>
    <w:rsid w:val="00647B59"/>
    <w:rsid w:val="00690C7B"/>
    <w:rsid w:val="006A4B45"/>
    <w:rsid w:val="006A58EB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C2F1E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6DC9"/>
    <w:rsid w:val="009C7E7C"/>
    <w:rsid w:val="009E2AE6"/>
    <w:rsid w:val="009E55B6"/>
    <w:rsid w:val="009F7FD4"/>
    <w:rsid w:val="00A00473"/>
    <w:rsid w:val="00A03C9B"/>
    <w:rsid w:val="00A37105"/>
    <w:rsid w:val="00A606C3"/>
    <w:rsid w:val="00A63634"/>
    <w:rsid w:val="00A805AA"/>
    <w:rsid w:val="00A83B09"/>
    <w:rsid w:val="00A84541"/>
    <w:rsid w:val="00AE36A0"/>
    <w:rsid w:val="00AE5D3D"/>
    <w:rsid w:val="00B00294"/>
    <w:rsid w:val="00B64FD0"/>
    <w:rsid w:val="00BA5BD0"/>
    <w:rsid w:val="00BB1D82"/>
    <w:rsid w:val="00BF1E28"/>
    <w:rsid w:val="00BF26E7"/>
    <w:rsid w:val="00C010BF"/>
    <w:rsid w:val="00C273A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48AC"/>
    <w:rsid w:val="00E3402D"/>
    <w:rsid w:val="00E37A25"/>
    <w:rsid w:val="00E537FF"/>
    <w:rsid w:val="00E6539B"/>
    <w:rsid w:val="00E70A31"/>
    <w:rsid w:val="00EA3F38"/>
    <w:rsid w:val="00EA5AB6"/>
    <w:rsid w:val="00EB1776"/>
    <w:rsid w:val="00EC7615"/>
    <w:rsid w:val="00ED16AA"/>
    <w:rsid w:val="00EE0A03"/>
    <w:rsid w:val="00EE141B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8196F1-FBC0-4E45-AF43-802B5C7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Strong">
    <w:name w:val="Strong"/>
    <w:aliases w:val="ECC HL bold"/>
    <w:basedOn w:val="DefaultParagraphFont"/>
    <w:uiPriority w:val="1"/>
    <w:qFormat/>
    <w:rsid w:val="00A805AA"/>
    <w:rPr>
      <w:b/>
      <w:bCs/>
    </w:rPr>
  </w:style>
  <w:style w:type="paragraph" w:customStyle="1" w:styleId="headingb0">
    <w:name w:val="heading_b"/>
    <w:basedOn w:val="Heading3"/>
    <w:next w:val="Normal"/>
    <w:uiPriority w:val="99"/>
    <w:rsid w:val="00A805AA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  <w:style w:type="character" w:customStyle="1" w:styleId="RestitleChar">
    <w:name w:val="Res_title Char"/>
    <w:basedOn w:val="DefaultParagraphFont"/>
    <w:link w:val="Restitle"/>
    <w:locked/>
    <w:rsid w:val="009E55B6"/>
    <w:rPr>
      <w:rFonts w:ascii="Times New Roman Bold" w:hAnsi="Times New Roman Bold"/>
      <w:b/>
      <w:sz w:val="28"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9E55B6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9E55B6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9E55B6"/>
    <w:rPr>
      <w:rFonts w:ascii="Times New Roman" w:hAnsi="Times New Roman"/>
      <w:i/>
      <w:sz w:val="24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2C7676"/>
    <w:rPr>
      <w:rFonts w:ascii="Times New Roman" w:hAnsi="Times New Roman"/>
      <w:b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2C7676"/>
    <w:rPr>
      <w:rFonts w:ascii="Times New Roman" w:hAnsi="Times New Roman"/>
      <w:caps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2C7676"/>
    <w:rPr>
      <w:rFonts w:ascii="Times New Roman" w:hAnsi="Times New Roman"/>
      <w:lang w:val="fr-FR" w:eastAsia="en-US"/>
    </w:rPr>
  </w:style>
  <w:style w:type="character" w:customStyle="1" w:styleId="TablelegendChar">
    <w:name w:val="Table_legend Char"/>
    <w:basedOn w:val="TabletextChar"/>
    <w:link w:val="Tablelegend"/>
    <w:rsid w:val="002C7676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R15-WRC15-C-0009!A2-A3!MSW-F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F781C-1043-48D8-AEA8-CD5B60FA24EE}">
  <ds:schemaRefs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1081</Words>
  <Characters>5769</Characters>
  <Application>Microsoft Office Word</Application>
  <DocSecurity>0</DocSecurity>
  <Lines>274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R15-WRC15-C-0009!A2-A3!MSW-F</vt:lpstr>
    </vt:vector>
  </TitlesOfParts>
  <Manager>Secrétariat général - Pool</Manager>
  <Company>Union internationale des télécommunications (UIT)</Company>
  <LinksUpToDate>false</LinksUpToDate>
  <CharactersWithSpaces>6691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R15-WRC15-C-0009!A2-A3!MSW-F</dc:title>
  <dc:subject>Conférence mondiale des radiocommunications - 2015</dc:subject>
  <dc:creator>Documents Proposals Manager (DPM)</dc:creator>
  <cp:keywords>DPM_v5.2015.11.61_prod</cp:keywords>
  <dc:description/>
  <cp:lastModifiedBy>Brice, Corinne</cp:lastModifiedBy>
  <cp:revision>10</cp:revision>
  <cp:lastPrinted>2015-11-09T15:36:00Z</cp:lastPrinted>
  <dcterms:created xsi:type="dcterms:W3CDTF">2015-11-09T15:18:00Z</dcterms:created>
  <dcterms:modified xsi:type="dcterms:W3CDTF">2015-11-09T21:44:00Z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