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eastAsia="SimSun" w:hAnsi="Verdana" w:cs="Traditional Arabic"/>
                <w:b/>
                <w:position w:val="6"/>
                <w:sz w:val="22"/>
                <w:szCs w:val="22"/>
                <w:lang w:val="en-US"/>
              </w:rPr>
              <w:t>World Radiocommunication Conference (WRC-</w:t>
            </w:r>
            <w:r w:rsidRPr="00CF33A5">
              <w:rPr>
                <w:rFonts w:ascii="Verdana" w:eastAsia="SimSun" w:hAnsi="Verdana" w:cs="Traditional Arabic"/>
                <w:b/>
                <w:position w:val="6"/>
                <w:sz w:val="22"/>
                <w:szCs w:val="22"/>
                <w:lang w:val="en-US"/>
              </w:rPr>
              <w:t>1</w:t>
            </w:r>
            <w:r>
              <w:rPr>
                <w:rFonts w:ascii="Verdana" w:eastAsia="SimSun" w:hAnsi="Verdana" w:cs="Traditional Arabic"/>
                <w:b/>
                <w:position w:val="6"/>
                <w:sz w:val="22"/>
                <w:szCs w:val="22"/>
                <w:lang w:val="en-US"/>
              </w:rPr>
              <w:t>5</w:t>
            </w:r>
            <w:r w:rsidRPr="00CF33A5">
              <w:rPr>
                <w:rFonts w:ascii="Verdana" w:eastAsia="SimSun" w:hAnsi="Verdana" w:cs="Traditional Arabic"/>
                <w:b/>
                <w:position w:val="6"/>
                <w:sz w:val="22"/>
                <w:szCs w:val="22"/>
                <w:lang w:val="en-US"/>
              </w:rPr>
              <w:t>)</w:t>
            </w:r>
            <w:r w:rsidRPr="00CF33A5">
              <w:rPr>
                <w:rFonts w:ascii="Verdana" w:hAnsi="Verdana" w:cs="Times"/>
                <w:b/>
                <w:position w:val="6"/>
                <w:sz w:val="26"/>
                <w:szCs w:val="26"/>
                <w:lang w:val="en-US"/>
              </w:rPr>
              <w:br/>
            </w:r>
            <w:r w:rsidRPr="00CF33A5">
              <w:rPr>
                <w:rFonts w:ascii="Verdana" w:eastAsia="SimSun" w:hAnsi="Verdana" w:cs="Traditional Arabic"/>
                <w:b/>
                <w:bCs/>
                <w:position w:val="6"/>
                <w:sz w:val="18"/>
                <w:szCs w:val="18"/>
                <w:lang w:val="en-US"/>
              </w:rPr>
              <w:t xml:space="preserve">Geneva, </w:t>
            </w:r>
            <w:r>
              <w:rPr>
                <w:rFonts w:ascii="Verdana" w:eastAsia="SimSun" w:hAnsi="Verdana" w:cs="Traditional Arabic"/>
                <w:b/>
                <w:bCs/>
                <w:position w:val="6"/>
                <w:sz w:val="18"/>
                <w:szCs w:val="18"/>
                <w:lang w:val="en-US"/>
              </w:rPr>
              <w:t>2</w:t>
            </w:r>
            <w:r w:rsidRPr="00CF33A5">
              <w:rPr>
                <w:rFonts w:ascii="Verdana" w:eastAsia="SimSun" w:hAnsi="Verdana" w:cs="Traditional Arabic"/>
                <w:b/>
                <w:bCs/>
                <w:position w:val="6"/>
                <w:sz w:val="18"/>
                <w:szCs w:val="18"/>
                <w:lang w:val="en-US"/>
              </w:rPr>
              <w:t>–</w:t>
            </w:r>
            <w:r>
              <w:rPr>
                <w:rFonts w:ascii="Verdana" w:eastAsia="SimSun" w:hAnsi="Verdana" w:cs="Traditional Arabic"/>
                <w:b/>
                <w:bCs/>
                <w:position w:val="6"/>
                <w:sz w:val="18"/>
                <w:szCs w:val="18"/>
                <w:lang w:val="en-US"/>
              </w:rPr>
              <w:t>27</w:t>
            </w:r>
            <w:r w:rsidRPr="00CF33A5">
              <w:rPr>
                <w:rFonts w:ascii="Verdana" w:eastAsia="SimSun" w:hAnsi="Verdana" w:cs="Traditional Arabic"/>
                <w:b/>
                <w:bCs/>
                <w:position w:val="6"/>
                <w:sz w:val="18"/>
                <w:szCs w:val="18"/>
                <w:lang w:val="en-US"/>
              </w:rPr>
              <w:t xml:space="preserve"> </w:t>
            </w:r>
            <w:r>
              <w:rPr>
                <w:rFonts w:ascii="Verdana" w:eastAsia="SimSun" w:hAnsi="Verdana" w:cs="Traditional Arabic"/>
                <w:b/>
                <w:bCs/>
                <w:position w:val="6"/>
                <w:sz w:val="18"/>
                <w:szCs w:val="18"/>
                <w:lang w:val="en-US"/>
              </w:rPr>
              <w:t>November</w:t>
            </w:r>
            <w:r w:rsidRPr="00CF33A5">
              <w:rPr>
                <w:rFonts w:ascii="Verdana" w:eastAsia="SimSun" w:hAnsi="Verdana" w:cs="Traditional Arabic"/>
                <w:b/>
                <w:bCs/>
                <w:position w:val="6"/>
                <w:sz w:val="18"/>
                <w:szCs w:val="18"/>
                <w:lang w:val="en-US"/>
              </w:rPr>
              <w:t xml:space="preserve"> 201</w:t>
            </w:r>
            <w:r>
              <w:rPr>
                <w:rFonts w:ascii="Verdana" w:eastAsia="SimSun" w:hAnsi="Verdana" w:cs="Traditional Arabic"/>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eastAsia="SimSun" w:hAnsi="Verdana" w:cs="Traditional Arabic"/>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D268B3" w:rsidRDefault="00FF5EA8" w:rsidP="00D268B3">
            <w:pPr>
              <w:tabs>
                <w:tab w:val="left" w:pos="851"/>
              </w:tabs>
              <w:spacing w:before="0" w:line="240" w:lineRule="atLeast"/>
              <w:rPr>
                <w:rFonts w:ascii="Verdana" w:hAnsi="Verdana"/>
                <w:b/>
                <w:sz w:val="20"/>
              </w:rPr>
            </w:pPr>
            <w:bookmarkStart w:id="3" w:name="dnum" w:colFirst="1" w:colLast="1"/>
            <w:bookmarkStart w:id="4" w:name="dmeeting" w:colFirst="0" w:colLast="0"/>
            <w:bookmarkEnd w:id="2"/>
            <w:r w:rsidRPr="00D268B3">
              <w:rPr>
                <w:rFonts w:ascii="Verdana" w:eastAsia="SimSun" w:hAnsi="Verdana" w:cs="Traditional Arabic"/>
                <w:b/>
                <w:sz w:val="20"/>
              </w:rPr>
              <w:t>PLENARY MEETING</w:t>
            </w:r>
          </w:p>
        </w:tc>
        <w:tc>
          <w:tcPr>
            <w:tcW w:w="3120" w:type="dxa"/>
            <w:shd w:val="clear" w:color="auto" w:fill="auto"/>
          </w:tcPr>
          <w:p w:rsidR="00A066F1" w:rsidRPr="00A066F1"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9(Add.1)</w:t>
            </w:r>
            <w:r w:rsidR="00A066F1">
              <w:rPr>
                <w:rFonts w:ascii="Verdana" w:eastAsia="SimSun" w:hAnsi="Verdana" w:cs="Traditional Arabic"/>
                <w:b/>
                <w:sz w:val="20"/>
              </w:rPr>
              <w:t>-</w:t>
            </w:r>
            <w:r w:rsidR="005E10C9" w:rsidRPr="005E10C9">
              <w:rPr>
                <w:rFonts w:ascii="Verdana" w:eastAsia="SimSun" w:hAnsi="Verdana" w:cs="Traditional Arabic"/>
                <w:b/>
                <w:sz w:val="20"/>
              </w:rPr>
              <w:t>E</w:t>
            </w:r>
          </w:p>
        </w:tc>
      </w:tr>
      <w:tr w:rsidR="00A066F1" w:rsidRPr="00C324A8">
        <w:trPr>
          <w:cantSplit/>
          <w:trHeight w:val="23"/>
        </w:trPr>
        <w:tc>
          <w:tcPr>
            <w:tcW w:w="6911" w:type="dxa"/>
            <w:shd w:val="clear" w:color="auto" w:fill="auto"/>
          </w:tcPr>
          <w:p w:rsidR="00A066F1" w:rsidRPr="00C324A8"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A066F1" w:rsidRDefault="00420873" w:rsidP="00A066F1">
            <w:pPr>
              <w:tabs>
                <w:tab w:val="left" w:pos="993"/>
              </w:tabs>
              <w:spacing w:before="0"/>
              <w:rPr>
                <w:rFonts w:ascii="Verdana" w:hAnsi="Verdana"/>
                <w:sz w:val="20"/>
              </w:rPr>
            </w:pPr>
            <w:r>
              <w:rPr>
                <w:rFonts w:ascii="Verdana" w:eastAsia="SimSun" w:hAnsi="Verdana" w:cs="Traditional Arabic"/>
                <w:b/>
                <w:sz w:val="20"/>
              </w:rPr>
              <w:t>24 June 2015</w:t>
            </w:r>
          </w:p>
        </w:tc>
      </w:tr>
      <w:tr w:rsidR="00A066F1" w:rsidRPr="00C324A8">
        <w:trPr>
          <w:cantSplit/>
          <w:trHeight w:val="23"/>
        </w:trPr>
        <w:tc>
          <w:tcPr>
            <w:tcW w:w="6911" w:type="dxa"/>
            <w:shd w:val="clear" w:color="auto" w:fill="auto"/>
          </w:tcPr>
          <w:p w:rsidR="00A066F1" w:rsidRPr="00A066F1"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C324A8" w:rsidRDefault="00E55816" w:rsidP="00A066F1">
            <w:pPr>
              <w:tabs>
                <w:tab w:val="left" w:pos="993"/>
              </w:tabs>
              <w:spacing w:before="0"/>
              <w:rPr>
                <w:rFonts w:ascii="Verdana" w:hAnsi="Verdana"/>
                <w:b/>
                <w:sz w:val="20"/>
              </w:rPr>
            </w:pPr>
            <w:r w:rsidRPr="00E55816">
              <w:rPr>
                <w:rFonts w:ascii="Verdana" w:eastAsia="SimSun" w:hAnsi="Verdana" w:cs="Traditional Arabic"/>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486C48" w:rsidRDefault="00E55816" w:rsidP="00486C48">
            <w:pPr>
              <w:pStyle w:val="Source"/>
            </w:pPr>
            <w:r w:rsidRPr="00486C48">
              <w:rPr>
                <w:rFonts w:eastAsia="SimSun"/>
              </w:rPr>
              <w:t>European Common Proposals</w:t>
            </w:r>
          </w:p>
        </w:tc>
      </w:tr>
      <w:tr w:rsidR="00E55816" w:rsidRPr="00C324A8" w:rsidTr="00025864">
        <w:trPr>
          <w:cantSplit/>
          <w:trHeight w:val="23"/>
        </w:trPr>
        <w:tc>
          <w:tcPr>
            <w:tcW w:w="10031" w:type="dxa"/>
            <w:gridSpan w:val="2"/>
            <w:shd w:val="clear" w:color="auto" w:fill="auto"/>
          </w:tcPr>
          <w:p w:rsidR="00E55816" w:rsidRPr="00486C48" w:rsidRDefault="007D5320" w:rsidP="00486C48">
            <w:pPr>
              <w:pStyle w:val="Title1"/>
            </w:pPr>
            <w:r w:rsidRPr="00486C48">
              <w:rPr>
                <w:rFonts w:eastAsia="SimSun"/>
              </w:rP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486C48" w:rsidRDefault="004B13CB" w:rsidP="00486C48">
            <w:pPr>
              <w:pStyle w:val="Agendaitem"/>
            </w:pPr>
            <w:r w:rsidRPr="00486C48">
              <w:rPr>
                <w:rFonts w:eastAsia="SimSun"/>
              </w:rPr>
              <w:t>Agenda item 1.1</w:t>
            </w:r>
          </w:p>
        </w:tc>
      </w:tr>
    </w:tbl>
    <w:p w:rsidR="005118F7" w:rsidRPr="009A2B70" w:rsidRDefault="00486C48" w:rsidP="002119E8">
      <w:pPr>
        <w:overflowPunct/>
        <w:autoSpaceDE/>
        <w:autoSpaceDN/>
        <w:adjustRightInd/>
        <w:textAlignment w:val="auto"/>
      </w:pPr>
      <w:bookmarkStart w:id="9" w:name="dbreak"/>
      <w:bookmarkEnd w:id="7"/>
      <w:bookmarkEnd w:id="8"/>
      <w:bookmarkEnd w:id="9"/>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526D3" w:rsidRDefault="002526D3" w:rsidP="008441EC">
      <w:pPr>
        <w:pStyle w:val="Title4"/>
      </w:pPr>
      <w:bookmarkStart w:id="10" w:name="_Toc174444152"/>
      <w:bookmarkStart w:id="11" w:name="_Toc174444206"/>
      <w:r>
        <w:t xml:space="preserve">European Proposals </w:t>
      </w:r>
      <w:bookmarkEnd w:id="10"/>
      <w:bookmarkEnd w:id="11"/>
      <w:r>
        <w:t xml:space="preserve">on </w:t>
      </w:r>
      <w:r w:rsidRPr="001779BB">
        <w:t>no change for allocations to services in Article 5</w:t>
      </w:r>
    </w:p>
    <w:p w:rsidR="002526D3" w:rsidRPr="002526D3" w:rsidRDefault="002526D3" w:rsidP="008441EC">
      <w:pPr>
        <w:pStyle w:val="Title4"/>
        <w:rPr>
          <w:lang w:val="en-US"/>
        </w:rPr>
      </w:pPr>
      <w:r w:rsidRPr="002526D3">
        <w:rPr>
          <w:lang w:val="en-US"/>
        </w:rPr>
        <w:t>4 400-4 500 MHz, 4 800-5 000 MHz, 5 925-6 425 MHz</w:t>
      </w:r>
    </w:p>
    <w:p w:rsidR="009B463A" w:rsidRDefault="00486C48" w:rsidP="009B463A">
      <w:pPr>
        <w:pStyle w:val="ArtNo"/>
        <w:rPr>
          <w:lang w:val="en-AU"/>
        </w:rPr>
      </w:pPr>
      <w:bookmarkStart w:id="12" w:name="_Toc327956582"/>
      <w:r w:rsidRPr="006D07BF">
        <w:t>ARTICLE</w:t>
      </w:r>
      <w:r>
        <w:rPr>
          <w:lang w:val="en-AU"/>
        </w:rPr>
        <w:t xml:space="preserve"> </w:t>
      </w:r>
      <w:r>
        <w:rPr>
          <w:rStyle w:val="href"/>
          <w:rFonts w:eastAsiaTheme="majorEastAsia"/>
          <w:color w:val="000000"/>
          <w:lang w:val="en-AU"/>
        </w:rPr>
        <w:t>5</w:t>
      </w:r>
      <w:bookmarkEnd w:id="12"/>
    </w:p>
    <w:p w:rsidR="009B463A" w:rsidRDefault="00486C48" w:rsidP="009B463A">
      <w:pPr>
        <w:pStyle w:val="Arttitle"/>
        <w:rPr>
          <w:lang w:val="en-US"/>
        </w:rPr>
      </w:pPr>
      <w:bookmarkStart w:id="13" w:name="_Toc327956583"/>
      <w:r w:rsidRPr="006D07BF">
        <w:t>Frequency</w:t>
      </w:r>
      <w:r>
        <w:t xml:space="preserve"> allocations</w:t>
      </w:r>
      <w:bookmarkEnd w:id="13"/>
    </w:p>
    <w:p w:rsidR="009B463A" w:rsidRPr="00B25B23" w:rsidRDefault="00486C48"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A95547" w:rsidRDefault="00486C48">
      <w:pPr>
        <w:pStyle w:val="Proposal"/>
      </w:pPr>
      <w:r>
        <w:rPr>
          <w:u w:val="single"/>
        </w:rPr>
        <w:t>NOC</w:t>
      </w:r>
      <w:r>
        <w:tab/>
        <w:t>EUR/9A1</w:t>
      </w:r>
      <w:r w:rsidR="00DE401E">
        <w:t>A6</w:t>
      </w:r>
      <w:r>
        <w:t>/1</w:t>
      </w:r>
    </w:p>
    <w:p w:rsidR="009B463A" w:rsidRDefault="00486C48"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486C48"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486C48"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486C48"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486C48" w:rsidP="00477577">
            <w:pPr>
              <w:pStyle w:val="Tablehead"/>
            </w:pPr>
            <w:r>
              <w:t>Region 3</w:t>
            </w:r>
          </w:p>
        </w:tc>
      </w:tr>
      <w:tr w:rsidR="009B463A" w:rsidRPr="00B07A4D"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EC32D4" w:rsidRDefault="00486C48" w:rsidP="00477577">
            <w:pPr>
              <w:pStyle w:val="TableTextS5"/>
            </w:pPr>
            <w:r w:rsidRPr="0090657E">
              <w:rPr>
                <w:rStyle w:val="Tablefreq"/>
              </w:rPr>
              <w:t>4 400-4 500</w:t>
            </w:r>
            <w:r w:rsidRPr="00041DB7">
              <w:rPr>
                <w:b/>
                <w:color w:val="000000"/>
              </w:rPr>
              <w:tab/>
            </w:r>
            <w:r w:rsidRPr="00EC32D4">
              <w:t>FIXED</w:t>
            </w:r>
          </w:p>
          <w:p w:rsidR="009B463A" w:rsidRDefault="00486C48" w:rsidP="00477577">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A95547" w:rsidRDefault="00486C48">
      <w:pPr>
        <w:pStyle w:val="Reasons"/>
      </w:pPr>
      <w:r>
        <w:rPr>
          <w:b/>
        </w:rPr>
        <w:t>Reasons:</w:t>
      </w:r>
      <w:r>
        <w:tab/>
      </w:r>
      <w:r w:rsidR="002526D3" w:rsidRPr="00FE008A">
        <w:t>Th</w:t>
      </w:r>
      <w:r w:rsidR="002526D3">
        <w:t>e frequency</w:t>
      </w:r>
      <w:r w:rsidR="002526D3" w:rsidRPr="00FE008A">
        <w:t xml:space="preserve"> band </w:t>
      </w:r>
      <w:r w:rsidR="002526D3">
        <w:t xml:space="preserve">4 400-4 500 MHz </w:t>
      </w:r>
      <w:r w:rsidR="002526D3" w:rsidRPr="00FE008A">
        <w:t xml:space="preserve">is heavily </w:t>
      </w:r>
      <w:r w:rsidR="002526D3">
        <w:t>used by</w:t>
      </w:r>
      <w:r w:rsidR="002526D3" w:rsidRPr="00FE008A">
        <w:t xml:space="preserve"> </w:t>
      </w:r>
      <w:r w:rsidR="002526D3">
        <w:t>fixed</w:t>
      </w:r>
      <w:r w:rsidR="002526D3" w:rsidRPr="00FE008A">
        <w:t xml:space="preserve"> and </w:t>
      </w:r>
      <w:r w:rsidR="002526D3">
        <w:t xml:space="preserve">mobile </w:t>
      </w:r>
      <w:r w:rsidR="002526D3" w:rsidRPr="00FE008A">
        <w:t>(including aeronautical)</w:t>
      </w:r>
      <w:r w:rsidR="002526D3">
        <w:t xml:space="preserve"> </w:t>
      </w:r>
      <w:r w:rsidR="002526D3" w:rsidRPr="00FE008A">
        <w:t>applications</w:t>
      </w:r>
      <w:r w:rsidR="002526D3">
        <w:t xml:space="preserve"> other than IMT applications. In addition studies have not been provided </w:t>
      </w:r>
      <w:r w:rsidR="002526D3">
        <w:lastRenderedPageBreak/>
        <w:t xml:space="preserve">to ITU-R regarding the protection of radio-altimeters in the adjacent band (4 200-4 400 MHz). </w:t>
      </w:r>
      <w:r w:rsidR="002526D3" w:rsidRPr="00764755">
        <w:t>Also compatibility studies in ITU-R indicate that sharing between aeronautical mobile applications and IMT systems is not feasible.</w:t>
      </w:r>
    </w:p>
    <w:p w:rsidR="00A95547" w:rsidRDefault="00486C48">
      <w:pPr>
        <w:pStyle w:val="Proposal"/>
      </w:pPr>
      <w:r>
        <w:rPr>
          <w:u w:val="single"/>
        </w:rPr>
        <w:t>NOC</w:t>
      </w:r>
      <w:r>
        <w:tab/>
        <w:t>EUR/9A1</w:t>
      </w:r>
      <w:r w:rsidR="00DE401E">
        <w:t>A6</w:t>
      </w:r>
      <w:r>
        <w:t>/2</w:t>
      </w:r>
    </w:p>
    <w:p w:rsidR="009B463A" w:rsidRDefault="00486C48" w:rsidP="009B463A">
      <w:pPr>
        <w:pStyle w:val="Tabletitle"/>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463A" w:rsidRPr="002B657C" w:rsidRDefault="00486C48" w:rsidP="00477577">
            <w:pPr>
              <w:pStyle w:val="Tablehead"/>
            </w:pPr>
            <w:r w:rsidRPr="002B657C">
              <w:t>Allocation to services</w:t>
            </w:r>
          </w:p>
        </w:tc>
      </w:tr>
      <w:tr w:rsidR="009B463A" w:rsidTr="00477577">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486C48" w:rsidP="00477577">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486C48" w:rsidP="00477577">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9B463A" w:rsidRPr="002B657C" w:rsidRDefault="00486C48"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486C48" w:rsidP="00477577">
            <w:pPr>
              <w:pStyle w:val="TableTextS5"/>
              <w:tabs>
                <w:tab w:val="clear" w:pos="170"/>
                <w:tab w:val="clear" w:pos="567"/>
                <w:tab w:val="clear" w:pos="737"/>
              </w:tabs>
              <w:spacing w:before="60" w:after="60" w:line="210" w:lineRule="exact"/>
              <w:rPr>
                <w:color w:val="000000"/>
                <w:lang w:val="en-US"/>
              </w:rPr>
            </w:pPr>
            <w:r w:rsidRPr="0090657E">
              <w:rPr>
                <w:rStyle w:val="Tablefreq"/>
              </w:rPr>
              <w:t>4 800-4 990</w:t>
            </w:r>
            <w:r>
              <w:rPr>
                <w:color w:val="000000"/>
              </w:rPr>
              <w:tab/>
              <w:t>FIXED</w:t>
            </w:r>
          </w:p>
          <w:p w:rsidR="009B463A" w:rsidRDefault="00486C48" w:rsidP="00477577">
            <w:pPr>
              <w:pStyle w:val="TableTextS5"/>
              <w:tabs>
                <w:tab w:val="clear" w:pos="170"/>
                <w:tab w:val="clear" w:pos="567"/>
                <w:tab w:val="clear" w:pos="737"/>
              </w:tabs>
              <w:spacing w:before="60" w:after="60" w:line="210" w:lineRule="exact"/>
              <w:rPr>
                <w:color w:val="000000"/>
              </w:rPr>
            </w:pPr>
            <w:r>
              <w:rPr>
                <w:color w:val="000000"/>
              </w:rPr>
              <w:tab/>
              <w:t xml:space="preserve">MOBILE  </w:t>
            </w:r>
            <w:r>
              <w:rPr>
                <w:rStyle w:val="Artref"/>
                <w:color w:val="000000"/>
              </w:rPr>
              <w:t xml:space="preserve">5.440A 5.442  </w:t>
            </w:r>
          </w:p>
          <w:p w:rsidR="009B463A" w:rsidRDefault="00486C48" w:rsidP="00477577">
            <w:pPr>
              <w:pStyle w:val="TableTextS5"/>
              <w:tabs>
                <w:tab w:val="clear" w:pos="170"/>
                <w:tab w:val="clear" w:pos="567"/>
                <w:tab w:val="clear" w:pos="737"/>
              </w:tabs>
              <w:spacing w:before="60" w:after="60" w:line="210" w:lineRule="exact"/>
              <w:rPr>
                <w:color w:val="000000"/>
              </w:rPr>
            </w:pPr>
            <w:r>
              <w:rPr>
                <w:color w:val="000000"/>
              </w:rPr>
              <w:tab/>
              <w:t>Radio astronomy</w:t>
            </w:r>
          </w:p>
          <w:p w:rsidR="009B463A" w:rsidRPr="008A2589" w:rsidRDefault="00486C48" w:rsidP="00477577">
            <w:pPr>
              <w:pStyle w:val="TableTextS5"/>
              <w:tabs>
                <w:tab w:val="clear" w:pos="170"/>
                <w:tab w:val="clear" w:pos="567"/>
                <w:tab w:val="clear" w:pos="737"/>
              </w:tabs>
              <w:spacing w:before="60" w:after="60" w:line="210" w:lineRule="exact"/>
              <w:rPr>
                <w:color w:val="000000"/>
                <w:lang w:val="en-US"/>
              </w:rPr>
            </w:pPr>
            <w:r>
              <w:rPr>
                <w:color w:val="000000"/>
              </w:rPr>
              <w:tab/>
            </w:r>
            <w:r>
              <w:rPr>
                <w:rStyle w:val="Artref"/>
                <w:color w:val="000000"/>
              </w:rPr>
              <w:t>5.149</w:t>
            </w:r>
            <w:r>
              <w:rPr>
                <w:color w:val="000000"/>
              </w:rPr>
              <w:t xml:space="preserve">  </w:t>
            </w:r>
            <w:r>
              <w:rPr>
                <w:rStyle w:val="Artref"/>
                <w:color w:val="000000"/>
              </w:rPr>
              <w:t>5.339</w:t>
            </w:r>
            <w:r>
              <w:rPr>
                <w:color w:val="000000"/>
              </w:rPr>
              <w:t xml:space="preserve">  </w:t>
            </w:r>
            <w:r>
              <w:rPr>
                <w:rStyle w:val="Artref"/>
                <w:color w:val="000000"/>
              </w:rPr>
              <w:t>5.443</w:t>
            </w:r>
          </w:p>
        </w:tc>
      </w:tr>
    </w:tbl>
    <w:p w:rsidR="00A95547" w:rsidRDefault="00486C48">
      <w:pPr>
        <w:pStyle w:val="Reasons"/>
      </w:pPr>
      <w:r>
        <w:rPr>
          <w:b/>
        </w:rPr>
        <w:t>Reasons:</w:t>
      </w:r>
      <w:r>
        <w:tab/>
      </w:r>
      <w:r w:rsidR="0026535C" w:rsidRPr="00192278">
        <w:t xml:space="preserve">This band is extensively used for applications </w:t>
      </w:r>
      <w:r w:rsidR="0026535C">
        <w:t xml:space="preserve">in the </w:t>
      </w:r>
      <w:r w:rsidR="0026535C" w:rsidRPr="00192278">
        <w:t>fixed and mobile</w:t>
      </w:r>
      <w:r w:rsidR="0026535C">
        <w:t xml:space="preserve"> services</w:t>
      </w:r>
      <w:r w:rsidR="0026535C" w:rsidRPr="00192278">
        <w:t xml:space="preserve"> </w:t>
      </w:r>
      <w:r w:rsidR="0026535C">
        <w:t xml:space="preserve">(including aeronautical mobile and military applications) </w:t>
      </w:r>
      <w:r w:rsidR="0026535C" w:rsidRPr="00192278">
        <w:t xml:space="preserve">and </w:t>
      </w:r>
      <w:r w:rsidR="0026535C">
        <w:t>will</w:t>
      </w:r>
      <w:r w:rsidR="0026535C" w:rsidRPr="00192278">
        <w:t xml:space="preserve"> not </w:t>
      </w:r>
      <w:r w:rsidR="0026535C">
        <w:t xml:space="preserve">be </w:t>
      </w:r>
      <w:r w:rsidR="0026535C" w:rsidRPr="00192278">
        <w:t>available even in the long term in many European countries.</w:t>
      </w:r>
      <w:r w:rsidR="0026535C">
        <w:t xml:space="preserve"> In addition, the compatibility studies indicate that sharing betwee</w:t>
      </w:r>
      <w:r w:rsidR="0026535C" w:rsidRPr="00FE008A">
        <w:t xml:space="preserve">n </w:t>
      </w:r>
      <w:r w:rsidR="0026535C" w:rsidRPr="009F6742">
        <w:t xml:space="preserve">aeronautical mobile applications and IMT systems </w:t>
      </w:r>
      <w:r w:rsidR="0026535C">
        <w:t>and sharing between radio astronomy</w:t>
      </w:r>
      <w:r w:rsidR="0026535C" w:rsidRPr="009F6742">
        <w:t xml:space="preserve"> and IMT systems</w:t>
      </w:r>
      <w:r w:rsidR="0026535C">
        <w:t xml:space="preserve"> are not feasible.</w:t>
      </w:r>
    </w:p>
    <w:p w:rsidR="00A95547" w:rsidRDefault="00486C48">
      <w:pPr>
        <w:pStyle w:val="Proposal"/>
      </w:pPr>
      <w:r>
        <w:rPr>
          <w:u w:val="single"/>
        </w:rPr>
        <w:t>NOC</w:t>
      </w:r>
      <w:r>
        <w:tab/>
        <w:t>EUR/9A1</w:t>
      </w:r>
      <w:r w:rsidR="00DE401E">
        <w:t>A6</w:t>
      </w:r>
      <w:r>
        <w:t>/3</w:t>
      </w:r>
    </w:p>
    <w:p w:rsidR="009B463A" w:rsidRPr="007915C9" w:rsidRDefault="00486C48" w:rsidP="009B463A">
      <w:pPr>
        <w:pStyle w:val="Tabletitle"/>
      </w:pPr>
      <w:r w:rsidRPr="007915C9">
        <w:t>5 570-7 250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486C48"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486C48"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486C48" w:rsidP="00477577">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2B657C" w:rsidRDefault="00486C48"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9B463A" w:rsidRPr="00D41CE2" w:rsidRDefault="00486C48" w:rsidP="00477577">
            <w:pPr>
              <w:pStyle w:val="TableTextS5"/>
              <w:tabs>
                <w:tab w:val="clear" w:pos="170"/>
                <w:tab w:val="clear" w:pos="567"/>
                <w:tab w:val="clear" w:pos="737"/>
              </w:tabs>
              <w:spacing w:before="60" w:line="220" w:lineRule="exact"/>
              <w:rPr>
                <w:color w:val="000000"/>
              </w:rPr>
            </w:pPr>
            <w:r w:rsidRPr="008D45E8">
              <w:rPr>
                <w:rStyle w:val="Tablefreq"/>
              </w:rPr>
              <w:t>5 925-6 700</w:t>
            </w:r>
            <w:r w:rsidRPr="00D41CE2">
              <w:rPr>
                <w:color w:val="000000"/>
              </w:rPr>
              <w:tab/>
              <w:t xml:space="preserve">FIXED  </w:t>
            </w:r>
            <w:r>
              <w:rPr>
                <w:color w:val="000000"/>
              </w:rPr>
              <w:t>5.457</w:t>
            </w:r>
          </w:p>
          <w:p w:rsidR="009B463A" w:rsidRPr="00D41CE2" w:rsidRDefault="00486C48" w:rsidP="00477577">
            <w:pPr>
              <w:pStyle w:val="TableTextS5"/>
              <w:tabs>
                <w:tab w:val="clear" w:pos="170"/>
                <w:tab w:val="clear" w:pos="567"/>
                <w:tab w:val="clear" w:pos="737"/>
              </w:tabs>
              <w:spacing w:before="60" w:line="220" w:lineRule="exact"/>
              <w:rPr>
                <w:color w:val="000000"/>
              </w:rPr>
            </w:pPr>
            <w:r w:rsidRPr="00D41CE2">
              <w:rPr>
                <w:color w:val="000000"/>
              </w:rPr>
              <w:tab/>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rsidR="009B463A" w:rsidRPr="00D41CE2" w:rsidRDefault="00486C48" w:rsidP="00477577">
            <w:pPr>
              <w:pStyle w:val="TableTextS5"/>
              <w:tabs>
                <w:tab w:val="clear" w:pos="170"/>
                <w:tab w:val="clear" w:pos="567"/>
                <w:tab w:val="clear" w:pos="737"/>
              </w:tabs>
              <w:spacing w:before="60" w:line="220" w:lineRule="exact"/>
              <w:rPr>
                <w:color w:val="000000"/>
              </w:rPr>
            </w:pPr>
            <w:r w:rsidRPr="00D41CE2">
              <w:rPr>
                <w:color w:val="000000"/>
              </w:rPr>
              <w:tab/>
              <w:t>MOBILE  5.457C</w:t>
            </w:r>
          </w:p>
          <w:p w:rsidR="009B463A" w:rsidRDefault="00486C48" w:rsidP="00477577">
            <w:pPr>
              <w:pStyle w:val="TableTextS5"/>
              <w:tabs>
                <w:tab w:val="clear" w:pos="170"/>
                <w:tab w:val="clear" w:pos="567"/>
                <w:tab w:val="clear" w:pos="737"/>
              </w:tabs>
              <w:spacing w:before="60" w:line="220" w:lineRule="exact"/>
              <w:rPr>
                <w:color w:val="000000"/>
                <w:lang w:val="fr-FR"/>
              </w:rPr>
            </w:pPr>
            <w:r w:rsidRPr="00D41CE2">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p>
        </w:tc>
      </w:tr>
    </w:tbl>
    <w:p w:rsidR="00A95547" w:rsidRDefault="00486C48">
      <w:pPr>
        <w:pStyle w:val="Reasons"/>
      </w:pPr>
      <w:r>
        <w:rPr>
          <w:b/>
        </w:rPr>
        <w:t>Reasons:</w:t>
      </w:r>
      <w:r>
        <w:tab/>
      </w:r>
      <w:r w:rsidR="0026535C">
        <w:t>The use of the</w:t>
      </w:r>
      <w:r w:rsidR="0026535C" w:rsidRPr="00884422">
        <w:t xml:space="preserve"> band </w:t>
      </w:r>
      <w:r w:rsidR="0026535C">
        <w:t>5 925-</w:t>
      </w:r>
      <w:r w:rsidR="0026535C" w:rsidRPr="00C841A7">
        <w:t>6</w:t>
      </w:r>
      <w:r w:rsidR="0026535C">
        <w:t xml:space="preserve"> </w:t>
      </w:r>
      <w:r w:rsidR="0026535C" w:rsidRPr="00C841A7">
        <w:t xml:space="preserve">425 MHz </w:t>
      </w:r>
      <w:r w:rsidR="0026535C" w:rsidRPr="00884422">
        <w:t>by the</w:t>
      </w:r>
      <w:r w:rsidR="00594BE2" w:rsidRPr="00884422">
        <w:t xml:space="preserve"> fixed-satellite service and the fixed service is ex</w:t>
      </w:r>
      <w:r w:rsidR="0026535C" w:rsidRPr="00884422">
        <w:t>tensive</w:t>
      </w:r>
      <w:r w:rsidR="0026535C">
        <w:t>.</w:t>
      </w:r>
      <w:r w:rsidR="0026535C" w:rsidRPr="00884422">
        <w:t xml:space="preserve"> </w:t>
      </w:r>
      <w:r w:rsidR="0026535C">
        <w:t>T</w:t>
      </w:r>
      <w:r w:rsidR="0026535C" w:rsidRPr="009A3F6A">
        <w:t>he use of this band for fixed service is not going to decrease in many countries given that the increase in traffic in the mobile access network will have to be handled in the backhauling network too.</w:t>
      </w:r>
      <w:r w:rsidR="0026535C">
        <w:t xml:space="preserve"> </w:t>
      </w:r>
    </w:p>
    <w:p w:rsidR="0026535C" w:rsidRDefault="0026535C" w:rsidP="00594BE2">
      <w:pPr>
        <w:pStyle w:val="Reasons"/>
      </w:pPr>
      <w:r>
        <w:t>There is neither opportunity for global harmoni</w:t>
      </w:r>
      <w:r w:rsidR="00594BE2">
        <w:t>z</w:t>
      </w:r>
      <w:r>
        <w:t>ation nor interest for IMT indoor usage with the e.i.r.p. limit resulting from the sharing studies.</w:t>
      </w:r>
    </w:p>
    <w:p w:rsidR="0026535C" w:rsidRDefault="0026535C" w:rsidP="00594BE2">
      <w:pPr>
        <w:pStyle w:val="Reasons"/>
      </w:pPr>
      <w:r w:rsidRPr="009A3F6A">
        <w:t>Among all of t</w:t>
      </w:r>
      <w:r>
        <w:t>he services</w:t>
      </w:r>
      <w:r w:rsidR="00594BE2">
        <w:t>,</w:t>
      </w:r>
      <w:r>
        <w:t xml:space="preserve"> the impact on fixed-</w:t>
      </w:r>
      <w:r w:rsidRPr="009A3F6A">
        <w:t xml:space="preserve">satellite space stations is the most difficult from the point of </w:t>
      </w:r>
      <w:r w:rsidR="00594BE2">
        <w:t xml:space="preserve">view of </w:t>
      </w:r>
      <w:r w:rsidRPr="009A3F6A">
        <w:t>sharing and compatibility studies due to the fact that harmful interference results from simultaneous transmission of multiple IMT stations deployed across different countries and even continents. According to the available studies IMT implementation in this band is only possible with the restriction of maximum EIRP of IMT stations</w:t>
      </w:r>
      <w:r>
        <w:t xml:space="preserve"> </w:t>
      </w:r>
      <w:r w:rsidRPr="009A3F6A">
        <w:t xml:space="preserve">and deployment limited only to indoor. </w:t>
      </w:r>
      <w:r>
        <w:t xml:space="preserve">The result of sharing studies and the e.i.r.p. limit to be respected limit the IMT indoor opportunity in this band. </w:t>
      </w:r>
    </w:p>
    <w:p w:rsidR="0026535C" w:rsidRPr="009A3F6A" w:rsidRDefault="0026535C" w:rsidP="00594BE2">
      <w:pPr>
        <w:pStyle w:val="Reasons"/>
      </w:pPr>
      <w:r>
        <w:t>Moreover, t</w:t>
      </w:r>
      <w:r w:rsidRPr="009A3F6A">
        <w:t>he use of this band for fixed service is not going to decrease in many countries given that the increase in traffic in the mobile access network will have to be handled in the backhauling network too. This band is used for interconnecting local concentration nodes (concentrating the traffic of several mobile base stations) to the mobile operator core network. The band allows a path length of 20-80 kilomet</w:t>
      </w:r>
      <w:r w:rsidR="00594BE2">
        <w:t>r</w:t>
      </w:r>
      <w:r w:rsidRPr="009A3F6A">
        <w:t>es with a throughput over 1</w:t>
      </w:r>
      <w:r>
        <w:t xml:space="preserve"> </w:t>
      </w:r>
      <w:r w:rsidRPr="009A3F6A">
        <w:t xml:space="preserve">Gbps. There are very few alternatives to the use of this band since the other FS bands having comparable characteristics are also congested and </w:t>
      </w:r>
      <w:r w:rsidRPr="009A3F6A">
        <w:lastRenderedPageBreak/>
        <w:t>since the optical fibre is in many cases not a viable solution. Moreover, currently interferences on fixed service links in this band would be particularly harmful since a single fixed</w:t>
      </w:r>
      <w:r w:rsidR="00594BE2">
        <w:t>-</w:t>
      </w:r>
      <w:r w:rsidRPr="009A3F6A">
        <w:t>service link typically aggregates the traffic to and from 20-40 base stations meaning that a huge number of customers are impacted by a single interferer.</w:t>
      </w:r>
    </w:p>
    <w:p w:rsidR="0026535C" w:rsidRDefault="0026535C" w:rsidP="00594BE2">
      <w:pPr>
        <w:pStyle w:val="Reasons"/>
      </w:pPr>
      <w:r w:rsidRPr="009A3F6A">
        <w:t>In many countries the use of this band for fixed service is not going to decrease given that the increase in traffic in the mobile access network will have to be handled in the backhauling network too. One administration expects that with the roll</w:t>
      </w:r>
      <w:r w:rsidR="00594BE2">
        <w:t>-</w:t>
      </w:r>
      <w:r w:rsidRPr="009A3F6A">
        <w:t>out of IMT-Advanced networks it would be impossible to sustain backbone P-P links in low frequency ranges such as 5</w:t>
      </w:r>
      <w:r>
        <w:t xml:space="preserve"> </w:t>
      </w:r>
      <w:r w:rsidRPr="009A3F6A">
        <w:t>925-6</w:t>
      </w:r>
      <w:r>
        <w:t xml:space="preserve"> </w:t>
      </w:r>
      <w:r w:rsidRPr="009A3F6A">
        <w:t>425 MHz and they will be eventually substituted by fib</w:t>
      </w:r>
      <w:r w:rsidR="00594BE2">
        <w:t>r</w:t>
      </w:r>
      <w:r w:rsidRPr="009A3F6A">
        <w:t>e networks. Furthermore with the densification of P-P links higher bands with larger capacities will be used for shorter range hops.</w:t>
      </w:r>
    </w:p>
    <w:p w:rsidR="0026535C" w:rsidRDefault="0026535C" w:rsidP="0026535C"/>
    <w:p w:rsidR="0026535C" w:rsidRDefault="0026535C" w:rsidP="0032202E">
      <w:pPr>
        <w:pStyle w:val="Reasons"/>
      </w:pPr>
    </w:p>
    <w:p w:rsidR="0026535C" w:rsidRDefault="0026535C" w:rsidP="00594BE2">
      <w:pPr>
        <w:jc w:val="center"/>
      </w:pPr>
      <w:r>
        <w:t>______________</w:t>
      </w:r>
    </w:p>
    <w:sectPr w:rsidR="0026535C">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19" w:rsidRDefault="00616219">
      <w:r>
        <w:separator/>
      </w:r>
    </w:p>
  </w:endnote>
  <w:endnote w:type="continuationSeparator" w:id="0">
    <w:p w:rsidR="00616219" w:rsidRDefault="0061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33A74">
      <w:rPr>
        <w:noProof/>
        <w:lang w:val="en-US"/>
      </w:rPr>
      <w:t>P:\ENG\ITU-R\CONF-R\CMR15\000\009ADD01ADD06E.docx</w:t>
    </w:r>
    <w:r>
      <w:fldChar w:fldCharType="end"/>
    </w:r>
    <w:r w:rsidRPr="0041348E">
      <w:rPr>
        <w:lang w:val="en-US"/>
      </w:rPr>
      <w:tab/>
    </w:r>
    <w:r>
      <w:fldChar w:fldCharType="begin"/>
    </w:r>
    <w:r>
      <w:instrText xml:space="preserve"> SAVEDATE \@ DD.MM.YY </w:instrText>
    </w:r>
    <w:r>
      <w:fldChar w:fldCharType="separate"/>
    </w:r>
    <w:r w:rsidR="00D33A74">
      <w:rPr>
        <w:noProof/>
      </w:rPr>
      <w:t>07.07.15</w:t>
    </w:r>
    <w:r>
      <w:fldChar w:fldCharType="end"/>
    </w:r>
    <w:r w:rsidRPr="0041348E">
      <w:rPr>
        <w:lang w:val="en-US"/>
      </w:rPr>
      <w:tab/>
    </w:r>
    <w:r>
      <w:fldChar w:fldCharType="begin"/>
    </w:r>
    <w:r>
      <w:instrText xml:space="preserve"> PRINTDATE \@ DD.MM.YY </w:instrText>
    </w:r>
    <w:r>
      <w:fldChar w:fldCharType="separate"/>
    </w:r>
    <w:r w:rsidR="00D33A74">
      <w:rPr>
        <w:noProof/>
      </w:rPr>
      <w:t>08.07.15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EC" w:rsidRDefault="008441EC" w:rsidP="008441EC">
    <w:pPr>
      <w:pStyle w:val="Footer"/>
    </w:pPr>
    <w:fldSimple w:instr=" FILENAME \p  \* MERGEFORMAT ">
      <w:r w:rsidR="00D33A74">
        <w:t>P:\ENG\ITU-R\CONF-R\CMR15\000\009ADD01ADD06E.docx</w:t>
      </w:r>
    </w:fldSimple>
    <w:r>
      <w:t xml:space="preserve"> (383789)</w:t>
    </w:r>
    <w:r>
      <w:tab/>
    </w:r>
    <w:r>
      <w:fldChar w:fldCharType="begin"/>
    </w:r>
    <w:r>
      <w:instrText xml:space="preserve"> SAVEDATE \@ DD.MM.YY </w:instrText>
    </w:r>
    <w:r>
      <w:fldChar w:fldCharType="separate"/>
    </w:r>
    <w:r w:rsidR="00D33A74">
      <w:t>07.07.15</w:t>
    </w:r>
    <w:r>
      <w:fldChar w:fldCharType="end"/>
    </w:r>
    <w:r>
      <w:tab/>
    </w:r>
    <w:r>
      <w:fldChar w:fldCharType="begin"/>
    </w:r>
    <w:r>
      <w:instrText xml:space="preserve"> PRINTDATE \@ DD.MM.YY </w:instrText>
    </w:r>
    <w:r>
      <w:fldChar w:fldCharType="separate"/>
    </w:r>
    <w:r w:rsidR="00D33A74">
      <w:t>08.07.15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EC" w:rsidRDefault="008441EC" w:rsidP="008441EC">
    <w:pPr>
      <w:pStyle w:val="Footer"/>
    </w:pPr>
    <w:fldSimple w:instr=" FILENAME \p  \* MERGEFORMAT ">
      <w:r w:rsidR="00D33A74">
        <w:t>P:\ENG\ITU-R\CONF-R\CMR15\000\009ADD01ADD06E.docx</w:t>
      </w:r>
    </w:fldSimple>
    <w:r>
      <w:t xml:space="preserve"> (383789)</w:t>
    </w:r>
    <w:r>
      <w:tab/>
    </w:r>
    <w:r>
      <w:fldChar w:fldCharType="begin"/>
    </w:r>
    <w:r>
      <w:instrText xml:space="preserve"> SAVEDATE \@ DD.MM.YY </w:instrText>
    </w:r>
    <w:r>
      <w:fldChar w:fldCharType="separate"/>
    </w:r>
    <w:r w:rsidR="00D33A74">
      <w:t>07.07.15</w:t>
    </w:r>
    <w:r>
      <w:fldChar w:fldCharType="end"/>
    </w:r>
    <w:r>
      <w:tab/>
    </w:r>
    <w:r>
      <w:fldChar w:fldCharType="begin"/>
    </w:r>
    <w:r>
      <w:instrText xml:space="preserve"> PRINTDATE \@ DD.MM.YY </w:instrText>
    </w:r>
    <w:r>
      <w:fldChar w:fldCharType="separate"/>
    </w:r>
    <w:r w:rsidR="00D33A74">
      <w:t>08.07.15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19" w:rsidRDefault="00616219">
      <w:r>
        <w:rPr>
          <w:b/>
        </w:rPr>
        <w:t>_______________</w:t>
      </w:r>
    </w:p>
  </w:footnote>
  <w:footnote w:type="continuationSeparator" w:id="0">
    <w:p w:rsidR="00616219" w:rsidRDefault="0061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33A74">
      <w:rPr>
        <w:noProof/>
      </w:rPr>
      <w:t>3</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9(Add.1)(Add.6)</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7239"/>
    <w:rsid w:val="00086491"/>
    <w:rsid w:val="00091346"/>
    <w:rsid w:val="0009706C"/>
    <w:rsid w:val="000D154B"/>
    <w:rsid w:val="000F73FF"/>
    <w:rsid w:val="00114CF7"/>
    <w:rsid w:val="00123B68"/>
    <w:rsid w:val="00126F2E"/>
    <w:rsid w:val="00146F6F"/>
    <w:rsid w:val="00187BD9"/>
    <w:rsid w:val="00190B55"/>
    <w:rsid w:val="00197B0E"/>
    <w:rsid w:val="001C3B5F"/>
    <w:rsid w:val="001D058F"/>
    <w:rsid w:val="002009EA"/>
    <w:rsid w:val="00202CA0"/>
    <w:rsid w:val="00216B6D"/>
    <w:rsid w:val="00241FA2"/>
    <w:rsid w:val="002526D3"/>
    <w:rsid w:val="0026535C"/>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86C48"/>
    <w:rsid w:val="00492075"/>
    <w:rsid w:val="004969AD"/>
    <w:rsid w:val="004A26C4"/>
    <w:rsid w:val="004B13CB"/>
    <w:rsid w:val="004D5D5C"/>
    <w:rsid w:val="004F27DE"/>
    <w:rsid w:val="0050139F"/>
    <w:rsid w:val="0055140B"/>
    <w:rsid w:val="00594BE2"/>
    <w:rsid w:val="005964AB"/>
    <w:rsid w:val="005C099A"/>
    <w:rsid w:val="005C31A5"/>
    <w:rsid w:val="005E10C9"/>
    <w:rsid w:val="005E290B"/>
    <w:rsid w:val="005E61DD"/>
    <w:rsid w:val="006023DF"/>
    <w:rsid w:val="00616219"/>
    <w:rsid w:val="00657DE0"/>
    <w:rsid w:val="00685313"/>
    <w:rsid w:val="00692833"/>
    <w:rsid w:val="00694A25"/>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41EC"/>
    <w:rsid w:val="00872FC8"/>
    <w:rsid w:val="008845D0"/>
    <w:rsid w:val="008B43F2"/>
    <w:rsid w:val="008B6CFF"/>
    <w:rsid w:val="009274B4"/>
    <w:rsid w:val="00934EA2"/>
    <w:rsid w:val="00944A5C"/>
    <w:rsid w:val="00952A6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95547"/>
    <w:rsid w:val="00AA0B18"/>
    <w:rsid w:val="00AA3C65"/>
    <w:rsid w:val="00AA666F"/>
    <w:rsid w:val="00B639E9"/>
    <w:rsid w:val="00B817CD"/>
    <w:rsid w:val="00B94AD0"/>
    <w:rsid w:val="00BB3A95"/>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275D0"/>
    <w:rsid w:val="00D33A74"/>
    <w:rsid w:val="00D54009"/>
    <w:rsid w:val="00D5651D"/>
    <w:rsid w:val="00D57A34"/>
    <w:rsid w:val="00D74898"/>
    <w:rsid w:val="00D801ED"/>
    <w:rsid w:val="00D936BC"/>
    <w:rsid w:val="00D96530"/>
    <w:rsid w:val="00DD44AF"/>
    <w:rsid w:val="00DD678B"/>
    <w:rsid w:val="00DE2AC3"/>
    <w:rsid w:val="00DE401E"/>
    <w:rsid w:val="00DE5692"/>
    <w:rsid w:val="00E03C94"/>
    <w:rsid w:val="00E205BC"/>
    <w:rsid w:val="00E26226"/>
    <w:rsid w:val="00E45D05"/>
    <w:rsid w:val="00E55816"/>
    <w:rsid w:val="00E55AEF"/>
    <w:rsid w:val="00E976C1"/>
    <w:rsid w:val="00EA09AC"/>
    <w:rsid w:val="00EA12E5"/>
    <w:rsid w:val="00EB55C6"/>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C1D787D-C5A7-4E40-AFB2-87943794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FD18DA"/>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6526">
      <w:bodyDiv w:val="1"/>
      <w:marLeft w:val="0"/>
      <w:marRight w:val="0"/>
      <w:marTop w:val="0"/>
      <w:marBottom w:val="0"/>
      <w:divBdr>
        <w:top w:val="none" w:sz="0" w:space="0" w:color="auto"/>
        <w:left w:val="none" w:sz="0" w:space="0" w:color="auto"/>
        <w:bottom w:val="none" w:sz="0" w:space="0" w:color="auto"/>
        <w:right w:val="none" w:sz="0" w:space="0" w:color="auto"/>
      </w:divBdr>
    </w:div>
    <w:div w:id="12252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R15-WRC15-C-0009!A1-A6!MSW-E</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729B5217-73F1-48D1-AB98-0C67601215CB}">
  <ds:schemaRefs>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32a1a8c5-2265-4ebc-b7a0-2071e2c5c9bb"/>
    <ds:schemaRef ds:uri="996b2e75-67fd-4955-a3b0-5ab9934cb50b"/>
    <ds:schemaRef ds:uri="http://purl.org/dc/elements/1.1/"/>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835B454-C7B1-4332-A2BA-4CDA1D5B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739</Words>
  <Characters>4002</Characters>
  <Application>Microsoft Office Word</Application>
  <DocSecurity>0</DocSecurity>
  <Lines>102</Lines>
  <Paragraphs>60</Paragraphs>
  <ScaleCrop>false</ScaleCrop>
  <HeadingPairs>
    <vt:vector size="2" baseType="variant">
      <vt:variant>
        <vt:lpstr>Title</vt:lpstr>
      </vt:variant>
      <vt:variant>
        <vt:i4>1</vt:i4>
      </vt:variant>
    </vt:vector>
  </HeadingPairs>
  <TitlesOfParts>
    <vt:vector size="1" baseType="lpstr">
      <vt:lpstr>R15-WRC15-C-0009!A1-A6!MSW-E</vt:lpstr>
    </vt:vector>
  </TitlesOfParts>
  <Manager>General Secretariat - Pool</Manager>
  <Company>International Telecommunication Union (ITU)</Company>
  <LinksUpToDate>false</LinksUpToDate>
  <CharactersWithSpaces>4681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R15-WRC15-C-0009!A1-A6!MSW-E</dc:title>
  <dc:subject>World Radiocommunication Conference - 2012</dc:subject>
  <dc:creator>Documents Proposals Manager (DPM)</dc:creator>
  <cp:keywords>DPM_v5.2015.6.24_prod</cp:keywords>
  <dc:description>PE_WRC12.dotm  For: Document date: Saved by MM-106465 at 12:06:40 on 21/03/11</dc:description>
  <cp:lastModifiedBy>Currie, Jane</cp:lastModifiedBy>
  <cp:revision>9</cp:revision>
  <cp:lastPrinted>2015-07-08T13:20:00Z</cp:lastPrinted>
  <dcterms:created xsi:type="dcterms:W3CDTF">2015-07-07T14:13:00Z</dcterms:created>
  <dcterms:modified xsi:type="dcterms:W3CDTF">2015-07-08T13:22:00Z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