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3F42D5">
        <w:trPr>
          <w:cantSplit/>
        </w:trPr>
        <w:tc>
          <w:tcPr>
            <w:tcW w:w="6911" w:type="dxa"/>
          </w:tcPr>
          <w:p w:rsidR="00A066F1" w:rsidRPr="003F42D5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F42D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3F42D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3F42D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</w:rPr>
              <w:t xml:space="preserve"> Conference (WRC-15)</w:t>
            </w:r>
            <w:r w:rsidRPr="003F42D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3F42D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3F42D5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F42D5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F42D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F42D5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F42D5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3F42D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F42D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3F42D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3F42D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3F42D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F42D5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F42D5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3F42D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F42D5">
              <w:rPr>
                <w:rFonts w:ascii="Verdana" w:eastAsia="SimSun" w:hAnsi="Verdana" w:cs="Traditional Arabic"/>
                <w:b/>
                <w:sz w:val="20"/>
              </w:rPr>
              <w:t>Addendum 5 to</w:t>
            </w:r>
            <w:r w:rsidRPr="003F42D5">
              <w:rPr>
                <w:rFonts w:ascii="Verdana" w:eastAsia="SimSun" w:hAnsi="Verdana" w:cs="Traditional Arabic"/>
                <w:b/>
                <w:sz w:val="20"/>
              </w:rPr>
              <w:br/>
              <w:t>Document 9(Add.1)</w:t>
            </w:r>
            <w:r w:rsidR="00A066F1" w:rsidRPr="003F42D5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3F42D5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3F42D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F42D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3F42D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F42D5">
              <w:rPr>
                <w:rFonts w:ascii="Verdana" w:eastAsia="SimSun" w:hAnsi="Verdana" w:cs="Traditional Arabic"/>
                <w:b/>
                <w:sz w:val="20"/>
              </w:rPr>
              <w:t>24 June 2015</w:t>
            </w:r>
          </w:p>
        </w:tc>
      </w:tr>
      <w:tr w:rsidR="00A066F1" w:rsidRPr="003F42D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F42D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3F42D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F42D5">
              <w:rPr>
                <w:rFonts w:ascii="Verdana" w:eastAsia="SimSun" w:hAnsi="Verdana" w:cs="Traditional Arabic"/>
                <w:b/>
                <w:sz w:val="20"/>
              </w:rPr>
              <w:t>Original: English</w:t>
            </w:r>
          </w:p>
        </w:tc>
      </w:tr>
      <w:tr w:rsidR="00A066F1" w:rsidRPr="003F42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3F42D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F42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F42D5" w:rsidRDefault="00E55816" w:rsidP="00EE6381">
            <w:pPr>
              <w:pStyle w:val="Source"/>
            </w:pPr>
            <w:r w:rsidRPr="003F42D5">
              <w:rPr>
                <w:rFonts w:eastAsia="SimSun"/>
              </w:rPr>
              <w:t>European Common Proposals</w:t>
            </w:r>
          </w:p>
        </w:tc>
      </w:tr>
      <w:tr w:rsidR="00E55816" w:rsidRPr="003F42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F42D5" w:rsidRDefault="007D5320" w:rsidP="00EE6381">
            <w:pPr>
              <w:pStyle w:val="Title1"/>
            </w:pPr>
            <w:r w:rsidRPr="003F42D5">
              <w:rPr>
                <w:rFonts w:eastAsia="SimSun"/>
              </w:rPr>
              <w:t>Proposals for the work of the conference</w:t>
            </w:r>
          </w:p>
        </w:tc>
      </w:tr>
      <w:tr w:rsidR="00E55816" w:rsidRPr="003F42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F42D5" w:rsidRDefault="00E55816" w:rsidP="00E55816">
            <w:pPr>
              <w:pStyle w:val="Title2"/>
            </w:pPr>
          </w:p>
        </w:tc>
      </w:tr>
      <w:tr w:rsidR="00A538A6" w:rsidRPr="003F42D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3F42D5" w:rsidRDefault="004B13CB" w:rsidP="00EE6381">
            <w:pPr>
              <w:pStyle w:val="Agendaitem"/>
              <w:rPr>
                <w:lang w:val="en-GB"/>
              </w:rPr>
            </w:pPr>
            <w:r w:rsidRPr="003F42D5">
              <w:rPr>
                <w:rFonts w:eastAsia="SimSun"/>
                <w:lang w:val="en-GB"/>
              </w:rPr>
              <w:t>Agenda item 1.1</w:t>
            </w:r>
          </w:p>
        </w:tc>
      </w:tr>
    </w:tbl>
    <w:p w:rsidR="005118F7" w:rsidRPr="003F42D5" w:rsidRDefault="005A41C0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3F42D5">
        <w:t>1.1</w:t>
      </w:r>
      <w:r w:rsidRPr="003F42D5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3F42D5">
        <w:rPr>
          <w:b/>
          <w:bCs/>
        </w:rPr>
        <w:t>233 (WRC</w:t>
      </w:r>
      <w:r w:rsidRPr="003F42D5">
        <w:rPr>
          <w:b/>
          <w:bCs/>
        </w:rPr>
        <w:noBreakHyphen/>
        <w:t>12)</w:t>
      </w:r>
      <w:r w:rsidRPr="003F42D5">
        <w:t>;</w:t>
      </w:r>
    </w:p>
    <w:p w:rsidR="00EE6381" w:rsidRPr="003F42D5" w:rsidRDefault="00EE6381" w:rsidP="00114AF6">
      <w:pPr>
        <w:pStyle w:val="Title4"/>
      </w:pPr>
      <w:r w:rsidRPr="003F42D5">
        <w:t>European Proposals on no change for allocations to services in Article 5</w:t>
      </w:r>
    </w:p>
    <w:p w:rsidR="00EE6381" w:rsidRPr="003F42D5" w:rsidRDefault="00EE6381" w:rsidP="00114AF6">
      <w:pPr>
        <w:pStyle w:val="Title4"/>
      </w:pPr>
      <w:r w:rsidRPr="003F42D5">
        <w:t>3 800-4 200 MHz</w:t>
      </w:r>
    </w:p>
    <w:p w:rsidR="00EE6381" w:rsidRPr="003F42D5" w:rsidRDefault="00EE6381" w:rsidP="00114AF6">
      <w:pPr>
        <w:pStyle w:val="Headingb"/>
        <w:rPr>
          <w:lang w:val="en-GB"/>
        </w:rPr>
      </w:pPr>
      <w:r w:rsidRPr="003F42D5">
        <w:rPr>
          <w:lang w:val="en-GB"/>
        </w:rPr>
        <w:t>Introduction</w:t>
      </w:r>
    </w:p>
    <w:p w:rsidR="00EE6381" w:rsidRPr="003F42D5" w:rsidRDefault="00EE6381" w:rsidP="00EE6381">
      <w:r w:rsidRPr="003F42D5">
        <w:t>The band 3 800-4 200 MHz is allocated to the fixed and fixed-satellite (space-to-Earth) services on a primary basis in all ITU-R Regions.</w:t>
      </w:r>
    </w:p>
    <w:p w:rsidR="00EE6381" w:rsidRPr="003F42D5" w:rsidRDefault="00EE6381" w:rsidP="00114AF6">
      <w:r w:rsidRPr="003F42D5">
        <w:t>The use of this band by the FSS is extensive in many countries of the world and organi</w:t>
      </w:r>
      <w:r w:rsidR="00114AF6" w:rsidRPr="003F42D5">
        <w:t>z</w:t>
      </w:r>
      <w:r w:rsidRPr="003F42D5">
        <w:t xml:space="preserve">ations such as ICAO, IMO and WMO rely on FSS in this band. </w:t>
      </w:r>
    </w:p>
    <w:p w:rsidR="00EE6381" w:rsidRPr="003F42D5" w:rsidRDefault="00EE6381" w:rsidP="00EE6381">
      <w:r w:rsidRPr="003F42D5">
        <w:t xml:space="preserve">The sharing studies indicate that when FSS earth stations are deployed in a typical ubiquitous manner or with no individual licensing, sharing between IMT-Advanced and the FSS is not feasible in the same geographical area since no minimum separation distance can be guaranteed. </w:t>
      </w:r>
    </w:p>
    <w:p w:rsidR="00EE6381" w:rsidRPr="003F42D5" w:rsidRDefault="00EE6381" w:rsidP="00EE6381">
      <w:r w:rsidRPr="003F42D5">
        <w:t>Therefore Europe does not support a primary allocation to mobile service and identification for IMT in this frequency band.</w:t>
      </w:r>
    </w:p>
    <w:p w:rsidR="00EE6381" w:rsidRPr="003F42D5" w:rsidRDefault="00EE6381" w:rsidP="00EE6381">
      <w:r w:rsidRPr="003F42D5">
        <w:br w:type="page"/>
      </w:r>
    </w:p>
    <w:p w:rsidR="009B463A" w:rsidRPr="003F42D5" w:rsidRDefault="005A41C0" w:rsidP="009B463A">
      <w:pPr>
        <w:pStyle w:val="ArtNo"/>
      </w:pPr>
      <w:bookmarkStart w:id="9" w:name="_Toc327956582"/>
      <w:r w:rsidRPr="003F42D5">
        <w:lastRenderedPageBreak/>
        <w:t xml:space="preserve">ARTICLE </w:t>
      </w:r>
      <w:r w:rsidRPr="003F42D5">
        <w:rPr>
          <w:rStyle w:val="href"/>
          <w:rFonts w:eastAsiaTheme="majorEastAsia"/>
          <w:color w:val="000000"/>
        </w:rPr>
        <w:t>5</w:t>
      </w:r>
      <w:bookmarkEnd w:id="9"/>
    </w:p>
    <w:p w:rsidR="009B463A" w:rsidRPr="003F42D5" w:rsidRDefault="005A41C0" w:rsidP="009B463A">
      <w:pPr>
        <w:pStyle w:val="Arttitle"/>
      </w:pPr>
      <w:bookmarkStart w:id="10" w:name="_Toc327956583"/>
      <w:r w:rsidRPr="003F42D5">
        <w:t>Frequency allocations</w:t>
      </w:r>
      <w:bookmarkEnd w:id="10"/>
    </w:p>
    <w:p w:rsidR="009B463A" w:rsidRPr="003F42D5" w:rsidRDefault="005A41C0" w:rsidP="009B463A">
      <w:pPr>
        <w:pStyle w:val="Section1"/>
        <w:keepNext/>
      </w:pPr>
      <w:r w:rsidRPr="003F42D5">
        <w:t>Section IV – Table of Frequency Allocations</w:t>
      </w:r>
      <w:r w:rsidRPr="003F42D5">
        <w:br/>
      </w:r>
      <w:r w:rsidRPr="003F42D5">
        <w:rPr>
          <w:b w:val="0"/>
          <w:bCs/>
        </w:rPr>
        <w:t xml:space="preserve">(See No. </w:t>
      </w:r>
      <w:r w:rsidRPr="003F42D5">
        <w:t>2.1</w:t>
      </w:r>
      <w:r w:rsidRPr="003F42D5">
        <w:rPr>
          <w:b w:val="0"/>
          <w:bCs/>
        </w:rPr>
        <w:t>)</w:t>
      </w:r>
      <w:r w:rsidRPr="003F42D5">
        <w:rPr>
          <w:b w:val="0"/>
          <w:bCs/>
        </w:rPr>
        <w:br/>
      </w:r>
      <w:r w:rsidRPr="003F42D5">
        <w:br/>
      </w:r>
    </w:p>
    <w:p w:rsidR="0013139A" w:rsidRPr="003F42D5" w:rsidRDefault="005A41C0">
      <w:pPr>
        <w:pStyle w:val="Proposal"/>
      </w:pPr>
      <w:r w:rsidRPr="003F42D5">
        <w:rPr>
          <w:u w:val="single"/>
        </w:rPr>
        <w:t>NOC</w:t>
      </w:r>
      <w:r w:rsidRPr="003F42D5">
        <w:tab/>
        <w:t>EUR/9A1</w:t>
      </w:r>
      <w:r w:rsidR="00EE6381" w:rsidRPr="003F42D5">
        <w:t>A5</w:t>
      </w:r>
      <w:r w:rsidRPr="003F42D5">
        <w:t>/1</w:t>
      </w:r>
    </w:p>
    <w:p w:rsidR="009B463A" w:rsidRPr="003F42D5" w:rsidRDefault="005A41C0" w:rsidP="009B463A">
      <w:pPr>
        <w:pStyle w:val="Tabletitle"/>
      </w:pPr>
      <w:r w:rsidRPr="003F42D5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3"/>
        <w:gridCol w:w="3109"/>
        <w:gridCol w:w="3101"/>
      </w:tblGrid>
      <w:tr w:rsidR="00114AF6" w:rsidRPr="003F42D5" w:rsidTr="00114AF6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F6" w:rsidRPr="003F42D5" w:rsidRDefault="00114AF6">
            <w:pPr>
              <w:pStyle w:val="Tablehead"/>
            </w:pPr>
            <w:r w:rsidRPr="003F42D5">
              <w:t>Allocation to services</w:t>
            </w:r>
          </w:p>
        </w:tc>
      </w:tr>
      <w:tr w:rsidR="00114AF6" w:rsidRPr="003F42D5" w:rsidTr="00114AF6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F6" w:rsidRPr="003F42D5" w:rsidRDefault="00114AF6">
            <w:pPr>
              <w:pStyle w:val="Tablehead"/>
            </w:pPr>
            <w:r w:rsidRPr="003F42D5"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F6" w:rsidRPr="003F42D5" w:rsidRDefault="00114AF6">
            <w:pPr>
              <w:pStyle w:val="Tablehead"/>
            </w:pPr>
            <w:r w:rsidRPr="003F42D5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F6" w:rsidRPr="003F42D5" w:rsidRDefault="00114AF6">
            <w:pPr>
              <w:pStyle w:val="Tablehead"/>
            </w:pPr>
            <w:r w:rsidRPr="003F42D5">
              <w:t>Region 3</w:t>
            </w:r>
          </w:p>
        </w:tc>
      </w:tr>
      <w:tr w:rsidR="00114AF6" w:rsidRPr="00E968CB" w:rsidTr="00114AF6">
        <w:trPr>
          <w:cantSplit/>
          <w:trHeight w:val="1500"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F6" w:rsidRPr="003F42D5" w:rsidRDefault="00114AF6" w:rsidP="00114AF6">
            <w:pPr>
              <w:pStyle w:val="TableTextS5"/>
              <w:rPr>
                <w:rStyle w:val="Artref"/>
              </w:rPr>
            </w:pPr>
            <w:r w:rsidRPr="003F42D5">
              <w:rPr>
                <w:rStyle w:val="Artref"/>
                <w:szCs w:val="16"/>
              </w:rPr>
              <w:t>...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3F42D5">
              <w:rPr>
                <w:rStyle w:val="Tablefreq"/>
              </w:rPr>
              <w:t>3 500-3 700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FIXED-SATELLITE (space-to-Earth)</w:t>
            </w:r>
          </w:p>
          <w:p w:rsidR="00114AF6" w:rsidRPr="00E968CB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  <w:lang w:val="fr-CH"/>
              </w:rPr>
            </w:pPr>
            <w:r w:rsidRPr="00E968CB">
              <w:rPr>
                <w:color w:val="000000"/>
                <w:lang w:val="fr-CH"/>
              </w:rPr>
              <w:t>MOBILE except aeronautical mobile</w:t>
            </w:r>
          </w:p>
          <w:p w:rsidR="00114AF6" w:rsidRPr="00E968CB" w:rsidRDefault="00114AF6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  <w:color w:val="000000"/>
                <w:lang w:val="fr-CH"/>
              </w:rPr>
            </w:pPr>
            <w:r w:rsidRPr="00E968CB">
              <w:rPr>
                <w:color w:val="000000"/>
                <w:lang w:val="fr-CH"/>
              </w:rPr>
              <w:t xml:space="preserve">Radiolocation  </w:t>
            </w:r>
            <w:r w:rsidRPr="00E968CB">
              <w:rPr>
                <w:lang w:val="fr-CH"/>
              </w:rPr>
              <w:t>5.433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3F42D5">
              <w:rPr>
                <w:rStyle w:val="Tablefreq"/>
              </w:rPr>
              <w:t>3 500-3 600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FIXED-SATELLITE (space-to-Earth)</w:t>
            </w:r>
          </w:p>
          <w:p w:rsidR="00114AF6" w:rsidRPr="00E968CB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  <w:lang w:val="fr-CH"/>
              </w:rPr>
            </w:pPr>
            <w:r w:rsidRPr="00E968CB">
              <w:rPr>
                <w:color w:val="000000"/>
                <w:lang w:val="fr-CH"/>
              </w:rPr>
              <w:t>MOBILE except aeronautical mobile  5.433A</w:t>
            </w:r>
          </w:p>
          <w:p w:rsidR="00114AF6" w:rsidRPr="00E968CB" w:rsidRDefault="00114AF6">
            <w:pPr>
              <w:pStyle w:val="TableTextS5"/>
              <w:rPr>
                <w:rStyle w:val="Artref"/>
                <w:lang w:val="fr-CH"/>
              </w:rPr>
            </w:pPr>
            <w:r w:rsidRPr="00E968CB">
              <w:rPr>
                <w:color w:val="000000"/>
                <w:lang w:val="fr-CH"/>
              </w:rPr>
              <w:t xml:space="preserve">Radiolocation  </w:t>
            </w:r>
            <w:r w:rsidRPr="00E968CB">
              <w:rPr>
                <w:rStyle w:val="Artref"/>
                <w:color w:val="000000"/>
                <w:lang w:val="fr-CH"/>
              </w:rPr>
              <w:t>5.433</w:t>
            </w:r>
          </w:p>
        </w:tc>
      </w:tr>
      <w:tr w:rsidR="00114AF6" w:rsidRPr="00E968CB" w:rsidTr="00114AF6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3F42D5">
              <w:rPr>
                <w:rStyle w:val="Tablefreq"/>
              </w:rPr>
              <w:t>3 600-4 200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FIXED-SATELLITE</w:t>
            </w:r>
            <w:r w:rsidRPr="003F42D5">
              <w:rPr>
                <w:color w:val="000000"/>
              </w:rPr>
              <w:br/>
              <w:t>(space-to-Earth)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b/>
              </w:rPr>
            </w:pPr>
            <w:r w:rsidRPr="003F42D5">
              <w:rPr>
                <w:color w:val="000000"/>
              </w:rPr>
              <w:t>Mobile</w:t>
            </w: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4AF6" w:rsidRPr="003F42D5" w:rsidRDefault="00114AF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3F42D5">
              <w:rPr>
                <w:rStyle w:val="Tablefreq"/>
              </w:rPr>
              <w:t>3 600-3 700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FIXED-SATELLITE (space-to-Earth)</w:t>
            </w:r>
          </w:p>
          <w:p w:rsidR="00114AF6" w:rsidRPr="00E968CB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  <w:lang w:val="fr-CH"/>
              </w:rPr>
            </w:pPr>
            <w:r w:rsidRPr="00E968CB">
              <w:rPr>
                <w:color w:val="000000"/>
                <w:lang w:val="fr-CH"/>
              </w:rPr>
              <w:t>MOBILE except aeronautical mobile</w:t>
            </w:r>
          </w:p>
          <w:p w:rsidR="00114AF6" w:rsidRPr="00E968CB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  <w:lang w:val="fr-CH"/>
              </w:rPr>
            </w:pPr>
            <w:r w:rsidRPr="00E968CB">
              <w:rPr>
                <w:color w:val="000000"/>
                <w:lang w:val="fr-CH"/>
              </w:rPr>
              <w:t>Radiolocation</w:t>
            </w:r>
          </w:p>
          <w:p w:rsidR="00114AF6" w:rsidRPr="00E968CB" w:rsidRDefault="00114AF6">
            <w:pPr>
              <w:pStyle w:val="TableTextS5"/>
              <w:spacing w:before="20" w:after="20" w:line="220" w:lineRule="exact"/>
              <w:ind w:left="170" w:hanging="170"/>
              <w:rPr>
                <w:rStyle w:val="Artref"/>
                <w:lang w:val="fr-CH"/>
              </w:rPr>
            </w:pPr>
            <w:r w:rsidRPr="00E968CB">
              <w:rPr>
                <w:lang w:val="fr-CH"/>
              </w:rPr>
              <w:t>5.435</w:t>
            </w:r>
          </w:p>
        </w:tc>
      </w:tr>
      <w:tr w:rsidR="00114AF6" w:rsidRPr="003F42D5" w:rsidTr="00114AF6">
        <w:trPr>
          <w:cantSplit/>
          <w:jc w:val="center"/>
        </w:trPr>
        <w:tc>
          <w:tcPr>
            <w:tcW w:w="3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AF6" w:rsidRPr="00E968CB" w:rsidRDefault="00114AF6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  <w:color w:val="000000"/>
                <w:lang w:val="fr-CH"/>
              </w:rPr>
            </w:pP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3F42D5">
              <w:rPr>
                <w:rStyle w:val="Tablefreq"/>
              </w:rPr>
              <w:t>3 700-4 200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3F42D5">
              <w:rPr>
                <w:color w:val="000000"/>
              </w:rPr>
              <w:t>FIXED-SATELLITE (space to-Earth)</w:t>
            </w:r>
          </w:p>
          <w:p w:rsidR="00114AF6" w:rsidRPr="003F42D5" w:rsidRDefault="00114AF6">
            <w:pPr>
              <w:pStyle w:val="TableTextS5"/>
              <w:spacing w:before="20" w:after="20" w:line="220" w:lineRule="exact"/>
              <w:ind w:left="170" w:hanging="170"/>
              <w:rPr>
                <w:rStyle w:val="Artref"/>
              </w:rPr>
            </w:pPr>
            <w:r w:rsidRPr="003F42D5">
              <w:rPr>
                <w:color w:val="000000"/>
              </w:rPr>
              <w:t>MOBILE except aeronautical mobile</w:t>
            </w:r>
          </w:p>
        </w:tc>
      </w:tr>
    </w:tbl>
    <w:p w:rsidR="003C3F3B" w:rsidRPr="003F42D5" w:rsidRDefault="005A41C0" w:rsidP="00114AF6">
      <w:pPr>
        <w:pStyle w:val="Reasons"/>
      </w:pPr>
      <w:bookmarkStart w:id="11" w:name="_GoBack"/>
      <w:bookmarkEnd w:id="11"/>
      <w:r w:rsidRPr="003F42D5">
        <w:rPr>
          <w:b/>
        </w:rPr>
        <w:t>Reasons:</w:t>
      </w:r>
      <w:r w:rsidRPr="003F42D5">
        <w:tab/>
      </w:r>
      <w:r w:rsidR="003C3F3B" w:rsidRPr="003F42D5">
        <w:rPr>
          <w:rStyle w:val="BRNormal"/>
        </w:rPr>
        <w:t>The</w:t>
      </w:r>
      <w:r w:rsidR="003C3F3B" w:rsidRPr="003F42D5">
        <w:t xml:space="preserve"> use of this band by the </w:t>
      </w:r>
      <w:r w:rsidR="00C74302" w:rsidRPr="003F42D5">
        <w:t>f</w:t>
      </w:r>
      <w:r w:rsidR="003C3F3B" w:rsidRPr="003F42D5">
        <w:t>ixed-</w:t>
      </w:r>
      <w:r w:rsidR="00C74302" w:rsidRPr="003F42D5">
        <w:t>s</w:t>
      </w:r>
      <w:r w:rsidR="003C3F3B" w:rsidRPr="003F42D5">
        <w:t xml:space="preserve">atellite </w:t>
      </w:r>
      <w:r w:rsidR="00C74302" w:rsidRPr="003F42D5">
        <w:t>s</w:t>
      </w:r>
      <w:r w:rsidR="003C3F3B" w:rsidRPr="003F42D5">
        <w:t xml:space="preserve">ervice is extensive. Sharing is not feasible between IMT or mobile broadband and the </w:t>
      </w:r>
      <w:r w:rsidR="00C74302" w:rsidRPr="003F42D5">
        <w:t>f</w:t>
      </w:r>
      <w:r w:rsidR="003C3F3B" w:rsidRPr="003F42D5">
        <w:t>ixed-</w:t>
      </w:r>
      <w:r w:rsidR="00C74302" w:rsidRPr="003F42D5">
        <w:t>s</w:t>
      </w:r>
      <w:r w:rsidR="003C3F3B" w:rsidRPr="003F42D5">
        <w:t xml:space="preserve">atellite </w:t>
      </w:r>
      <w:r w:rsidR="00C74302" w:rsidRPr="003F42D5">
        <w:t>s</w:t>
      </w:r>
      <w:r w:rsidR="003C3F3B" w:rsidRPr="003F42D5">
        <w:t>ervice. There is no potential for global harmoni</w:t>
      </w:r>
      <w:r w:rsidR="00114AF6" w:rsidRPr="003F42D5">
        <w:t>z</w:t>
      </w:r>
      <w:r w:rsidR="003C3F3B" w:rsidRPr="003F42D5">
        <w:t>ation for IMT or mobile broadband.</w:t>
      </w:r>
    </w:p>
    <w:p w:rsidR="0013139A" w:rsidRPr="003F42D5" w:rsidRDefault="003C3F3B" w:rsidP="003C3F3B">
      <w:pPr>
        <w:pStyle w:val="Reasons"/>
      </w:pPr>
      <w:r w:rsidRPr="003F42D5">
        <w:t>There are further proposals regarding the band 3 400-3 800 MHz (see Addendum 2 to Adden</w:t>
      </w:r>
      <w:r w:rsidR="00252C21" w:rsidRPr="003F42D5">
        <w:t>d</w:t>
      </w:r>
      <w:r w:rsidRPr="003F42D5">
        <w:t>um 1</w:t>
      </w:r>
      <w:r w:rsidR="00C74302" w:rsidRPr="003F42D5">
        <w:t xml:space="preserve"> to Document 9</w:t>
      </w:r>
      <w:r w:rsidRPr="003F42D5">
        <w:t>).</w:t>
      </w:r>
    </w:p>
    <w:p w:rsidR="00C74302" w:rsidRPr="003F42D5" w:rsidRDefault="00C74302" w:rsidP="0032202E">
      <w:pPr>
        <w:pStyle w:val="Reasons"/>
      </w:pPr>
    </w:p>
    <w:p w:rsidR="00C74302" w:rsidRPr="003F42D5" w:rsidRDefault="00C74302">
      <w:pPr>
        <w:jc w:val="center"/>
      </w:pPr>
      <w:r w:rsidRPr="003F42D5">
        <w:t>______________</w:t>
      </w:r>
    </w:p>
    <w:p w:rsidR="00C74302" w:rsidRPr="003F42D5" w:rsidRDefault="00C74302" w:rsidP="003C3F3B">
      <w:pPr>
        <w:pStyle w:val="Reasons"/>
      </w:pPr>
    </w:p>
    <w:sectPr w:rsidR="00C74302" w:rsidRPr="003F42D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19" w:rsidRDefault="00616219">
      <w:r>
        <w:separator/>
      </w:r>
    </w:p>
  </w:endnote>
  <w:endnote w:type="continuationSeparator" w:id="0">
    <w:p w:rsidR="00616219" w:rsidRDefault="0061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968CB">
      <w:rPr>
        <w:noProof/>
        <w:lang w:val="en-US"/>
      </w:rPr>
      <w:t>P:\ENG\ITU-R\CONF-R\CMR15\000\009ADD01ADD05E.docx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68CB">
      <w:rPr>
        <w:noProof/>
      </w:rPr>
      <w:t>13.07.15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68CB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F6" w:rsidRDefault="00114AF6" w:rsidP="00114AF6">
    <w:pPr>
      <w:pStyle w:val="Footer"/>
    </w:pPr>
    <w:fldSimple w:instr=" FILENAME \p  \* MERGEFORMAT ">
      <w:r w:rsidR="00E968CB">
        <w:t>P:\ENG\ITU-R\CONF-R\CMR15\000\009ADD01ADD05E.docx</w:t>
      </w:r>
    </w:fldSimple>
    <w:r>
      <w:t xml:space="preserve"> (383788)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968CB">
      <w:t>13.07.15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968CB">
      <w:t>13.07.15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F6" w:rsidRDefault="00114AF6" w:rsidP="00114AF6">
    <w:pPr>
      <w:pStyle w:val="Footer"/>
    </w:pPr>
    <w:fldSimple w:instr=" FILENAME \p  \* MERGEFORMAT ">
      <w:r w:rsidR="00E968CB">
        <w:t>P:\ENG\ITU-R\CONF-R\CMR15\000\009ADD01ADD05E.docx</w:t>
      </w:r>
    </w:fldSimple>
    <w:r>
      <w:t xml:space="preserve"> (383788)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968CB">
      <w:t>13.07.15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968CB">
      <w:t>13.07.15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19" w:rsidRDefault="00616219">
      <w:r>
        <w:rPr>
          <w:b/>
        </w:rPr>
        <w:t>_______________</w:t>
      </w:r>
    </w:p>
  </w:footnote>
  <w:footnote w:type="continuationSeparator" w:id="0">
    <w:p w:rsidR="00616219" w:rsidRDefault="0061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968CB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9(Add.1)(Add.5)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7239"/>
    <w:rsid w:val="00086491"/>
    <w:rsid w:val="00091346"/>
    <w:rsid w:val="0009706C"/>
    <w:rsid w:val="000D154B"/>
    <w:rsid w:val="000F73FF"/>
    <w:rsid w:val="00114AF6"/>
    <w:rsid w:val="00114CF7"/>
    <w:rsid w:val="00123B68"/>
    <w:rsid w:val="00126F2E"/>
    <w:rsid w:val="0013139A"/>
    <w:rsid w:val="00146F6F"/>
    <w:rsid w:val="001606D6"/>
    <w:rsid w:val="00187BD9"/>
    <w:rsid w:val="00190B55"/>
    <w:rsid w:val="001B1C2F"/>
    <w:rsid w:val="001B3850"/>
    <w:rsid w:val="001C3B5F"/>
    <w:rsid w:val="001D058F"/>
    <w:rsid w:val="002009EA"/>
    <w:rsid w:val="00202CA0"/>
    <w:rsid w:val="00216B6D"/>
    <w:rsid w:val="00241FA2"/>
    <w:rsid w:val="00252C21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C3F3B"/>
    <w:rsid w:val="003D0F8B"/>
    <w:rsid w:val="003E0DB6"/>
    <w:rsid w:val="003F42D5"/>
    <w:rsid w:val="0041348E"/>
    <w:rsid w:val="00420873"/>
    <w:rsid w:val="00492075"/>
    <w:rsid w:val="004969AD"/>
    <w:rsid w:val="004A26C4"/>
    <w:rsid w:val="004A3948"/>
    <w:rsid w:val="004B13CB"/>
    <w:rsid w:val="004D5D5C"/>
    <w:rsid w:val="0050139F"/>
    <w:rsid w:val="0055140B"/>
    <w:rsid w:val="00570C9E"/>
    <w:rsid w:val="005964AB"/>
    <w:rsid w:val="005A41C0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72FC8"/>
    <w:rsid w:val="008845D0"/>
    <w:rsid w:val="008B43F2"/>
    <w:rsid w:val="008B6CFF"/>
    <w:rsid w:val="009274B4"/>
    <w:rsid w:val="00934EA2"/>
    <w:rsid w:val="00944A5C"/>
    <w:rsid w:val="00952A66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94AD0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74302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E03C94"/>
    <w:rsid w:val="00E205BC"/>
    <w:rsid w:val="00E26226"/>
    <w:rsid w:val="00E45D05"/>
    <w:rsid w:val="00E55816"/>
    <w:rsid w:val="00E55AEF"/>
    <w:rsid w:val="00E968CB"/>
    <w:rsid w:val="00E976C1"/>
    <w:rsid w:val="00EA12E5"/>
    <w:rsid w:val="00EB55C6"/>
    <w:rsid w:val="00EE6381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967B2C22-75C8-4026-8E01-8409BFF7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customStyle="1" w:styleId="headingb0">
    <w:name w:val="heading_b"/>
    <w:basedOn w:val="Heading3"/>
    <w:next w:val="Normal"/>
    <w:rsid w:val="00EE6381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  <w:style w:type="character" w:customStyle="1" w:styleId="BRNormal">
    <w:name w:val="BR_Normal"/>
    <w:basedOn w:val="DefaultParagraphFont"/>
    <w:uiPriority w:val="1"/>
    <w:qFormat/>
    <w:rsid w:val="003C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R15-WRC15-C-0009!A1-A5!MSW-E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F67E7-7C1D-4F15-8810-9075C67EC85A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E3993726-FBF1-4863-8A5B-BEE063C9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2055</Characters>
  <Application>Microsoft Office Word</Application>
  <DocSecurity>0</DocSecurity>
  <Lines>89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R15-WRC15-C-0009!A1-A5!MSW-E</vt:lpstr>
    </vt:vector>
  </TitlesOfParts>
  <Manager>General Secretariat - Pool</Manager>
  <Company>International Telecommunication Union (ITU)</Company>
  <LinksUpToDate>false</LinksUpToDate>
  <CharactersWithSpaces>2363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R15-WRC15-C-0009!A1-A5!MSW-E</dc:title>
  <dc:subject>World Radiocommunication Conference - 2012</dc:subject>
  <dc:creator>Documents Proposals Manager (DPM)</dc:creator>
  <cp:keywords>DPM_v5.2015.6.24_prod</cp:keywords>
  <dc:description>PE_WRC12.dotm  For: Document date: Saved by MM-106465 at 12:06:40 on 21/03/11</dc:description>
  <cp:lastModifiedBy>Turnbull, Karen</cp:lastModifiedBy>
  <cp:revision>8</cp:revision>
  <cp:lastPrinted>2015-07-13T07:11:00Z</cp:lastPrinted>
  <dcterms:created xsi:type="dcterms:W3CDTF">2015-07-10T09:36:00Z</dcterms:created>
  <dcterms:modified xsi:type="dcterms:W3CDTF">2015-07-13T07:11:00Z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