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FA548A" w:rsidTr="0050008E">
        <w:trPr>
          <w:cantSplit/>
        </w:trPr>
        <w:tc>
          <w:tcPr>
            <w:tcW w:w="6911" w:type="dxa"/>
          </w:tcPr>
          <w:p w:rsidR="0090121B" w:rsidRPr="00FA548A" w:rsidRDefault="005D46FB" w:rsidP="0002785D">
            <w:pPr>
              <w:spacing w:before="400" w:after="48" w:line="240" w:lineRule="atLeast"/>
              <w:rPr>
                <w:rFonts w:ascii="Verdana" w:hAnsi="Verdana"/>
                <w:position w:val="6"/>
              </w:rPr>
            </w:pPr>
            <w:r w:rsidRPr="00FA548A">
              <w:rPr>
                <w:rFonts w:ascii="Verdana" w:eastAsia="SimSun" w:hAnsi="Verdana" w:cs="Traditional Arabic"/>
                <w:b/>
                <w:position w:val="6"/>
                <w:sz w:val="20"/>
              </w:rPr>
              <w:t>Conferencia Mundial de Radiocomunicaciones (CMR-15)</w:t>
            </w:r>
            <w:r w:rsidRPr="00FA548A">
              <w:rPr>
                <w:rFonts w:ascii="Verdana" w:hAnsi="Verdana" w:cs="Times"/>
                <w:b/>
                <w:position w:val="6"/>
                <w:sz w:val="20"/>
              </w:rPr>
              <w:br/>
            </w:r>
            <w:r w:rsidRPr="00FA548A">
              <w:rPr>
                <w:rFonts w:ascii="Verdana" w:eastAsia="SimSun" w:hAnsi="Verdana" w:cs="Traditional Arabic"/>
                <w:b/>
                <w:bCs/>
                <w:position w:val="6"/>
                <w:sz w:val="18"/>
                <w:szCs w:val="18"/>
              </w:rPr>
              <w:t>Ginebra, 2-27 de noviembre de 2015</w:t>
            </w:r>
          </w:p>
        </w:tc>
        <w:tc>
          <w:tcPr>
            <w:tcW w:w="3120" w:type="dxa"/>
          </w:tcPr>
          <w:p w:rsidR="0090121B" w:rsidRPr="00FA548A" w:rsidRDefault="00CE7431" w:rsidP="00CE7431">
            <w:pPr>
              <w:spacing w:before="0" w:line="240" w:lineRule="atLeast"/>
              <w:jc w:val="right"/>
            </w:pPr>
            <w:bookmarkStart w:id="0" w:name="ditulogo"/>
            <w:bookmarkEnd w:id="0"/>
            <w:r w:rsidRPr="00FA548A">
              <w:rPr>
                <w:noProof/>
                <w:lang w:val="en-GB"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FA548A" w:rsidTr="0050008E">
        <w:trPr>
          <w:cantSplit/>
        </w:trPr>
        <w:tc>
          <w:tcPr>
            <w:tcW w:w="6911" w:type="dxa"/>
            <w:tcBorders>
              <w:bottom w:val="single" w:sz="12" w:space="0" w:color="auto"/>
            </w:tcBorders>
          </w:tcPr>
          <w:p w:rsidR="0090121B" w:rsidRPr="00FA548A" w:rsidRDefault="00CE7431" w:rsidP="0090121B">
            <w:pPr>
              <w:spacing w:before="0" w:after="48" w:line="240" w:lineRule="atLeast"/>
              <w:rPr>
                <w:b/>
                <w:smallCaps/>
                <w:szCs w:val="24"/>
              </w:rPr>
            </w:pPr>
            <w:bookmarkStart w:id="1" w:name="dhead"/>
            <w:r w:rsidRPr="00FA548A">
              <w:rPr>
                <w:rFonts w:ascii="Verdana" w:eastAsia="SimSun" w:hAnsi="Verdana" w:cs="Traditional Arabic"/>
                <w:b/>
                <w:smallCaps/>
                <w:sz w:val="20"/>
              </w:rPr>
              <w:t>UNIÓN INTERNACIONAL DE TELECOMUNICACIONES</w:t>
            </w:r>
          </w:p>
        </w:tc>
        <w:tc>
          <w:tcPr>
            <w:tcW w:w="3120" w:type="dxa"/>
            <w:tcBorders>
              <w:bottom w:val="single" w:sz="12" w:space="0" w:color="auto"/>
            </w:tcBorders>
          </w:tcPr>
          <w:p w:rsidR="0090121B" w:rsidRPr="00FA548A" w:rsidRDefault="0090121B" w:rsidP="0090121B">
            <w:pPr>
              <w:spacing w:before="0" w:line="240" w:lineRule="atLeast"/>
              <w:rPr>
                <w:rFonts w:ascii="Verdana" w:hAnsi="Verdana"/>
                <w:szCs w:val="24"/>
              </w:rPr>
            </w:pPr>
          </w:p>
        </w:tc>
      </w:tr>
      <w:tr w:rsidR="0090121B" w:rsidRPr="00FA548A" w:rsidTr="0090121B">
        <w:trPr>
          <w:cantSplit/>
        </w:trPr>
        <w:tc>
          <w:tcPr>
            <w:tcW w:w="6911" w:type="dxa"/>
            <w:tcBorders>
              <w:top w:val="single" w:sz="12" w:space="0" w:color="auto"/>
            </w:tcBorders>
          </w:tcPr>
          <w:p w:rsidR="0090121B" w:rsidRPr="00FA548A"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FA548A" w:rsidRDefault="0090121B" w:rsidP="0090121B">
            <w:pPr>
              <w:spacing w:before="0" w:line="240" w:lineRule="atLeast"/>
              <w:rPr>
                <w:rFonts w:ascii="Verdana" w:hAnsi="Verdana"/>
                <w:sz w:val="20"/>
              </w:rPr>
            </w:pPr>
          </w:p>
        </w:tc>
      </w:tr>
      <w:tr w:rsidR="0090121B" w:rsidRPr="00FA548A" w:rsidTr="0090121B">
        <w:trPr>
          <w:cantSplit/>
        </w:trPr>
        <w:tc>
          <w:tcPr>
            <w:tcW w:w="6911" w:type="dxa"/>
            <w:shd w:val="clear" w:color="auto" w:fill="auto"/>
          </w:tcPr>
          <w:p w:rsidR="0090121B" w:rsidRPr="00FA548A" w:rsidRDefault="00AE658F" w:rsidP="0045384C">
            <w:pPr>
              <w:spacing w:before="0"/>
              <w:rPr>
                <w:rFonts w:ascii="Verdana" w:hAnsi="Verdana"/>
                <w:b/>
                <w:sz w:val="20"/>
              </w:rPr>
            </w:pPr>
            <w:r w:rsidRPr="00FA548A">
              <w:rPr>
                <w:rFonts w:ascii="Verdana" w:eastAsia="SimSun" w:hAnsi="Verdana" w:cs="Traditional Arabic"/>
                <w:b/>
                <w:sz w:val="20"/>
              </w:rPr>
              <w:t>SESIÓN PLENARIA</w:t>
            </w:r>
          </w:p>
        </w:tc>
        <w:tc>
          <w:tcPr>
            <w:tcW w:w="3120" w:type="dxa"/>
            <w:shd w:val="clear" w:color="auto" w:fill="auto"/>
          </w:tcPr>
          <w:p w:rsidR="0090121B" w:rsidRPr="00FA548A" w:rsidRDefault="00AE658F" w:rsidP="0045384C">
            <w:pPr>
              <w:spacing w:before="0"/>
              <w:rPr>
                <w:rFonts w:ascii="Verdana" w:hAnsi="Verdana"/>
                <w:sz w:val="20"/>
              </w:rPr>
            </w:pPr>
            <w:r w:rsidRPr="00FA548A">
              <w:rPr>
                <w:rFonts w:ascii="Verdana" w:eastAsia="SimSun" w:hAnsi="Verdana" w:cs="Traditional Arabic"/>
                <w:b/>
                <w:sz w:val="20"/>
              </w:rPr>
              <w:t>Addéndum 3 al</w:t>
            </w:r>
            <w:r w:rsidRPr="00FA548A">
              <w:rPr>
                <w:rFonts w:ascii="Verdana" w:eastAsia="SimSun" w:hAnsi="Verdana" w:cs="Traditional Arabic"/>
                <w:b/>
                <w:sz w:val="20"/>
              </w:rPr>
              <w:br/>
              <w:t>Documento 9(Add.1)</w:t>
            </w:r>
            <w:r w:rsidR="0090121B" w:rsidRPr="00FA548A">
              <w:rPr>
                <w:rFonts w:ascii="Verdana" w:eastAsia="SimSun" w:hAnsi="Verdana" w:cs="Traditional Arabic"/>
                <w:b/>
                <w:sz w:val="20"/>
              </w:rPr>
              <w:t>-</w:t>
            </w:r>
            <w:r w:rsidRPr="00FA548A">
              <w:rPr>
                <w:rFonts w:ascii="Verdana" w:eastAsia="SimSun" w:hAnsi="Verdana" w:cs="Traditional Arabic"/>
                <w:b/>
                <w:sz w:val="20"/>
              </w:rPr>
              <w:t>S</w:t>
            </w:r>
          </w:p>
        </w:tc>
      </w:tr>
      <w:bookmarkEnd w:id="1"/>
      <w:tr w:rsidR="000A5B9A" w:rsidRPr="00FA548A" w:rsidTr="0090121B">
        <w:trPr>
          <w:cantSplit/>
        </w:trPr>
        <w:tc>
          <w:tcPr>
            <w:tcW w:w="6911" w:type="dxa"/>
            <w:shd w:val="clear" w:color="auto" w:fill="auto"/>
          </w:tcPr>
          <w:p w:rsidR="000A5B9A" w:rsidRPr="00FA548A" w:rsidRDefault="000A5B9A" w:rsidP="0045384C">
            <w:pPr>
              <w:spacing w:before="0" w:after="48"/>
              <w:rPr>
                <w:rFonts w:ascii="Verdana" w:hAnsi="Verdana"/>
                <w:b/>
                <w:smallCaps/>
                <w:sz w:val="20"/>
              </w:rPr>
            </w:pPr>
          </w:p>
        </w:tc>
        <w:tc>
          <w:tcPr>
            <w:tcW w:w="3120" w:type="dxa"/>
            <w:shd w:val="clear" w:color="auto" w:fill="auto"/>
          </w:tcPr>
          <w:p w:rsidR="000A5B9A" w:rsidRPr="00FA548A" w:rsidRDefault="000A5B9A" w:rsidP="0045384C">
            <w:pPr>
              <w:spacing w:before="0"/>
              <w:rPr>
                <w:rFonts w:ascii="Verdana" w:hAnsi="Verdana"/>
                <w:b/>
                <w:sz w:val="20"/>
              </w:rPr>
            </w:pPr>
            <w:r w:rsidRPr="00FA548A">
              <w:rPr>
                <w:rFonts w:ascii="Verdana" w:eastAsia="SimSun" w:hAnsi="Verdana" w:cs="Traditional Arabic"/>
                <w:b/>
                <w:sz w:val="20"/>
              </w:rPr>
              <w:t>24 de junio de 2015</w:t>
            </w:r>
          </w:p>
        </w:tc>
      </w:tr>
      <w:tr w:rsidR="000A5B9A" w:rsidRPr="00FA548A" w:rsidTr="0090121B">
        <w:trPr>
          <w:cantSplit/>
        </w:trPr>
        <w:tc>
          <w:tcPr>
            <w:tcW w:w="6911" w:type="dxa"/>
          </w:tcPr>
          <w:p w:rsidR="000A5B9A" w:rsidRPr="00FA548A" w:rsidRDefault="000A5B9A" w:rsidP="0045384C">
            <w:pPr>
              <w:spacing w:before="0" w:after="48"/>
              <w:rPr>
                <w:rFonts w:ascii="Verdana" w:hAnsi="Verdana"/>
                <w:b/>
                <w:smallCaps/>
                <w:sz w:val="20"/>
              </w:rPr>
            </w:pPr>
          </w:p>
        </w:tc>
        <w:tc>
          <w:tcPr>
            <w:tcW w:w="3120" w:type="dxa"/>
          </w:tcPr>
          <w:p w:rsidR="000A5B9A" w:rsidRPr="00FA548A" w:rsidRDefault="000A5B9A" w:rsidP="0045384C">
            <w:pPr>
              <w:spacing w:before="0"/>
              <w:rPr>
                <w:rFonts w:ascii="Verdana" w:hAnsi="Verdana"/>
                <w:b/>
                <w:sz w:val="20"/>
              </w:rPr>
            </w:pPr>
            <w:r w:rsidRPr="00FA548A">
              <w:rPr>
                <w:rFonts w:ascii="Verdana" w:eastAsia="SimSun" w:hAnsi="Verdana" w:cs="Traditional Arabic"/>
                <w:b/>
                <w:sz w:val="20"/>
              </w:rPr>
              <w:t>Original: inglés</w:t>
            </w:r>
          </w:p>
        </w:tc>
      </w:tr>
      <w:tr w:rsidR="000A5B9A" w:rsidRPr="00FA548A" w:rsidTr="006744FC">
        <w:trPr>
          <w:cantSplit/>
        </w:trPr>
        <w:tc>
          <w:tcPr>
            <w:tcW w:w="10031" w:type="dxa"/>
            <w:gridSpan w:val="2"/>
          </w:tcPr>
          <w:p w:rsidR="000A5B9A" w:rsidRPr="00FA548A" w:rsidRDefault="000A5B9A" w:rsidP="0045384C">
            <w:pPr>
              <w:spacing w:before="0"/>
              <w:rPr>
                <w:rFonts w:ascii="Verdana" w:hAnsi="Verdana"/>
                <w:b/>
                <w:sz w:val="20"/>
              </w:rPr>
            </w:pPr>
          </w:p>
        </w:tc>
      </w:tr>
      <w:tr w:rsidR="000A5B9A" w:rsidRPr="00FA548A" w:rsidTr="0050008E">
        <w:trPr>
          <w:cantSplit/>
        </w:trPr>
        <w:tc>
          <w:tcPr>
            <w:tcW w:w="10031" w:type="dxa"/>
            <w:gridSpan w:val="2"/>
          </w:tcPr>
          <w:p w:rsidR="000A5B9A" w:rsidRPr="00FA548A" w:rsidRDefault="000A5B9A" w:rsidP="000A5B9A">
            <w:pPr>
              <w:pStyle w:val="Source"/>
            </w:pPr>
            <w:bookmarkStart w:id="2" w:name="dsource" w:colFirst="0" w:colLast="0"/>
            <w:r w:rsidRPr="00FA548A">
              <w:rPr>
                <w:rFonts w:eastAsia="SimSun"/>
              </w:rPr>
              <w:t>Propuestas Comunes Europeas</w:t>
            </w:r>
          </w:p>
        </w:tc>
      </w:tr>
      <w:tr w:rsidR="000A5B9A" w:rsidRPr="00FA548A" w:rsidTr="0050008E">
        <w:trPr>
          <w:cantSplit/>
        </w:trPr>
        <w:tc>
          <w:tcPr>
            <w:tcW w:w="10031" w:type="dxa"/>
            <w:gridSpan w:val="2"/>
          </w:tcPr>
          <w:p w:rsidR="000A5B9A" w:rsidRPr="00FA548A" w:rsidRDefault="000A5B9A" w:rsidP="004034F3">
            <w:pPr>
              <w:pStyle w:val="Title1"/>
            </w:pPr>
            <w:bookmarkStart w:id="3" w:name="dtitle1" w:colFirst="0" w:colLast="0"/>
            <w:bookmarkEnd w:id="2"/>
            <w:r w:rsidRPr="00FA548A">
              <w:rPr>
                <w:rFonts w:eastAsia="SimSun"/>
              </w:rPr>
              <w:t>Prop</w:t>
            </w:r>
            <w:r w:rsidR="00FA548A" w:rsidRPr="00FA548A">
              <w:rPr>
                <w:rFonts w:eastAsia="SimSun"/>
              </w:rPr>
              <w:t xml:space="preserve">uestas para los trabajos de la conferencia </w:t>
            </w:r>
          </w:p>
        </w:tc>
      </w:tr>
      <w:tr w:rsidR="000A5B9A" w:rsidRPr="00FA548A" w:rsidTr="0050008E">
        <w:trPr>
          <w:cantSplit/>
        </w:trPr>
        <w:tc>
          <w:tcPr>
            <w:tcW w:w="10031" w:type="dxa"/>
            <w:gridSpan w:val="2"/>
          </w:tcPr>
          <w:p w:rsidR="000A5B9A" w:rsidRPr="00FA548A" w:rsidRDefault="000A5B9A" w:rsidP="004034F3">
            <w:pPr>
              <w:pStyle w:val="Title2"/>
            </w:pPr>
            <w:bookmarkStart w:id="4" w:name="dtitle2" w:colFirst="0" w:colLast="0"/>
            <w:bookmarkEnd w:id="3"/>
          </w:p>
        </w:tc>
      </w:tr>
      <w:tr w:rsidR="000A5B9A" w:rsidRPr="00FA548A" w:rsidTr="0050008E">
        <w:trPr>
          <w:cantSplit/>
        </w:trPr>
        <w:tc>
          <w:tcPr>
            <w:tcW w:w="10031" w:type="dxa"/>
            <w:gridSpan w:val="2"/>
          </w:tcPr>
          <w:p w:rsidR="000A5B9A" w:rsidRPr="00FA548A" w:rsidRDefault="000A5B9A" w:rsidP="004034F3">
            <w:pPr>
              <w:pStyle w:val="Agendaitem"/>
            </w:pPr>
            <w:bookmarkStart w:id="5" w:name="dtitle3" w:colFirst="0" w:colLast="0"/>
            <w:bookmarkEnd w:id="4"/>
            <w:r w:rsidRPr="00FA548A">
              <w:rPr>
                <w:rFonts w:eastAsia="SimSun"/>
              </w:rPr>
              <w:t>Punto 1.1 del orden del día</w:t>
            </w:r>
          </w:p>
        </w:tc>
      </w:tr>
    </w:tbl>
    <w:bookmarkEnd w:id="5"/>
    <w:p w:rsidR="001C0E40" w:rsidRPr="00FA548A" w:rsidRDefault="008A5ADA" w:rsidP="004034F3">
      <w:pPr>
        <w:pStyle w:val="Normalaftertitle"/>
      </w:pPr>
      <w:r w:rsidRPr="00FA548A">
        <w:t>1.1</w:t>
      </w:r>
      <w:r w:rsidRPr="00FA548A">
        <w:tab/>
        <w:t xml:space="preserve">examinar atribuciones adicionales de espectro al servicio móvil a título primario e identificar bandas de frecuencias adicionales para las telecomunicaciones móviles internacionales (IMT) así como las disposiciones transitorias conexas, para facilitar el desarrollo de aplicaciones terrenales móviles de banda ancha, de conformidad con la Resolución </w:t>
      </w:r>
      <w:r w:rsidRPr="00FA548A">
        <w:rPr>
          <w:b/>
          <w:bCs/>
        </w:rPr>
        <w:t>233 (CMR</w:t>
      </w:r>
      <w:r w:rsidRPr="00FA548A">
        <w:rPr>
          <w:b/>
          <w:bCs/>
        </w:rPr>
        <w:noBreakHyphen/>
        <w:t>12)</w:t>
      </w:r>
      <w:r w:rsidRPr="00FA548A">
        <w:t>;</w:t>
      </w:r>
    </w:p>
    <w:p w:rsidR="00F17F41" w:rsidRPr="00FA548A" w:rsidRDefault="00FA548A" w:rsidP="004034F3">
      <w:pPr>
        <w:keepNext/>
        <w:keepLines/>
        <w:spacing w:before="240" w:after="280"/>
        <w:jc w:val="center"/>
        <w:rPr>
          <w:rFonts w:ascii="Times New Roman Bold" w:hAnsi="Times New Roman Bold"/>
          <w:b/>
          <w:sz w:val="28"/>
        </w:rPr>
      </w:pPr>
      <w:bookmarkStart w:id="6" w:name="_Toc174444152"/>
      <w:bookmarkStart w:id="7" w:name="_Toc174444206"/>
      <w:r w:rsidRPr="00FA548A">
        <w:rPr>
          <w:rFonts w:ascii="Times New Roman Bold" w:hAnsi="Times New Roman Bold"/>
          <w:b/>
          <w:sz w:val="28"/>
        </w:rPr>
        <w:t xml:space="preserve">Propuestas Europeas sobre el mantenimiento sin cambios de </w:t>
      </w:r>
      <w:r w:rsidR="00D35DF1">
        <w:rPr>
          <w:rFonts w:ascii="Times New Roman Bold" w:hAnsi="Times New Roman Bold"/>
          <w:b/>
          <w:sz w:val="28"/>
        </w:rPr>
        <w:br/>
      </w:r>
      <w:r w:rsidRPr="00FA548A">
        <w:rPr>
          <w:rFonts w:ascii="Times New Roman Bold" w:hAnsi="Times New Roman Bold"/>
          <w:b/>
          <w:sz w:val="28"/>
        </w:rPr>
        <w:t xml:space="preserve">las atribuciones a los servicios en el Artículo 5 </w:t>
      </w:r>
      <w:bookmarkEnd w:id="6"/>
      <w:bookmarkEnd w:id="7"/>
    </w:p>
    <w:p w:rsidR="00F17F41" w:rsidRPr="00FA548A" w:rsidRDefault="00F17F41" w:rsidP="004034F3">
      <w:pPr>
        <w:keepNext/>
        <w:keepLines/>
        <w:spacing w:before="240"/>
        <w:jc w:val="center"/>
        <w:rPr>
          <w:rFonts w:ascii="Times New Roman Bold" w:hAnsi="Times New Roman Bold"/>
          <w:b/>
          <w:sz w:val="28"/>
        </w:rPr>
      </w:pPr>
      <w:r w:rsidRPr="00FA548A">
        <w:rPr>
          <w:rFonts w:ascii="Times New Roman Bold" w:hAnsi="Times New Roman Bold"/>
          <w:b/>
          <w:sz w:val="28"/>
        </w:rPr>
        <w:t>470-694 MHz</w:t>
      </w:r>
    </w:p>
    <w:p w:rsidR="00F17F41" w:rsidRPr="00FA548A" w:rsidRDefault="00FA548A" w:rsidP="004034F3">
      <w:pPr>
        <w:spacing w:before="160"/>
        <w:rPr>
          <w:rFonts w:ascii="Times New Roman Bold" w:hAnsi="Times New Roman Bold" w:cs="Times New Roman Bold"/>
          <w:b/>
        </w:rPr>
      </w:pPr>
      <w:r w:rsidRPr="00FA548A">
        <w:rPr>
          <w:rFonts w:ascii="Times New Roman Bold" w:hAnsi="Times New Roman Bold" w:cs="Times New Roman Bold"/>
          <w:b/>
        </w:rPr>
        <w:t>Introducción</w:t>
      </w:r>
    </w:p>
    <w:p w:rsidR="00F17F41" w:rsidRPr="00FA548A" w:rsidRDefault="00FA548A" w:rsidP="004034F3">
      <w:r>
        <w:t xml:space="preserve">La gama de frecuencias </w:t>
      </w:r>
      <w:r w:rsidR="00F17F41" w:rsidRPr="00FA548A">
        <w:t xml:space="preserve">470-694 MHz </w:t>
      </w:r>
      <w:r>
        <w:t xml:space="preserve">está atribuida al servicio de radiodifusión a título primario en la Región 1. También hay notas a pie de página con atribuciones adicionales a varios servicios en distintos países, incluidas atribuciones al servicio móvil en algunos de ellos. Más concretamente, con arreglo al número </w:t>
      </w:r>
      <w:r w:rsidR="00F17F41" w:rsidRPr="00FA548A">
        <w:rPr>
          <w:bCs/>
        </w:rPr>
        <w:t>5.312</w:t>
      </w:r>
      <w:r>
        <w:rPr>
          <w:bCs/>
        </w:rPr>
        <w:t xml:space="preserve">, en algunos países de la Región 1 la banda </w:t>
      </w:r>
      <w:r w:rsidR="00F17F41" w:rsidRPr="00FA548A">
        <w:rPr>
          <w:b/>
          <w:bCs/>
        </w:rPr>
        <w:t xml:space="preserve"> </w:t>
      </w:r>
      <w:r w:rsidR="00F17F41" w:rsidRPr="00FA548A">
        <w:t xml:space="preserve">645-694 MHz </w:t>
      </w:r>
      <w:r>
        <w:t xml:space="preserve">está atribuida al servicio de radionavegación aeronáutica a título primario. Dado que la citada atribución está sujeta a las disposiciones del número </w:t>
      </w:r>
      <w:r w:rsidR="00F17F41" w:rsidRPr="00FA548A">
        <w:rPr>
          <w:bCs/>
        </w:rPr>
        <w:t>4.10</w:t>
      </w:r>
      <w:r>
        <w:rPr>
          <w:bCs/>
        </w:rPr>
        <w:t xml:space="preserve">, la coexistencia de sistemas de las IMT con las estaciones del servicio de radionavegación aeronáutica será muy difícil. </w:t>
      </w:r>
      <w:r w:rsidR="00F17F41" w:rsidRPr="00FA548A">
        <w:rPr>
          <w:b/>
        </w:rPr>
        <w:t xml:space="preserve"> </w:t>
      </w:r>
    </w:p>
    <w:p w:rsidR="00F17F41" w:rsidRPr="00FA548A" w:rsidRDefault="00FA548A" w:rsidP="004034F3">
      <w:r>
        <w:t xml:space="preserve">La compartición y compatibilidad entre sistemas de las IMT y el servicio de radiodifusión es muy difícil. Los estudios del </w:t>
      </w:r>
      <w:r w:rsidR="00F17F41" w:rsidRPr="00FA548A">
        <w:t xml:space="preserve">JTG 5-6 </w:t>
      </w:r>
      <w:r>
        <w:t>del UIT-R en el anterior periodo de estudios han mostrado la necesidad de distancias de separación entre las estaciones del servicio de radiodifusión y las de las IMT de unos 300 km o superiores. Estudios recientes efectuados en Europ</w:t>
      </w:r>
      <w:r w:rsidR="00B84595">
        <w:t>a confirman estos resultados.</w:t>
      </w:r>
    </w:p>
    <w:p w:rsidR="00F17F41" w:rsidRPr="00FA548A" w:rsidRDefault="00FA548A" w:rsidP="004034F3">
      <w:r>
        <w:t>Por consiguiente, Europa no apoya una atribución al</w:t>
      </w:r>
      <w:r w:rsidRPr="00FA548A">
        <w:t xml:space="preserve"> servicio móvil </w:t>
      </w:r>
      <w:r>
        <w:t>ni</w:t>
      </w:r>
      <w:r w:rsidRPr="00FA548A">
        <w:t xml:space="preserve"> la identificación para las IMT </w:t>
      </w:r>
      <w:r>
        <w:t>en</w:t>
      </w:r>
      <w:r w:rsidRPr="00FA548A">
        <w:t xml:space="preserve"> esta banda de frecuencias.</w:t>
      </w:r>
      <w:r>
        <w:t xml:space="preserve"> </w:t>
      </w:r>
    </w:p>
    <w:p w:rsidR="00363A65" w:rsidRPr="00FA548A" w:rsidRDefault="00363A65" w:rsidP="004034F3"/>
    <w:p w:rsidR="008750A8" w:rsidRPr="00FA548A" w:rsidRDefault="008750A8" w:rsidP="004034F3">
      <w:pPr>
        <w:tabs>
          <w:tab w:val="clear" w:pos="1134"/>
          <w:tab w:val="clear" w:pos="1871"/>
          <w:tab w:val="clear" w:pos="2268"/>
        </w:tabs>
        <w:overflowPunct/>
        <w:autoSpaceDE/>
        <w:autoSpaceDN/>
        <w:adjustRightInd/>
        <w:spacing w:before="0"/>
        <w:textAlignment w:val="auto"/>
      </w:pPr>
      <w:r w:rsidRPr="00FA548A">
        <w:br w:type="page"/>
      </w:r>
    </w:p>
    <w:p w:rsidR="00F008F3" w:rsidRPr="00FA548A" w:rsidRDefault="008A5ADA" w:rsidP="00A66228">
      <w:pPr>
        <w:pStyle w:val="ArtNo"/>
        <w:spacing w:before="240"/>
      </w:pPr>
      <w:r w:rsidRPr="00FA548A">
        <w:lastRenderedPageBreak/>
        <w:t xml:space="preserve">ARTÍCULO </w:t>
      </w:r>
      <w:r w:rsidRPr="00FA548A">
        <w:rPr>
          <w:rStyle w:val="href"/>
        </w:rPr>
        <w:t>5</w:t>
      </w:r>
    </w:p>
    <w:p w:rsidR="00F008F3" w:rsidRPr="00FA548A" w:rsidRDefault="008A5ADA" w:rsidP="00A66228">
      <w:pPr>
        <w:pStyle w:val="Arttitle"/>
        <w:spacing w:before="120"/>
      </w:pPr>
      <w:r w:rsidRPr="00FA548A">
        <w:t>Atribuciones de frecuencia</w:t>
      </w:r>
    </w:p>
    <w:p w:rsidR="00F008F3" w:rsidRPr="00FA548A" w:rsidRDefault="008A5ADA" w:rsidP="00A66228">
      <w:pPr>
        <w:pStyle w:val="Section1"/>
        <w:spacing w:before="240"/>
      </w:pPr>
      <w:r w:rsidRPr="00FA548A">
        <w:t>Sección IV – Cuadro de atribución de bandas de frecuencias</w:t>
      </w:r>
      <w:r w:rsidRPr="00FA548A">
        <w:br/>
      </w:r>
      <w:r w:rsidRPr="00FA548A">
        <w:rPr>
          <w:b w:val="0"/>
          <w:bCs/>
        </w:rPr>
        <w:t>(Véase el número</w:t>
      </w:r>
      <w:r w:rsidRPr="00FA548A">
        <w:t xml:space="preserve"> </w:t>
      </w:r>
      <w:r w:rsidRPr="00FA548A">
        <w:rPr>
          <w:rStyle w:val="Artref"/>
        </w:rPr>
        <w:t>2.1</w:t>
      </w:r>
      <w:r w:rsidRPr="00FA548A">
        <w:rPr>
          <w:b w:val="0"/>
          <w:bCs/>
        </w:rPr>
        <w:t>)</w:t>
      </w:r>
      <w:r w:rsidRPr="00FA548A">
        <w:br/>
      </w:r>
    </w:p>
    <w:p w:rsidR="006B6E96" w:rsidRPr="00FA548A" w:rsidRDefault="008A5ADA" w:rsidP="00A66228">
      <w:pPr>
        <w:pStyle w:val="Proposal"/>
        <w:spacing w:before="120"/>
      </w:pPr>
      <w:r w:rsidRPr="00FA548A">
        <w:rPr>
          <w:u w:val="single"/>
        </w:rPr>
        <w:t>NOC</w:t>
      </w:r>
      <w:r w:rsidRPr="00FA548A">
        <w:tab/>
        <w:t>EUR/9A1</w:t>
      </w:r>
      <w:r w:rsidR="00F17F41" w:rsidRPr="00FA548A">
        <w:t>A3</w:t>
      </w:r>
      <w:r w:rsidRPr="00FA548A">
        <w:t>/1</w:t>
      </w:r>
    </w:p>
    <w:p w:rsidR="00F008F3" w:rsidRPr="00FA548A" w:rsidRDefault="008A5ADA" w:rsidP="00A66228">
      <w:pPr>
        <w:pStyle w:val="Tabletitle"/>
        <w:spacing w:after="60"/>
      </w:pPr>
      <w:r w:rsidRPr="00FA548A">
        <w:t>460-890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F008F3" w:rsidRPr="00FA548A" w:rsidTr="00B93AF3">
        <w:trPr>
          <w:jc w:val="center"/>
        </w:trPr>
        <w:tc>
          <w:tcPr>
            <w:tcW w:w="9303" w:type="dxa"/>
            <w:gridSpan w:val="3"/>
            <w:tcBorders>
              <w:top w:val="single" w:sz="6" w:space="0" w:color="auto"/>
              <w:left w:val="single" w:sz="6" w:space="0" w:color="auto"/>
              <w:bottom w:val="single" w:sz="6" w:space="0" w:color="auto"/>
              <w:right w:val="single" w:sz="6" w:space="0" w:color="auto"/>
            </w:tcBorders>
          </w:tcPr>
          <w:p w:rsidR="00F008F3" w:rsidRPr="00FA548A" w:rsidRDefault="008A5ADA" w:rsidP="004034F3">
            <w:pPr>
              <w:pStyle w:val="Tablehead"/>
              <w:keepLines/>
            </w:pPr>
            <w:r w:rsidRPr="00FA548A">
              <w:t>Atribución a los servicios</w:t>
            </w:r>
          </w:p>
        </w:tc>
      </w:tr>
      <w:tr w:rsidR="00F008F3" w:rsidRPr="00FA548A" w:rsidTr="00B93AF3">
        <w:trPr>
          <w:jc w:val="center"/>
        </w:trPr>
        <w:tc>
          <w:tcPr>
            <w:tcW w:w="3101" w:type="dxa"/>
            <w:tcBorders>
              <w:top w:val="single" w:sz="6" w:space="0" w:color="auto"/>
              <w:left w:val="single" w:sz="6" w:space="0" w:color="auto"/>
              <w:bottom w:val="single" w:sz="6" w:space="0" w:color="auto"/>
              <w:right w:val="single" w:sz="6" w:space="0" w:color="auto"/>
            </w:tcBorders>
          </w:tcPr>
          <w:p w:rsidR="00F008F3" w:rsidRPr="00FA548A" w:rsidRDefault="008A5ADA" w:rsidP="004034F3">
            <w:pPr>
              <w:pStyle w:val="Tablehead"/>
              <w:keepLines/>
            </w:pPr>
            <w:r w:rsidRPr="00FA548A">
              <w:t>Región 1</w:t>
            </w:r>
          </w:p>
        </w:tc>
        <w:tc>
          <w:tcPr>
            <w:tcW w:w="3101" w:type="dxa"/>
            <w:tcBorders>
              <w:top w:val="single" w:sz="6" w:space="0" w:color="auto"/>
              <w:left w:val="single" w:sz="6" w:space="0" w:color="auto"/>
              <w:bottom w:val="single" w:sz="6" w:space="0" w:color="auto"/>
              <w:right w:val="single" w:sz="6" w:space="0" w:color="auto"/>
            </w:tcBorders>
          </w:tcPr>
          <w:p w:rsidR="00F008F3" w:rsidRPr="00FA548A" w:rsidRDefault="008A5ADA" w:rsidP="004034F3">
            <w:pPr>
              <w:pStyle w:val="Tablehead"/>
              <w:keepLines/>
            </w:pPr>
            <w:r w:rsidRPr="00FA548A">
              <w:t>Región 2</w:t>
            </w:r>
          </w:p>
        </w:tc>
        <w:tc>
          <w:tcPr>
            <w:tcW w:w="3101" w:type="dxa"/>
            <w:tcBorders>
              <w:top w:val="single" w:sz="6" w:space="0" w:color="auto"/>
              <w:left w:val="single" w:sz="6" w:space="0" w:color="auto"/>
              <w:bottom w:val="single" w:sz="6" w:space="0" w:color="auto"/>
              <w:right w:val="single" w:sz="6" w:space="0" w:color="auto"/>
            </w:tcBorders>
          </w:tcPr>
          <w:p w:rsidR="00F008F3" w:rsidRPr="00FA548A" w:rsidRDefault="008A5ADA" w:rsidP="004034F3">
            <w:pPr>
              <w:pStyle w:val="Tablehead"/>
              <w:keepLines/>
            </w:pPr>
            <w:r w:rsidRPr="00FA548A">
              <w:t>Región 3</w:t>
            </w:r>
          </w:p>
        </w:tc>
      </w:tr>
      <w:tr w:rsidR="00F008F3" w:rsidRPr="00FA548A" w:rsidTr="00B93AF3">
        <w:trPr>
          <w:trHeight w:val="1153"/>
          <w:jc w:val="center"/>
        </w:trPr>
        <w:tc>
          <w:tcPr>
            <w:tcW w:w="3101" w:type="dxa"/>
            <w:vMerge w:val="restart"/>
            <w:tcBorders>
              <w:top w:val="single" w:sz="6" w:space="0" w:color="auto"/>
              <w:left w:val="single" w:sz="6" w:space="0" w:color="auto"/>
              <w:right w:val="single" w:sz="6" w:space="0" w:color="auto"/>
            </w:tcBorders>
          </w:tcPr>
          <w:p w:rsidR="00F008F3" w:rsidRPr="00FA548A" w:rsidRDefault="008A5ADA" w:rsidP="004034F3">
            <w:pPr>
              <w:pStyle w:val="TableTextS5"/>
              <w:spacing w:before="20" w:after="20"/>
              <w:rPr>
                <w:rStyle w:val="Tablefreq"/>
              </w:rPr>
            </w:pPr>
            <w:r w:rsidRPr="00FA548A">
              <w:rPr>
                <w:rStyle w:val="Tablefreq"/>
              </w:rPr>
              <w:t>470-790</w:t>
            </w:r>
          </w:p>
          <w:p w:rsidR="00F008F3" w:rsidRPr="00FA548A" w:rsidRDefault="008A5ADA" w:rsidP="004034F3">
            <w:pPr>
              <w:pStyle w:val="TableTextS5"/>
              <w:spacing w:before="20" w:after="20"/>
              <w:rPr>
                <w:color w:val="000000"/>
              </w:rPr>
            </w:pPr>
            <w:r w:rsidRPr="00FA548A">
              <w:rPr>
                <w:color w:val="000000"/>
              </w:rPr>
              <w:t>RADIODIFUSIÓN</w:t>
            </w:r>
          </w:p>
          <w:p w:rsidR="00F008F3" w:rsidRPr="00FA548A" w:rsidRDefault="00B84595" w:rsidP="004034F3">
            <w:pPr>
              <w:pStyle w:val="TableTextS5"/>
              <w:spacing w:before="20" w:after="20"/>
              <w:rPr>
                <w:color w:val="000000"/>
              </w:rPr>
            </w:pPr>
          </w:p>
          <w:p w:rsidR="00F008F3" w:rsidRPr="00FA548A" w:rsidRDefault="00B84595" w:rsidP="004034F3">
            <w:pPr>
              <w:pStyle w:val="TableTextS5"/>
              <w:spacing w:before="20" w:after="20"/>
              <w:rPr>
                <w:color w:val="000000"/>
              </w:rPr>
            </w:pPr>
          </w:p>
          <w:p w:rsidR="00F008F3" w:rsidRPr="00FA548A" w:rsidRDefault="00B84595" w:rsidP="004034F3">
            <w:pPr>
              <w:pStyle w:val="TableTextS5"/>
              <w:spacing w:before="20" w:after="20"/>
              <w:rPr>
                <w:color w:val="000000"/>
              </w:rPr>
            </w:pPr>
          </w:p>
          <w:p w:rsidR="00F008F3" w:rsidRPr="00FA548A" w:rsidRDefault="00B84595" w:rsidP="004034F3">
            <w:pPr>
              <w:pStyle w:val="TableTextS5"/>
              <w:spacing w:before="20" w:after="20"/>
              <w:rPr>
                <w:color w:val="000000"/>
              </w:rPr>
            </w:pPr>
          </w:p>
          <w:p w:rsidR="00F008F3" w:rsidRPr="00FA548A" w:rsidRDefault="00B84595" w:rsidP="004034F3">
            <w:pPr>
              <w:pStyle w:val="TableTextS5"/>
              <w:spacing w:before="20" w:after="20"/>
              <w:rPr>
                <w:color w:val="000000"/>
              </w:rPr>
            </w:pPr>
          </w:p>
          <w:p w:rsidR="00F008F3" w:rsidRPr="00FA548A" w:rsidRDefault="00B84595" w:rsidP="004034F3">
            <w:pPr>
              <w:pStyle w:val="TableTextS5"/>
              <w:spacing w:before="20" w:after="20"/>
              <w:rPr>
                <w:color w:val="000000"/>
              </w:rPr>
            </w:pPr>
          </w:p>
          <w:p w:rsidR="00F008F3" w:rsidRPr="00FA548A" w:rsidRDefault="00B84595" w:rsidP="004034F3">
            <w:pPr>
              <w:pStyle w:val="TableTextS5"/>
              <w:spacing w:before="20" w:after="20"/>
              <w:rPr>
                <w:color w:val="000000"/>
              </w:rPr>
            </w:pPr>
          </w:p>
          <w:p w:rsidR="00F008F3" w:rsidRPr="00FA548A" w:rsidRDefault="00B84595" w:rsidP="004034F3">
            <w:pPr>
              <w:pStyle w:val="TableTextS5"/>
              <w:spacing w:before="20" w:after="20"/>
              <w:rPr>
                <w:color w:val="000000"/>
              </w:rPr>
            </w:pPr>
          </w:p>
          <w:p w:rsidR="00F008F3" w:rsidRPr="00FA548A" w:rsidRDefault="00B84595" w:rsidP="004034F3">
            <w:pPr>
              <w:pStyle w:val="TableTextS5"/>
              <w:spacing w:before="20" w:after="20"/>
              <w:rPr>
                <w:color w:val="000000"/>
              </w:rPr>
            </w:pPr>
          </w:p>
          <w:p w:rsidR="00F008F3" w:rsidRPr="00FA548A" w:rsidRDefault="00B84595" w:rsidP="004034F3">
            <w:pPr>
              <w:pStyle w:val="TableTextS5"/>
              <w:spacing w:before="20" w:after="20"/>
              <w:rPr>
                <w:color w:val="000000"/>
              </w:rPr>
            </w:pPr>
          </w:p>
          <w:p w:rsidR="00F008F3" w:rsidRPr="00FA548A" w:rsidRDefault="00B84595" w:rsidP="004034F3">
            <w:pPr>
              <w:pStyle w:val="TableTextS5"/>
              <w:spacing w:before="20" w:after="20"/>
              <w:rPr>
                <w:color w:val="000000"/>
              </w:rPr>
            </w:pPr>
          </w:p>
          <w:p w:rsidR="00F008F3" w:rsidRPr="00FA548A" w:rsidRDefault="00B84595" w:rsidP="004034F3">
            <w:pPr>
              <w:pStyle w:val="TableTextS5"/>
              <w:spacing w:before="20" w:after="20"/>
              <w:rPr>
                <w:color w:val="000000"/>
              </w:rPr>
            </w:pPr>
          </w:p>
          <w:p w:rsidR="00F008F3" w:rsidRPr="00FA548A" w:rsidRDefault="00B84595" w:rsidP="004034F3">
            <w:pPr>
              <w:pStyle w:val="TableTextS5"/>
              <w:spacing w:before="20" w:after="20"/>
              <w:rPr>
                <w:color w:val="000000"/>
              </w:rPr>
            </w:pPr>
          </w:p>
          <w:p w:rsidR="00F008F3" w:rsidRPr="00FA548A" w:rsidRDefault="00B84595" w:rsidP="004034F3">
            <w:pPr>
              <w:pStyle w:val="TableTextS5"/>
              <w:spacing w:before="20" w:after="20"/>
              <w:rPr>
                <w:color w:val="000000"/>
              </w:rPr>
            </w:pPr>
          </w:p>
          <w:p w:rsidR="00F008F3" w:rsidRPr="00FA548A" w:rsidRDefault="00B84595" w:rsidP="004034F3">
            <w:pPr>
              <w:pStyle w:val="TableTextS5"/>
              <w:spacing w:before="20" w:after="20"/>
              <w:rPr>
                <w:color w:val="000000"/>
              </w:rPr>
            </w:pPr>
          </w:p>
          <w:p w:rsidR="00F008F3" w:rsidRPr="00FA548A" w:rsidRDefault="00B84595" w:rsidP="004034F3">
            <w:pPr>
              <w:pStyle w:val="TableTextS5"/>
              <w:spacing w:before="20" w:after="20"/>
              <w:rPr>
                <w:color w:val="000000"/>
              </w:rPr>
            </w:pPr>
          </w:p>
          <w:p w:rsidR="00F008F3" w:rsidRPr="00FA548A" w:rsidRDefault="00B84595" w:rsidP="004034F3">
            <w:pPr>
              <w:pStyle w:val="TableTextS5"/>
              <w:spacing w:before="20" w:after="20"/>
              <w:rPr>
                <w:color w:val="000000"/>
              </w:rPr>
            </w:pPr>
          </w:p>
          <w:p w:rsidR="00F008F3" w:rsidRPr="00FA548A" w:rsidRDefault="00B84595" w:rsidP="004034F3">
            <w:pPr>
              <w:pStyle w:val="TableTextS5"/>
              <w:spacing w:before="20" w:after="20"/>
              <w:rPr>
                <w:color w:val="000000"/>
              </w:rPr>
            </w:pPr>
          </w:p>
          <w:p w:rsidR="00F008F3" w:rsidRPr="00FA548A" w:rsidRDefault="008A5ADA" w:rsidP="004034F3">
            <w:pPr>
              <w:pStyle w:val="TableTextS5"/>
            </w:pPr>
            <w:r w:rsidRPr="00FA548A">
              <w:rPr>
                <w:rStyle w:val="Artref10pt"/>
              </w:rPr>
              <w:t>5.149</w:t>
            </w:r>
            <w:r w:rsidRPr="00FA548A">
              <w:t xml:space="preserve">  </w:t>
            </w:r>
            <w:r w:rsidRPr="00FA548A">
              <w:rPr>
                <w:rStyle w:val="Artref10pt"/>
              </w:rPr>
              <w:t>5.291A</w:t>
            </w:r>
            <w:r w:rsidRPr="00FA548A">
              <w:t xml:space="preserve">  </w:t>
            </w:r>
            <w:r w:rsidRPr="00FA548A">
              <w:rPr>
                <w:rStyle w:val="Artref10pt"/>
              </w:rPr>
              <w:t>5.294</w:t>
            </w:r>
            <w:r w:rsidRPr="00FA548A">
              <w:t xml:space="preserve">  </w:t>
            </w:r>
            <w:r w:rsidRPr="00FA548A">
              <w:rPr>
                <w:rStyle w:val="Artref10pt"/>
              </w:rPr>
              <w:t>5.296  5.300</w:t>
            </w:r>
            <w:r w:rsidRPr="00FA548A">
              <w:t xml:space="preserve">  </w:t>
            </w:r>
            <w:r w:rsidRPr="00FA548A">
              <w:rPr>
                <w:rStyle w:val="Artref10pt"/>
              </w:rPr>
              <w:t>5.304</w:t>
            </w:r>
            <w:r w:rsidRPr="00FA548A">
              <w:t xml:space="preserve">  </w:t>
            </w:r>
            <w:r w:rsidRPr="00FA548A">
              <w:rPr>
                <w:rStyle w:val="Artref10pt"/>
              </w:rPr>
              <w:t>5.306</w:t>
            </w:r>
            <w:r w:rsidRPr="00FA548A">
              <w:t xml:space="preserve"> </w:t>
            </w:r>
            <w:r w:rsidRPr="00FA548A">
              <w:rPr>
                <w:rStyle w:val="Artref10pt"/>
              </w:rPr>
              <w:t xml:space="preserve"> 5.311A</w:t>
            </w:r>
            <w:r w:rsidRPr="00FA548A">
              <w:t xml:space="preserve">  </w:t>
            </w:r>
            <w:r w:rsidRPr="00FA548A">
              <w:rPr>
                <w:rStyle w:val="Artref10pt"/>
              </w:rPr>
              <w:t>5.312  5.312A</w:t>
            </w:r>
          </w:p>
        </w:tc>
        <w:tc>
          <w:tcPr>
            <w:tcW w:w="3101" w:type="dxa"/>
            <w:tcBorders>
              <w:top w:val="single" w:sz="6" w:space="0" w:color="auto"/>
              <w:left w:val="single" w:sz="6" w:space="0" w:color="auto"/>
              <w:bottom w:val="single" w:sz="4" w:space="0" w:color="auto"/>
              <w:right w:val="single" w:sz="6" w:space="0" w:color="auto"/>
            </w:tcBorders>
          </w:tcPr>
          <w:p w:rsidR="00F008F3" w:rsidRPr="00FA548A" w:rsidRDefault="008A5ADA" w:rsidP="004034F3">
            <w:pPr>
              <w:pStyle w:val="TableTextS5"/>
              <w:spacing w:before="20" w:after="20"/>
              <w:rPr>
                <w:rStyle w:val="Tablefreq"/>
              </w:rPr>
            </w:pPr>
            <w:r w:rsidRPr="00FA548A">
              <w:rPr>
                <w:rStyle w:val="Tablefreq"/>
              </w:rPr>
              <w:t>470-512</w:t>
            </w:r>
          </w:p>
          <w:p w:rsidR="00F008F3" w:rsidRPr="00FA548A" w:rsidRDefault="008A5ADA" w:rsidP="004034F3">
            <w:pPr>
              <w:pStyle w:val="TableTextS5"/>
              <w:spacing w:before="20" w:after="20"/>
              <w:rPr>
                <w:color w:val="000000"/>
              </w:rPr>
            </w:pPr>
            <w:r w:rsidRPr="00FA548A">
              <w:rPr>
                <w:color w:val="000000"/>
              </w:rPr>
              <w:t>RADIODIFUSIÓN</w:t>
            </w:r>
          </w:p>
          <w:p w:rsidR="00F008F3" w:rsidRPr="00FA548A" w:rsidRDefault="008A5ADA" w:rsidP="004034F3">
            <w:pPr>
              <w:pStyle w:val="TableTextS5"/>
              <w:spacing w:before="20" w:after="20"/>
              <w:rPr>
                <w:color w:val="000000"/>
              </w:rPr>
            </w:pPr>
            <w:r w:rsidRPr="00FA548A">
              <w:rPr>
                <w:color w:val="000000"/>
              </w:rPr>
              <w:t>Fijo</w:t>
            </w:r>
          </w:p>
          <w:p w:rsidR="00F008F3" w:rsidRPr="00FA548A" w:rsidRDefault="008A5ADA" w:rsidP="004034F3">
            <w:pPr>
              <w:pStyle w:val="TableTextS5"/>
              <w:spacing w:before="20" w:after="20"/>
              <w:rPr>
                <w:color w:val="000000"/>
              </w:rPr>
            </w:pPr>
            <w:r w:rsidRPr="00FA548A">
              <w:rPr>
                <w:color w:val="000000"/>
              </w:rPr>
              <w:t>Móvil</w:t>
            </w:r>
          </w:p>
          <w:p w:rsidR="00F008F3" w:rsidRPr="00FA548A" w:rsidRDefault="008A5ADA" w:rsidP="004034F3">
            <w:pPr>
              <w:pStyle w:val="TableTextS5"/>
              <w:spacing w:before="20" w:after="20"/>
            </w:pPr>
            <w:r w:rsidRPr="00FA548A">
              <w:rPr>
                <w:rStyle w:val="Artref10pt"/>
              </w:rPr>
              <w:t>5.292</w:t>
            </w:r>
            <w:r w:rsidRPr="00FA548A">
              <w:rPr>
                <w:color w:val="000000"/>
              </w:rPr>
              <w:t xml:space="preserve">  </w:t>
            </w:r>
            <w:r w:rsidRPr="00FA548A">
              <w:rPr>
                <w:rStyle w:val="Artref10pt"/>
              </w:rPr>
              <w:t>5.293</w:t>
            </w:r>
          </w:p>
        </w:tc>
        <w:tc>
          <w:tcPr>
            <w:tcW w:w="3101" w:type="dxa"/>
            <w:vMerge w:val="restart"/>
            <w:tcBorders>
              <w:top w:val="single" w:sz="6" w:space="0" w:color="auto"/>
              <w:left w:val="single" w:sz="6" w:space="0" w:color="auto"/>
              <w:right w:val="single" w:sz="6" w:space="0" w:color="auto"/>
            </w:tcBorders>
          </w:tcPr>
          <w:p w:rsidR="00F008F3" w:rsidRPr="00FA548A" w:rsidRDefault="008A5ADA" w:rsidP="004034F3">
            <w:pPr>
              <w:pStyle w:val="TableTextS5"/>
              <w:spacing w:before="20" w:after="20"/>
              <w:rPr>
                <w:rStyle w:val="Tablefreq"/>
              </w:rPr>
            </w:pPr>
            <w:r w:rsidRPr="00FA548A">
              <w:rPr>
                <w:rStyle w:val="Tablefreq"/>
              </w:rPr>
              <w:t>470-585</w:t>
            </w:r>
          </w:p>
          <w:p w:rsidR="00F008F3" w:rsidRPr="00FA548A" w:rsidRDefault="008A5ADA" w:rsidP="004034F3">
            <w:pPr>
              <w:pStyle w:val="TableTextS5"/>
              <w:spacing w:before="20" w:after="20"/>
              <w:rPr>
                <w:color w:val="000000"/>
              </w:rPr>
            </w:pPr>
            <w:r w:rsidRPr="00FA548A">
              <w:rPr>
                <w:color w:val="000000"/>
              </w:rPr>
              <w:t>FIJO</w:t>
            </w:r>
          </w:p>
          <w:p w:rsidR="00F008F3" w:rsidRPr="00FA548A" w:rsidRDefault="008A5ADA" w:rsidP="004034F3">
            <w:pPr>
              <w:pStyle w:val="TableTextS5"/>
              <w:spacing w:before="20" w:after="20"/>
              <w:rPr>
                <w:color w:val="000000"/>
              </w:rPr>
            </w:pPr>
            <w:r w:rsidRPr="00FA548A">
              <w:rPr>
                <w:color w:val="000000"/>
              </w:rPr>
              <w:t>MÓVIL</w:t>
            </w:r>
          </w:p>
          <w:p w:rsidR="00F008F3" w:rsidRPr="00FA548A" w:rsidRDefault="008A5ADA" w:rsidP="004034F3">
            <w:pPr>
              <w:pStyle w:val="TableTextS5"/>
              <w:spacing w:before="20" w:after="20"/>
              <w:rPr>
                <w:color w:val="000000"/>
              </w:rPr>
            </w:pPr>
            <w:r w:rsidRPr="00FA548A">
              <w:rPr>
                <w:color w:val="000000"/>
              </w:rPr>
              <w:t>RADIODIFUSIÓN</w:t>
            </w:r>
          </w:p>
          <w:p w:rsidR="00F008F3" w:rsidRPr="00FA548A" w:rsidRDefault="00B84595" w:rsidP="004034F3">
            <w:pPr>
              <w:pStyle w:val="TableTextS5"/>
              <w:spacing w:before="20" w:after="20"/>
              <w:rPr>
                <w:color w:val="000000"/>
              </w:rPr>
            </w:pPr>
          </w:p>
          <w:p w:rsidR="00F008F3" w:rsidRPr="00FA548A" w:rsidRDefault="008A5ADA" w:rsidP="004034F3">
            <w:pPr>
              <w:pStyle w:val="TableTextS5"/>
              <w:spacing w:before="20" w:after="20"/>
            </w:pPr>
            <w:r w:rsidRPr="00FA548A">
              <w:rPr>
                <w:rStyle w:val="Artref10pt"/>
              </w:rPr>
              <w:t>5.291</w:t>
            </w:r>
            <w:r w:rsidRPr="00FA548A">
              <w:rPr>
                <w:color w:val="000000"/>
              </w:rPr>
              <w:t xml:space="preserve">  </w:t>
            </w:r>
            <w:r w:rsidRPr="00FA548A">
              <w:rPr>
                <w:rStyle w:val="Artref10pt"/>
              </w:rPr>
              <w:t>5.298</w:t>
            </w:r>
          </w:p>
        </w:tc>
      </w:tr>
      <w:tr w:rsidR="00F008F3" w:rsidRPr="00FA548A" w:rsidTr="00B93AF3">
        <w:trPr>
          <w:trHeight w:val="270"/>
          <w:jc w:val="center"/>
        </w:trPr>
        <w:tc>
          <w:tcPr>
            <w:tcW w:w="3101" w:type="dxa"/>
            <w:vMerge/>
            <w:tcBorders>
              <w:left w:val="single" w:sz="6" w:space="0" w:color="auto"/>
              <w:right w:val="single" w:sz="6" w:space="0" w:color="auto"/>
            </w:tcBorders>
          </w:tcPr>
          <w:p w:rsidR="00F008F3" w:rsidRPr="00FA548A" w:rsidRDefault="00B84595" w:rsidP="004034F3">
            <w:pPr>
              <w:pStyle w:val="TableTextS5"/>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F008F3" w:rsidRPr="00FA548A" w:rsidRDefault="008A5ADA" w:rsidP="004034F3">
            <w:pPr>
              <w:pStyle w:val="TableTextS5"/>
              <w:spacing w:before="20" w:after="20"/>
              <w:rPr>
                <w:rStyle w:val="Tablefreq"/>
              </w:rPr>
            </w:pPr>
            <w:r w:rsidRPr="00FA548A">
              <w:rPr>
                <w:rStyle w:val="Tablefreq"/>
              </w:rPr>
              <w:t>512-608</w:t>
            </w:r>
          </w:p>
          <w:p w:rsidR="00F008F3" w:rsidRPr="00FA548A" w:rsidRDefault="008A5ADA" w:rsidP="004034F3">
            <w:pPr>
              <w:pStyle w:val="TableTextS5"/>
              <w:spacing w:before="20" w:after="20"/>
              <w:rPr>
                <w:color w:val="000000"/>
              </w:rPr>
            </w:pPr>
            <w:r w:rsidRPr="00FA548A">
              <w:rPr>
                <w:color w:val="000000"/>
              </w:rPr>
              <w:t>RADIODIFUSIÓN</w:t>
            </w:r>
          </w:p>
          <w:p w:rsidR="00F008F3" w:rsidRPr="00FA548A" w:rsidRDefault="008A5ADA" w:rsidP="004034F3">
            <w:pPr>
              <w:pStyle w:val="TableTextS5"/>
              <w:spacing w:before="20" w:after="20"/>
              <w:rPr>
                <w:rStyle w:val="Artref10pt"/>
              </w:rPr>
            </w:pPr>
            <w:r w:rsidRPr="00FA548A">
              <w:rPr>
                <w:rStyle w:val="Artref10pt"/>
              </w:rPr>
              <w:t>5.297</w:t>
            </w:r>
          </w:p>
        </w:tc>
        <w:tc>
          <w:tcPr>
            <w:tcW w:w="3101" w:type="dxa"/>
            <w:vMerge/>
            <w:tcBorders>
              <w:left w:val="single" w:sz="6" w:space="0" w:color="auto"/>
              <w:bottom w:val="single" w:sz="4" w:space="0" w:color="auto"/>
              <w:right w:val="single" w:sz="6" w:space="0" w:color="auto"/>
            </w:tcBorders>
          </w:tcPr>
          <w:p w:rsidR="00F008F3" w:rsidRPr="00FA548A" w:rsidRDefault="00B84595" w:rsidP="004034F3">
            <w:pPr>
              <w:pStyle w:val="TableTextS5"/>
            </w:pPr>
          </w:p>
        </w:tc>
      </w:tr>
      <w:tr w:rsidR="00F008F3" w:rsidRPr="00FA548A" w:rsidTr="00B93AF3">
        <w:trPr>
          <w:trHeight w:val="408"/>
          <w:jc w:val="center"/>
        </w:trPr>
        <w:tc>
          <w:tcPr>
            <w:tcW w:w="3101" w:type="dxa"/>
            <w:vMerge/>
            <w:tcBorders>
              <w:left w:val="single" w:sz="6" w:space="0" w:color="auto"/>
              <w:right w:val="single" w:sz="6" w:space="0" w:color="auto"/>
            </w:tcBorders>
          </w:tcPr>
          <w:p w:rsidR="00F008F3" w:rsidRPr="00FA548A" w:rsidRDefault="00B84595" w:rsidP="004034F3">
            <w:pPr>
              <w:pStyle w:val="TableTextS5"/>
              <w:spacing w:before="20" w:after="20"/>
              <w:rPr>
                <w:rStyle w:val="Tablefreq"/>
                <w:color w:val="000000"/>
              </w:rPr>
            </w:pPr>
          </w:p>
        </w:tc>
        <w:tc>
          <w:tcPr>
            <w:tcW w:w="3101" w:type="dxa"/>
            <w:vMerge/>
            <w:tcBorders>
              <w:left w:val="single" w:sz="6" w:space="0" w:color="auto"/>
              <w:bottom w:val="single" w:sz="4" w:space="0" w:color="auto"/>
              <w:right w:val="single" w:sz="6" w:space="0" w:color="auto"/>
            </w:tcBorders>
          </w:tcPr>
          <w:p w:rsidR="00F008F3" w:rsidRPr="00FA548A" w:rsidRDefault="00B84595" w:rsidP="004034F3">
            <w:pPr>
              <w:pStyle w:val="TableTextS5"/>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F008F3" w:rsidRPr="00FA548A" w:rsidRDefault="008A5ADA" w:rsidP="004034F3">
            <w:pPr>
              <w:pStyle w:val="TableTextS5"/>
              <w:spacing w:before="20" w:after="20"/>
              <w:rPr>
                <w:rStyle w:val="Tablefreq"/>
              </w:rPr>
            </w:pPr>
            <w:r w:rsidRPr="00FA548A">
              <w:rPr>
                <w:rStyle w:val="Tablefreq"/>
              </w:rPr>
              <w:t>585-610</w:t>
            </w:r>
          </w:p>
          <w:p w:rsidR="00F008F3" w:rsidRPr="00FA548A" w:rsidRDefault="008A5ADA" w:rsidP="004034F3">
            <w:pPr>
              <w:pStyle w:val="TableTextS5"/>
              <w:spacing w:before="20" w:after="20"/>
              <w:rPr>
                <w:color w:val="000000"/>
              </w:rPr>
            </w:pPr>
            <w:r w:rsidRPr="00FA548A">
              <w:rPr>
                <w:color w:val="000000"/>
              </w:rPr>
              <w:t>FIJO</w:t>
            </w:r>
          </w:p>
          <w:p w:rsidR="00F008F3" w:rsidRPr="00FA548A" w:rsidRDefault="008A5ADA" w:rsidP="004034F3">
            <w:pPr>
              <w:pStyle w:val="TableTextS5"/>
              <w:spacing w:before="20" w:after="20"/>
              <w:rPr>
                <w:color w:val="000000"/>
              </w:rPr>
            </w:pPr>
            <w:r w:rsidRPr="00FA548A">
              <w:rPr>
                <w:color w:val="000000"/>
              </w:rPr>
              <w:t>MÓVIL</w:t>
            </w:r>
          </w:p>
          <w:p w:rsidR="00F008F3" w:rsidRPr="00FA548A" w:rsidRDefault="008A5ADA" w:rsidP="004034F3">
            <w:pPr>
              <w:pStyle w:val="TableTextS5"/>
              <w:spacing w:before="20" w:after="20"/>
              <w:rPr>
                <w:color w:val="000000"/>
              </w:rPr>
            </w:pPr>
            <w:r w:rsidRPr="00FA548A">
              <w:rPr>
                <w:color w:val="000000"/>
              </w:rPr>
              <w:t>RADIODIFUSIÓN</w:t>
            </w:r>
          </w:p>
          <w:p w:rsidR="00F008F3" w:rsidRPr="00FA548A" w:rsidRDefault="008A5ADA" w:rsidP="004034F3">
            <w:pPr>
              <w:pStyle w:val="TableTextS5"/>
              <w:spacing w:before="20" w:after="20"/>
              <w:rPr>
                <w:color w:val="000000"/>
              </w:rPr>
            </w:pPr>
            <w:r w:rsidRPr="00FA548A">
              <w:rPr>
                <w:color w:val="000000"/>
              </w:rPr>
              <w:t>RADIONAVEGACIÓN</w:t>
            </w:r>
          </w:p>
          <w:p w:rsidR="00F008F3" w:rsidRPr="00FA548A" w:rsidRDefault="008A5ADA" w:rsidP="004034F3">
            <w:pPr>
              <w:pStyle w:val="TableTextS5"/>
              <w:spacing w:before="20" w:after="20"/>
            </w:pPr>
            <w:r w:rsidRPr="00FA548A">
              <w:rPr>
                <w:rStyle w:val="Artref10pt"/>
              </w:rPr>
              <w:t>5.149</w:t>
            </w:r>
            <w:r w:rsidRPr="00FA548A">
              <w:rPr>
                <w:color w:val="000000"/>
              </w:rPr>
              <w:t xml:space="preserve">  </w:t>
            </w:r>
            <w:r w:rsidRPr="00FA548A">
              <w:rPr>
                <w:rStyle w:val="Artref10pt"/>
              </w:rPr>
              <w:t>5.305</w:t>
            </w:r>
            <w:r w:rsidRPr="00FA548A">
              <w:rPr>
                <w:color w:val="000000"/>
              </w:rPr>
              <w:t xml:space="preserve">  </w:t>
            </w:r>
            <w:r w:rsidRPr="00FA548A">
              <w:rPr>
                <w:rStyle w:val="Artref10pt"/>
              </w:rPr>
              <w:t>5.306</w:t>
            </w:r>
            <w:r w:rsidRPr="00FA548A">
              <w:rPr>
                <w:color w:val="000000"/>
              </w:rPr>
              <w:t xml:space="preserve">  </w:t>
            </w:r>
            <w:r w:rsidRPr="00FA548A">
              <w:rPr>
                <w:rStyle w:val="Artref10pt"/>
              </w:rPr>
              <w:t>5.307</w:t>
            </w:r>
          </w:p>
        </w:tc>
      </w:tr>
      <w:tr w:rsidR="00F008F3" w:rsidRPr="00FA548A" w:rsidTr="00B93AF3">
        <w:trPr>
          <w:trHeight w:val="270"/>
          <w:jc w:val="center"/>
        </w:trPr>
        <w:tc>
          <w:tcPr>
            <w:tcW w:w="3101" w:type="dxa"/>
            <w:vMerge/>
            <w:tcBorders>
              <w:left w:val="single" w:sz="6" w:space="0" w:color="auto"/>
              <w:right w:val="single" w:sz="6" w:space="0" w:color="auto"/>
            </w:tcBorders>
          </w:tcPr>
          <w:p w:rsidR="00F008F3" w:rsidRPr="00FA548A" w:rsidRDefault="00B84595" w:rsidP="004034F3">
            <w:pPr>
              <w:pStyle w:val="TableTextS5"/>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F008F3" w:rsidRPr="00FA548A" w:rsidRDefault="008A5ADA" w:rsidP="004034F3">
            <w:pPr>
              <w:pStyle w:val="TableTextS5"/>
              <w:spacing w:before="20" w:after="20"/>
              <w:rPr>
                <w:rStyle w:val="Tablefreq"/>
              </w:rPr>
            </w:pPr>
            <w:r w:rsidRPr="00FA548A">
              <w:rPr>
                <w:rStyle w:val="Tablefreq"/>
              </w:rPr>
              <w:t>608-614</w:t>
            </w:r>
          </w:p>
          <w:p w:rsidR="00F008F3" w:rsidRPr="00FA548A" w:rsidRDefault="008A5ADA" w:rsidP="004034F3">
            <w:pPr>
              <w:pStyle w:val="TableTextS5"/>
              <w:spacing w:before="20" w:after="20"/>
              <w:rPr>
                <w:color w:val="000000"/>
              </w:rPr>
            </w:pPr>
            <w:r w:rsidRPr="00FA548A">
              <w:rPr>
                <w:color w:val="000000"/>
              </w:rPr>
              <w:t>RADIOASTRONOMÍA</w:t>
            </w:r>
          </w:p>
          <w:p w:rsidR="00F008F3" w:rsidRPr="00FA548A" w:rsidRDefault="008A5ADA" w:rsidP="004034F3">
            <w:pPr>
              <w:pStyle w:val="TableTextS5"/>
              <w:spacing w:before="20" w:after="20"/>
              <w:ind w:left="170" w:hanging="170"/>
              <w:rPr>
                <w:rStyle w:val="Tablefreq"/>
                <w:color w:val="000000"/>
              </w:rPr>
            </w:pPr>
            <w:r w:rsidRPr="00FA548A">
              <w:rPr>
                <w:color w:val="000000"/>
              </w:rPr>
              <w:t>Móvil por satélite salvo móvil</w:t>
            </w:r>
            <w:r w:rsidRPr="00FA548A">
              <w:rPr>
                <w:color w:val="000000"/>
              </w:rPr>
              <w:br/>
              <w:t>aeronáutico por satélite</w:t>
            </w:r>
            <w:r w:rsidRPr="00FA548A">
              <w:rPr>
                <w:color w:val="000000"/>
              </w:rPr>
              <w:br/>
              <w:t>(Tierra-espacio)</w:t>
            </w:r>
          </w:p>
        </w:tc>
        <w:tc>
          <w:tcPr>
            <w:tcW w:w="3101" w:type="dxa"/>
            <w:vMerge/>
            <w:tcBorders>
              <w:left w:val="single" w:sz="6" w:space="0" w:color="auto"/>
              <w:bottom w:val="single" w:sz="4" w:space="0" w:color="auto"/>
              <w:right w:val="single" w:sz="6" w:space="0" w:color="auto"/>
            </w:tcBorders>
          </w:tcPr>
          <w:p w:rsidR="00F008F3" w:rsidRPr="00FA548A" w:rsidRDefault="00B84595" w:rsidP="004034F3">
            <w:pPr>
              <w:pStyle w:val="TableTextS5"/>
            </w:pPr>
          </w:p>
        </w:tc>
      </w:tr>
      <w:tr w:rsidR="00F008F3" w:rsidRPr="00FA548A" w:rsidTr="00B93AF3">
        <w:trPr>
          <w:trHeight w:val="270"/>
          <w:jc w:val="center"/>
        </w:trPr>
        <w:tc>
          <w:tcPr>
            <w:tcW w:w="3101" w:type="dxa"/>
            <w:vMerge/>
            <w:tcBorders>
              <w:left w:val="single" w:sz="6" w:space="0" w:color="auto"/>
              <w:right w:val="single" w:sz="6" w:space="0" w:color="auto"/>
            </w:tcBorders>
          </w:tcPr>
          <w:p w:rsidR="00F008F3" w:rsidRPr="00FA548A" w:rsidRDefault="00B84595" w:rsidP="004034F3">
            <w:pPr>
              <w:pStyle w:val="TableTextS5"/>
              <w:spacing w:before="20" w:after="20"/>
              <w:rPr>
                <w:rStyle w:val="Tablefreq"/>
                <w:color w:val="000000"/>
              </w:rPr>
            </w:pPr>
          </w:p>
        </w:tc>
        <w:tc>
          <w:tcPr>
            <w:tcW w:w="3101" w:type="dxa"/>
            <w:vMerge/>
            <w:tcBorders>
              <w:left w:val="single" w:sz="6" w:space="0" w:color="auto"/>
              <w:bottom w:val="single" w:sz="4" w:space="0" w:color="auto"/>
              <w:right w:val="single" w:sz="6" w:space="0" w:color="auto"/>
            </w:tcBorders>
          </w:tcPr>
          <w:p w:rsidR="00F008F3" w:rsidRPr="00FA548A" w:rsidRDefault="00B84595" w:rsidP="004034F3">
            <w:pPr>
              <w:pStyle w:val="TableTextS5"/>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F008F3" w:rsidRPr="00FA548A" w:rsidRDefault="008A5ADA" w:rsidP="004034F3">
            <w:pPr>
              <w:pStyle w:val="TableTextS5"/>
              <w:spacing w:before="20" w:after="20"/>
              <w:rPr>
                <w:rStyle w:val="Tablefreq"/>
                <w:color w:val="000000"/>
              </w:rPr>
            </w:pPr>
            <w:r w:rsidRPr="00FA548A">
              <w:rPr>
                <w:rStyle w:val="Tablefreq"/>
                <w:color w:val="000000"/>
              </w:rPr>
              <w:t>610-890</w:t>
            </w:r>
          </w:p>
          <w:p w:rsidR="00F008F3" w:rsidRPr="00FA548A" w:rsidRDefault="008A5ADA" w:rsidP="004034F3">
            <w:pPr>
              <w:pStyle w:val="TableTextS5"/>
              <w:spacing w:before="20" w:after="20"/>
            </w:pPr>
            <w:r w:rsidRPr="00FA548A">
              <w:rPr>
                <w:color w:val="000000"/>
              </w:rPr>
              <w:t>FIJO</w:t>
            </w:r>
          </w:p>
          <w:p w:rsidR="00F008F3" w:rsidRPr="00FA548A" w:rsidRDefault="008A5ADA" w:rsidP="004034F3">
            <w:pPr>
              <w:pStyle w:val="TableTextS5"/>
              <w:spacing w:before="20" w:after="20"/>
              <w:ind w:left="170" w:hanging="170"/>
              <w:rPr>
                <w:color w:val="000000"/>
              </w:rPr>
            </w:pPr>
            <w:r w:rsidRPr="00FA548A">
              <w:rPr>
                <w:color w:val="000000"/>
              </w:rPr>
              <w:t>MÓVIL 5.313A  5.317A</w:t>
            </w:r>
          </w:p>
          <w:p w:rsidR="00F008F3" w:rsidRPr="00FA548A" w:rsidRDefault="008A5ADA" w:rsidP="004034F3">
            <w:pPr>
              <w:pStyle w:val="TableTextS5"/>
              <w:rPr>
                <w:color w:val="000000"/>
              </w:rPr>
            </w:pPr>
            <w:r w:rsidRPr="00FA548A">
              <w:rPr>
                <w:color w:val="000000"/>
              </w:rPr>
              <w:t>RADIODIFUSIÓN</w:t>
            </w:r>
          </w:p>
          <w:p w:rsidR="00F008F3" w:rsidRPr="00FA548A" w:rsidRDefault="00B84595" w:rsidP="004034F3">
            <w:pPr>
              <w:pStyle w:val="TableTextS5"/>
            </w:pPr>
          </w:p>
        </w:tc>
      </w:tr>
      <w:tr w:rsidR="00F008F3" w:rsidRPr="00FA548A" w:rsidTr="00B93AF3">
        <w:trPr>
          <w:trHeight w:val="20"/>
          <w:jc w:val="center"/>
        </w:trPr>
        <w:tc>
          <w:tcPr>
            <w:tcW w:w="3101" w:type="dxa"/>
            <w:vMerge/>
            <w:tcBorders>
              <w:left w:val="single" w:sz="6" w:space="0" w:color="auto"/>
              <w:right w:val="single" w:sz="6" w:space="0" w:color="auto"/>
            </w:tcBorders>
          </w:tcPr>
          <w:p w:rsidR="00F008F3" w:rsidRPr="00FA548A" w:rsidRDefault="00B84595" w:rsidP="004034F3">
            <w:pPr>
              <w:pStyle w:val="TableTextS5"/>
              <w:spacing w:before="20" w:after="20"/>
              <w:rPr>
                <w:rStyle w:val="Tablefreq"/>
                <w:color w:val="000000"/>
              </w:rPr>
            </w:pPr>
          </w:p>
        </w:tc>
        <w:tc>
          <w:tcPr>
            <w:tcW w:w="3101" w:type="dxa"/>
            <w:tcBorders>
              <w:top w:val="single" w:sz="4" w:space="0" w:color="auto"/>
              <w:left w:val="single" w:sz="6" w:space="0" w:color="auto"/>
              <w:bottom w:val="single" w:sz="4" w:space="0" w:color="auto"/>
              <w:right w:val="single" w:sz="6" w:space="0" w:color="auto"/>
            </w:tcBorders>
          </w:tcPr>
          <w:p w:rsidR="00F008F3" w:rsidRPr="00FA548A" w:rsidRDefault="008A5ADA" w:rsidP="004034F3">
            <w:pPr>
              <w:pStyle w:val="TableTextS5"/>
              <w:spacing w:before="20" w:after="20"/>
              <w:rPr>
                <w:rStyle w:val="Tablefreq"/>
              </w:rPr>
            </w:pPr>
            <w:r w:rsidRPr="00FA548A">
              <w:rPr>
                <w:rStyle w:val="Tablefreq"/>
              </w:rPr>
              <w:t>614-698</w:t>
            </w:r>
          </w:p>
          <w:p w:rsidR="00F008F3" w:rsidRPr="00FA548A" w:rsidRDefault="008A5ADA" w:rsidP="004034F3">
            <w:pPr>
              <w:pStyle w:val="TableTextS5"/>
              <w:spacing w:before="20" w:after="20"/>
              <w:rPr>
                <w:color w:val="000000"/>
              </w:rPr>
            </w:pPr>
            <w:r w:rsidRPr="00FA548A">
              <w:rPr>
                <w:color w:val="000000"/>
              </w:rPr>
              <w:t>RADIODIFUSIÓN</w:t>
            </w:r>
          </w:p>
          <w:p w:rsidR="00F008F3" w:rsidRPr="00FA548A" w:rsidRDefault="008A5ADA" w:rsidP="004034F3">
            <w:pPr>
              <w:pStyle w:val="TableTextS5"/>
              <w:spacing w:before="20" w:after="20"/>
              <w:rPr>
                <w:color w:val="000000"/>
              </w:rPr>
            </w:pPr>
            <w:r w:rsidRPr="00FA548A">
              <w:rPr>
                <w:color w:val="000000"/>
              </w:rPr>
              <w:t>Fijo</w:t>
            </w:r>
          </w:p>
          <w:p w:rsidR="00F008F3" w:rsidRPr="00FA548A" w:rsidRDefault="008A5ADA" w:rsidP="004034F3">
            <w:pPr>
              <w:pStyle w:val="TableTextS5"/>
              <w:spacing w:before="20" w:after="20"/>
              <w:rPr>
                <w:color w:val="000000"/>
              </w:rPr>
            </w:pPr>
            <w:r w:rsidRPr="00FA548A">
              <w:rPr>
                <w:color w:val="000000"/>
              </w:rPr>
              <w:t>Móvil</w:t>
            </w:r>
          </w:p>
          <w:p w:rsidR="00F008F3" w:rsidRPr="00FA548A" w:rsidRDefault="008A5ADA" w:rsidP="004034F3">
            <w:pPr>
              <w:pStyle w:val="TableTextS5"/>
              <w:spacing w:before="20" w:after="20"/>
              <w:rPr>
                <w:rStyle w:val="Tablefreq"/>
                <w:color w:val="000000"/>
              </w:rPr>
            </w:pPr>
            <w:r w:rsidRPr="00FA548A">
              <w:rPr>
                <w:rStyle w:val="Artref10pt"/>
              </w:rPr>
              <w:t>5.293</w:t>
            </w:r>
            <w:r w:rsidRPr="00FA548A">
              <w:t xml:space="preserve">  </w:t>
            </w:r>
            <w:r w:rsidRPr="00FA548A">
              <w:rPr>
                <w:rStyle w:val="Artref10pt"/>
              </w:rPr>
              <w:t>5.309</w:t>
            </w:r>
            <w:r w:rsidRPr="00FA548A">
              <w:t xml:space="preserve">  </w:t>
            </w:r>
            <w:r w:rsidRPr="00FA548A">
              <w:rPr>
                <w:rStyle w:val="Artref10pt"/>
              </w:rPr>
              <w:t>5.311A</w:t>
            </w:r>
          </w:p>
        </w:tc>
        <w:tc>
          <w:tcPr>
            <w:tcW w:w="3101" w:type="dxa"/>
            <w:vMerge/>
            <w:tcBorders>
              <w:left w:val="single" w:sz="6" w:space="0" w:color="auto"/>
              <w:right w:val="single" w:sz="6" w:space="0" w:color="auto"/>
            </w:tcBorders>
          </w:tcPr>
          <w:p w:rsidR="00F008F3" w:rsidRPr="00FA548A" w:rsidRDefault="00B84595" w:rsidP="004034F3">
            <w:pPr>
              <w:pStyle w:val="TableTextS5"/>
            </w:pPr>
          </w:p>
        </w:tc>
      </w:tr>
      <w:tr w:rsidR="00C01909" w:rsidRPr="00FA548A" w:rsidTr="00C01909">
        <w:trPr>
          <w:trHeight w:val="270"/>
          <w:jc w:val="center"/>
        </w:trPr>
        <w:tc>
          <w:tcPr>
            <w:tcW w:w="3101" w:type="dxa"/>
            <w:vMerge/>
            <w:tcBorders>
              <w:left w:val="single" w:sz="6" w:space="0" w:color="auto"/>
              <w:bottom w:val="single" w:sz="4" w:space="0" w:color="auto"/>
              <w:right w:val="single" w:sz="6" w:space="0" w:color="auto"/>
            </w:tcBorders>
          </w:tcPr>
          <w:p w:rsidR="00C01909" w:rsidRPr="00FA548A" w:rsidRDefault="00C01909" w:rsidP="004034F3">
            <w:pPr>
              <w:pStyle w:val="TableTextS5"/>
              <w:spacing w:before="20" w:after="20"/>
              <w:rPr>
                <w:rStyle w:val="Tablefreq"/>
                <w:color w:val="000000"/>
              </w:rPr>
            </w:pPr>
          </w:p>
        </w:tc>
        <w:tc>
          <w:tcPr>
            <w:tcW w:w="3101" w:type="dxa"/>
            <w:tcBorders>
              <w:top w:val="single" w:sz="4" w:space="0" w:color="auto"/>
              <w:left w:val="single" w:sz="6" w:space="0" w:color="auto"/>
              <w:bottom w:val="single" w:sz="4" w:space="0" w:color="auto"/>
              <w:right w:val="single" w:sz="6" w:space="0" w:color="auto"/>
            </w:tcBorders>
          </w:tcPr>
          <w:p w:rsidR="00C01909" w:rsidRPr="00FA548A" w:rsidRDefault="00C01909" w:rsidP="004034F3">
            <w:pPr>
              <w:pStyle w:val="TableTextS5"/>
              <w:spacing w:before="20" w:after="20"/>
              <w:rPr>
                <w:rStyle w:val="Tablefreq"/>
                <w:color w:val="000000"/>
              </w:rPr>
            </w:pPr>
            <w:r w:rsidRPr="00FA548A">
              <w:rPr>
                <w:rStyle w:val="Tablefreq"/>
                <w:color w:val="000000"/>
              </w:rPr>
              <w:t>...</w:t>
            </w:r>
          </w:p>
        </w:tc>
        <w:tc>
          <w:tcPr>
            <w:tcW w:w="3101" w:type="dxa"/>
            <w:vMerge/>
            <w:tcBorders>
              <w:left w:val="single" w:sz="6" w:space="0" w:color="auto"/>
              <w:right w:val="single" w:sz="6" w:space="0" w:color="auto"/>
            </w:tcBorders>
          </w:tcPr>
          <w:p w:rsidR="00C01909" w:rsidRPr="00FA548A" w:rsidRDefault="00C01909" w:rsidP="004034F3">
            <w:pPr>
              <w:pStyle w:val="TableTextS5"/>
            </w:pPr>
          </w:p>
        </w:tc>
      </w:tr>
      <w:tr w:rsidR="00C01909" w:rsidRPr="00FA548A" w:rsidTr="00B93AF3">
        <w:trPr>
          <w:trHeight w:val="276"/>
          <w:jc w:val="center"/>
        </w:trPr>
        <w:tc>
          <w:tcPr>
            <w:tcW w:w="3101" w:type="dxa"/>
            <w:tcBorders>
              <w:left w:val="single" w:sz="6" w:space="0" w:color="auto"/>
              <w:bottom w:val="single" w:sz="6" w:space="0" w:color="auto"/>
              <w:right w:val="single" w:sz="6" w:space="0" w:color="auto"/>
            </w:tcBorders>
          </w:tcPr>
          <w:p w:rsidR="00C01909" w:rsidRPr="00FA548A" w:rsidRDefault="00C01909" w:rsidP="004034F3">
            <w:pPr>
              <w:pStyle w:val="TableTextS5"/>
              <w:spacing w:before="20" w:after="20"/>
              <w:rPr>
                <w:rStyle w:val="Artref10pt"/>
              </w:rPr>
            </w:pPr>
            <w:r w:rsidRPr="00FA548A">
              <w:rPr>
                <w:rStyle w:val="Artref10pt"/>
              </w:rPr>
              <w:br/>
              <w:t>...</w:t>
            </w:r>
          </w:p>
        </w:tc>
        <w:tc>
          <w:tcPr>
            <w:tcW w:w="3101" w:type="dxa"/>
            <w:tcBorders>
              <w:left w:val="single" w:sz="6" w:space="0" w:color="auto"/>
              <w:bottom w:val="single" w:sz="6" w:space="0" w:color="auto"/>
              <w:right w:val="single" w:sz="6" w:space="0" w:color="auto"/>
            </w:tcBorders>
          </w:tcPr>
          <w:p w:rsidR="00C01909" w:rsidRPr="00FA548A" w:rsidRDefault="00C01909" w:rsidP="004034F3">
            <w:pPr>
              <w:pStyle w:val="TableTextS5"/>
              <w:spacing w:before="20" w:after="20"/>
              <w:rPr>
                <w:rStyle w:val="Tablefreq"/>
                <w:color w:val="000000"/>
              </w:rPr>
            </w:pPr>
          </w:p>
        </w:tc>
        <w:tc>
          <w:tcPr>
            <w:tcW w:w="3101" w:type="dxa"/>
            <w:tcBorders>
              <w:left w:val="single" w:sz="6" w:space="0" w:color="auto"/>
              <w:bottom w:val="single" w:sz="6" w:space="0" w:color="auto"/>
              <w:right w:val="single" w:sz="6" w:space="0" w:color="auto"/>
            </w:tcBorders>
          </w:tcPr>
          <w:p w:rsidR="00C01909" w:rsidRPr="00FA548A" w:rsidRDefault="00C01909" w:rsidP="004034F3">
            <w:pPr>
              <w:pStyle w:val="TableTextS5"/>
            </w:pPr>
            <w:r w:rsidRPr="00FA548A">
              <w:rPr>
                <w:rStyle w:val="Artref10pt"/>
              </w:rPr>
              <w:t>5.149</w:t>
            </w:r>
            <w:r w:rsidRPr="00FA548A">
              <w:rPr>
                <w:color w:val="000000"/>
              </w:rPr>
              <w:t xml:space="preserve">  </w:t>
            </w:r>
            <w:r w:rsidRPr="00FA548A">
              <w:rPr>
                <w:rStyle w:val="Artref10pt"/>
              </w:rPr>
              <w:t>5.305</w:t>
            </w:r>
            <w:r w:rsidRPr="00FA548A">
              <w:rPr>
                <w:color w:val="000000"/>
              </w:rPr>
              <w:t xml:space="preserve">  </w:t>
            </w:r>
            <w:r w:rsidRPr="00FA548A">
              <w:rPr>
                <w:rStyle w:val="Artref10pt"/>
              </w:rPr>
              <w:t>5.306</w:t>
            </w:r>
            <w:r w:rsidRPr="00FA548A">
              <w:rPr>
                <w:color w:val="000000"/>
              </w:rPr>
              <w:t xml:space="preserve">  </w:t>
            </w:r>
            <w:r w:rsidRPr="00FA548A">
              <w:rPr>
                <w:rStyle w:val="Artref10pt"/>
              </w:rPr>
              <w:t>5.307</w:t>
            </w:r>
            <w:r w:rsidRPr="00FA548A">
              <w:rPr>
                <w:rStyle w:val="Artref10pt"/>
              </w:rPr>
              <w:br/>
              <w:t>5.311A  5.320</w:t>
            </w:r>
          </w:p>
        </w:tc>
      </w:tr>
    </w:tbl>
    <w:p w:rsidR="00C01909" w:rsidRPr="00FA548A" w:rsidRDefault="008A5ADA" w:rsidP="00A66228">
      <w:pPr>
        <w:pStyle w:val="Reasons"/>
      </w:pPr>
      <w:r w:rsidRPr="00FA548A">
        <w:rPr>
          <w:b/>
        </w:rPr>
        <w:t>Motivos:</w:t>
      </w:r>
      <w:r w:rsidRPr="00FA548A">
        <w:tab/>
      </w:r>
      <w:r w:rsidR="00FA548A">
        <w:t>La banda</w:t>
      </w:r>
      <w:r w:rsidR="00C01909" w:rsidRPr="00FA548A">
        <w:t xml:space="preserve"> 470-694 MHz </w:t>
      </w:r>
      <w:r w:rsidR="00FA548A">
        <w:t xml:space="preserve">es ampliamente utilizada por los sistemas de radiodifusión terrenal para la </w:t>
      </w:r>
      <w:r w:rsidR="00F06CB1">
        <w:t>difusión</w:t>
      </w:r>
      <w:r w:rsidR="00FA548A">
        <w:t xml:space="preserve"> de contenido de televisión y para </w:t>
      </w:r>
      <w:r w:rsidR="00C01909" w:rsidRPr="00FA548A">
        <w:t xml:space="preserve">SAB/SAP </w:t>
      </w:r>
      <w:r w:rsidR="00FA548A">
        <w:t>en muchos países europeos</w:t>
      </w:r>
      <w:r w:rsidR="00C01909" w:rsidRPr="00FA548A">
        <w:t xml:space="preserve">. </w:t>
      </w:r>
      <w:r w:rsidR="00F06CB1">
        <w:t xml:space="preserve">En general se trata de la única plataforma de TV que transmite programas de TV de difusión gratuita a los ciudadanos. </w:t>
      </w:r>
      <w:r w:rsidR="00F06CB1" w:rsidRPr="00A66228">
        <w:t>Además</w:t>
      </w:r>
      <w:r w:rsidR="00F06CB1">
        <w:t>, el servicio de radiodifusión se encuentra actualmente en la fase de transición de</w:t>
      </w:r>
      <w:r w:rsidR="00C01909" w:rsidRPr="00FA548A">
        <w:t xml:space="preserve"> </w:t>
      </w:r>
      <w:r w:rsidR="00F06CB1">
        <w:t xml:space="preserve">la retransmisión de programas </w:t>
      </w:r>
      <w:r w:rsidR="00C01909" w:rsidRPr="00FA548A">
        <w:t xml:space="preserve">SD </w:t>
      </w:r>
      <w:r w:rsidR="00F06CB1">
        <w:t>a</w:t>
      </w:r>
      <w:r w:rsidR="00C01909" w:rsidRPr="00FA548A">
        <w:t xml:space="preserve"> HD. </w:t>
      </w:r>
      <w:r w:rsidR="00F06CB1">
        <w:t xml:space="preserve">La atribución de espectro adicional en esta banda para los servicios móviles a título primario podría limitar el futuro desarrollo del servicio de radiodifusión. </w:t>
      </w:r>
    </w:p>
    <w:p w:rsidR="00C01909" w:rsidRPr="00FA548A" w:rsidRDefault="00F06CB1" w:rsidP="00A66228">
      <w:pPr>
        <w:pStyle w:val="Reasons"/>
        <w:spacing w:before="80"/>
      </w:pPr>
      <w:r>
        <w:t xml:space="preserve">Las distancias de separación que se requerirían entre los sistemas IMT y el servicio de radiodifusión serían importantes, lo cual hace que la compartición de la misma banda entre estos servicios resulte inviable. </w:t>
      </w:r>
    </w:p>
    <w:p w:rsidR="00C01909" w:rsidRDefault="00C01909" w:rsidP="00A66228">
      <w:pPr>
        <w:pStyle w:val="Reasons"/>
        <w:spacing w:before="80"/>
      </w:pPr>
      <w:r w:rsidRPr="00FA548A">
        <w:t>Not</w:t>
      </w:r>
      <w:r w:rsidR="00F06CB1">
        <w:t>a</w:t>
      </w:r>
      <w:r w:rsidRPr="00FA548A">
        <w:t xml:space="preserve">: </w:t>
      </w:r>
      <w:r w:rsidR="00F06CB1">
        <w:t xml:space="preserve">Esta propuesta de mantener sin cambios la banda </w:t>
      </w:r>
      <w:r w:rsidRPr="00FA548A">
        <w:t xml:space="preserve">470-694 MHz </w:t>
      </w:r>
      <w:r w:rsidR="00F06CB1">
        <w:t xml:space="preserve">de considerarse junto a las propuestas de modificación en la banda </w:t>
      </w:r>
      <w:r w:rsidRPr="00FA548A">
        <w:t xml:space="preserve">694-790 MHz </w:t>
      </w:r>
      <w:r w:rsidR="00F06CB1">
        <w:t xml:space="preserve">bajo el punto 1.2 del orden del día de la CMR-15. </w:t>
      </w:r>
    </w:p>
    <w:p w:rsidR="00A66228" w:rsidRPr="00A66228" w:rsidRDefault="00A66228" w:rsidP="00A66228">
      <w:pPr>
        <w:pStyle w:val="Reasons"/>
      </w:pPr>
      <w:bookmarkStart w:id="8" w:name="_GoBack"/>
      <w:bookmarkEnd w:id="8"/>
    </w:p>
    <w:p w:rsidR="00C01909" w:rsidRPr="00FA548A" w:rsidRDefault="00C01909" w:rsidP="00A66228">
      <w:pPr>
        <w:pStyle w:val="Reasons"/>
        <w:spacing w:before="0"/>
        <w:jc w:val="center"/>
      </w:pPr>
      <w:r w:rsidRPr="00FA548A">
        <w:t>_____________</w:t>
      </w:r>
    </w:p>
    <w:sectPr w:rsidR="00C01909" w:rsidRPr="00FA548A">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91087F" w:rsidRDefault="0077084A">
    <w:pPr>
      <w:ind w:right="360"/>
    </w:pPr>
    <w:r>
      <w:fldChar w:fldCharType="begin"/>
    </w:r>
    <w:r w:rsidRPr="0091087F">
      <w:instrText xml:space="preserve"> FILENAME \p  \* MERGEFORMAT </w:instrText>
    </w:r>
    <w:r>
      <w:fldChar w:fldCharType="separate"/>
    </w:r>
    <w:r w:rsidR="00B84595">
      <w:rPr>
        <w:noProof/>
      </w:rPr>
      <w:t>P:\ESP\ITU-R\CONF-R\CMR15\000\009ADD01ADD03S.docx</w:t>
    </w:r>
    <w:r>
      <w:fldChar w:fldCharType="end"/>
    </w:r>
    <w:r w:rsidRPr="0091087F">
      <w:tab/>
    </w:r>
    <w:r>
      <w:fldChar w:fldCharType="begin"/>
    </w:r>
    <w:r>
      <w:instrText xml:space="preserve"> SAVEDATE \@ DD.MM.YY </w:instrText>
    </w:r>
    <w:r>
      <w:fldChar w:fldCharType="separate"/>
    </w:r>
    <w:r w:rsidR="00B84595">
      <w:rPr>
        <w:noProof/>
      </w:rPr>
      <w:t>14.07.15</w:t>
    </w:r>
    <w:r>
      <w:fldChar w:fldCharType="end"/>
    </w:r>
    <w:r w:rsidRPr="0091087F">
      <w:tab/>
    </w:r>
    <w:r>
      <w:fldChar w:fldCharType="begin"/>
    </w:r>
    <w:r>
      <w:instrText xml:space="preserve"> PRINTDATE \@ DD.MM.YY </w:instrText>
    </w:r>
    <w:r>
      <w:fldChar w:fldCharType="separate"/>
    </w:r>
    <w:r w:rsidR="00B84595">
      <w:rPr>
        <w:noProof/>
      </w:rPr>
      <w:t>14.07.15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228" w:rsidRDefault="00A66228" w:rsidP="00A66228">
    <w:pPr>
      <w:pStyle w:val="Footer"/>
    </w:pPr>
  </w:p>
  <w:p w:rsidR="00A66228" w:rsidRDefault="00A66228" w:rsidP="00A66228">
    <w:pPr>
      <w:pStyle w:val="Footer"/>
    </w:pPr>
    <w:fldSimple w:instr=" FILENAME \p  \* MERGEFORMAT ">
      <w:r w:rsidR="00B84595">
        <w:t>P:\ESP\ITU-R\CONF-R\CMR15\000\009ADD01ADD03S.docx</w:t>
      </w:r>
    </w:fldSimple>
    <w:r>
      <w:t xml:space="preserve"> </w:t>
    </w:r>
    <w:r>
      <w:tab/>
    </w:r>
    <w:r>
      <w:fldChar w:fldCharType="begin"/>
    </w:r>
    <w:r>
      <w:instrText xml:space="preserve"> SAVEDATE \@ DD.MM.YY </w:instrText>
    </w:r>
    <w:r>
      <w:fldChar w:fldCharType="separate"/>
    </w:r>
    <w:r w:rsidR="00B84595">
      <w:t>14.07.15</w:t>
    </w:r>
    <w:r>
      <w:fldChar w:fldCharType="end"/>
    </w:r>
    <w:r>
      <w:tab/>
    </w:r>
    <w:r>
      <w:fldChar w:fldCharType="begin"/>
    </w:r>
    <w:r>
      <w:instrText xml:space="preserve"> PRINTDATE \@ DD.MM.YY </w:instrText>
    </w:r>
    <w:r>
      <w:fldChar w:fldCharType="separate"/>
    </w:r>
    <w:r w:rsidR="00B84595">
      <w:t>14.07.15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228" w:rsidRDefault="00B84595">
    <w:pPr>
      <w:pStyle w:val="Footer"/>
    </w:pPr>
    <w:r>
      <w:fldChar w:fldCharType="begin"/>
    </w:r>
    <w:r>
      <w:instrText xml:space="preserve"> FILENAME \p  \* MERGEFORMAT </w:instrText>
    </w:r>
    <w:r>
      <w:fldChar w:fldCharType="separate"/>
    </w:r>
    <w:r>
      <w:t>P:\ESP\ITU-R\CONF-R\CMR15\000\009ADD01ADD03S.docx</w:t>
    </w:r>
    <w:r>
      <w:fldChar w:fldCharType="end"/>
    </w:r>
    <w:r w:rsidR="00A66228">
      <w:t xml:space="preserve"> </w:t>
    </w:r>
    <w:r w:rsidR="00A66228">
      <w:tab/>
    </w:r>
    <w:r w:rsidR="00A66228">
      <w:fldChar w:fldCharType="begin"/>
    </w:r>
    <w:r w:rsidR="00A66228">
      <w:instrText xml:space="preserve"> SAVEDATE \@ DD.MM.YY </w:instrText>
    </w:r>
    <w:r w:rsidR="00A66228">
      <w:fldChar w:fldCharType="separate"/>
    </w:r>
    <w:r>
      <w:t>14.07.15</w:t>
    </w:r>
    <w:r w:rsidR="00A66228">
      <w:fldChar w:fldCharType="end"/>
    </w:r>
    <w:r w:rsidR="00A66228">
      <w:tab/>
    </w:r>
    <w:r w:rsidR="00A66228">
      <w:fldChar w:fldCharType="begin"/>
    </w:r>
    <w:r w:rsidR="00A66228">
      <w:instrText xml:space="preserve"> PRINTDATE \@ DD.MM.YY </w:instrText>
    </w:r>
    <w:r w:rsidR="00A66228">
      <w:fldChar w:fldCharType="separate"/>
    </w:r>
    <w:r>
      <w:t>14.07.15</w:t>
    </w:r>
    <w:r w:rsidR="00A66228">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4595">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9(Add.1)(Add.3)-</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0AA5"/>
    <w:rsid w:val="000E5BF9"/>
    <w:rsid w:val="000F0E6D"/>
    <w:rsid w:val="00121170"/>
    <w:rsid w:val="00123CC5"/>
    <w:rsid w:val="0015142D"/>
    <w:rsid w:val="001616DC"/>
    <w:rsid w:val="00163962"/>
    <w:rsid w:val="00191A97"/>
    <w:rsid w:val="001A083F"/>
    <w:rsid w:val="001C41FA"/>
    <w:rsid w:val="001E2B52"/>
    <w:rsid w:val="001E3F27"/>
    <w:rsid w:val="00236D2A"/>
    <w:rsid w:val="00255F12"/>
    <w:rsid w:val="00262737"/>
    <w:rsid w:val="00262C09"/>
    <w:rsid w:val="002A791F"/>
    <w:rsid w:val="002C1B26"/>
    <w:rsid w:val="002C5D6C"/>
    <w:rsid w:val="002E19CD"/>
    <w:rsid w:val="002E701F"/>
    <w:rsid w:val="003248A9"/>
    <w:rsid w:val="00324FFA"/>
    <w:rsid w:val="0032680B"/>
    <w:rsid w:val="00363A65"/>
    <w:rsid w:val="003B1E8C"/>
    <w:rsid w:val="003C2508"/>
    <w:rsid w:val="003D0AA3"/>
    <w:rsid w:val="004034F3"/>
    <w:rsid w:val="00440B3A"/>
    <w:rsid w:val="0045384C"/>
    <w:rsid w:val="00454553"/>
    <w:rsid w:val="004B124A"/>
    <w:rsid w:val="005133B5"/>
    <w:rsid w:val="00532097"/>
    <w:rsid w:val="0058350F"/>
    <w:rsid w:val="00583C7E"/>
    <w:rsid w:val="005D46FB"/>
    <w:rsid w:val="005F2605"/>
    <w:rsid w:val="005F3B0E"/>
    <w:rsid w:val="005F559C"/>
    <w:rsid w:val="00662BA0"/>
    <w:rsid w:val="00692AAE"/>
    <w:rsid w:val="006B6E96"/>
    <w:rsid w:val="006D6E67"/>
    <w:rsid w:val="006E1A13"/>
    <w:rsid w:val="00701C20"/>
    <w:rsid w:val="00702F3D"/>
    <w:rsid w:val="0070518E"/>
    <w:rsid w:val="007354E9"/>
    <w:rsid w:val="00765578"/>
    <w:rsid w:val="0077084A"/>
    <w:rsid w:val="007952C7"/>
    <w:rsid w:val="007C0B95"/>
    <w:rsid w:val="007C2317"/>
    <w:rsid w:val="007D330A"/>
    <w:rsid w:val="00864A6E"/>
    <w:rsid w:val="00866AE6"/>
    <w:rsid w:val="008750A8"/>
    <w:rsid w:val="008A5ADA"/>
    <w:rsid w:val="008E5AF2"/>
    <w:rsid w:val="0090121B"/>
    <w:rsid w:val="0091087F"/>
    <w:rsid w:val="009144C9"/>
    <w:rsid w:val="0094091F"/>
    <w:rsid w:val="00973754"/>
    <w:rsid w:val="009C0BED"/>
    <w:rsid w:val="009E11EC"/>
    <w:rsid w:val="00A118DB"/>
    <w:rsid w:val="00A4450C"/>
    <w:rsid w:val="00A66228"/>
    <w:rsid w:val="00AA5E6C"/>
    <w:rsid w:val="00AE5677"/>
    <w:rsid w:val="00AE658F"/>
    <w:rsid w:val="00AF2F78"/>
    <w:rsid w:val="00B239FA"/>
    <w:rsid w:val="00B52D55"/>
    <w:rsid w:val="00B8288C"/>
    <w:rsid w:val="00B84595"/>
    <w:rsid w:val="00BE2E80"/>
    <w:rsid w:val="00BE5EDD"/>
    <w:rsid w:val="00BE6A1F"/>
    <w:rsid w:val="00C01909"/>
    <w:rsid w:val="00C126C4"/>
    <w:rsid w:val="00C63EB5"/>
    <w:rsid w:val="00CC01E0"/>
    <w:rsid w:val="00CD5FEE"/>
    <w:rsid w:val="00CE60D2"/>
    <w:rsid w:val="00CE7431"/>
    <w:rsid w:val="00D0288A"/>
    <w:rsid w:val="00D35DF1"/>
    <w:rsid w:val="00D72A5D"/>
    <w:rsid w:val="00DC629B"/>
    <w:rsid w:val="00E05BFF"/>
    <w:rsid w:val="00E262F1"/>
    <w:rsid w:val="00E3176A"/>
    <w:rsid w:val="00E54754"/>
    <w:rsid w:val="00E56BD3"/>
    <w:rsid w:val="00E71D14"/>
    <w:rsid w:val="00F06CB1"/>
    <w:rsid w:val="00F17F41"/>
    <w:rsid w:val="00F66597"/>
    <w:rsid w:val="00F675D0"/>
    <w:rsid w:val="00F8150C"/>
    <w:rsid w:val="00FA548A"/>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139A409E-B0D6-44B2-8355-15A956444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R15-WRC15-C-0009!A1-A3!MSW-S</DPM_x0020_File_x0020_name>
    <DPM_x0020_Author xmlns="32a1a8c5-2265-4ebc-b7a0-2071e2c5c9bb" xsi:nil="false">Documents Proposals Manager (DPM)</DPM_x0020_Author>
    <DPM_x0020_Version xmlns="32a1a8c5-2265-4ebc-b7a0-2071e2c5c9bb" xsi:nil="false">DPM_v5.2015.7.13_prod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2D8F4E-5BEE-4A54-9ADA-694DE63D4770}">
  <ds:schemaRefs>
    <ds:schemaRef ds:uri="32a1a8c5-2265-4ebc-b7a0-2071e2c5c9bb"/>
    <ds:schemaRef ds:uri="http://purl.org/dc/elements/1.1/"/>
    <ds:schemaRef ds:uri="http://schemas.microsoft.com/office/2006/metadata/properties"/>
    <ds:schemaRef ds:uri="http://www.w3.org/XML/1998/namespace"/>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996b2e75-67fd-4955-a3b0-5ab9934cb50b"/>
  </ds:schemaRefs>
</ds:datastoreItem>
</file>

<file path=customXml/itemProps5.xml><?xml version="1.0" encoding="utf-8"?>
<ds:datastoreItem xmlns:ds="http://schemas.openxmlformats.org/officeDocument/2006/customXml" ds:itemID="{35B61299-761D-4688-8684-C8A9E896B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564</Words>
  <Characters>3272</Characters>
  <Application>Microsoft Office Word</Application>
  <DocSecurity>0</DocSecurity>
  <Lines>155</Lines>
  <Paragraphs>78</Paragraphs>
  <ScaleCrop>false</ScaleCrop>
  <HeadingPairs>
    <vt:vector size="2" baseType="variant">
      <vt:variant>
        <vt:lpstr>Title</vt:lpstr>
      </vt:variant>
      <vt:variant>
        <vt:i4>1</vt:i4>
      </vt:variant>
    </vt:vector>
  </HeadingPairs>
  <TitlesOfParts>
    <vt:vector size="1" baseType="lpstr">
      <vt:lpstr>R15-WRC15-C-0009!A1-A3!MSW-S</vt:lpstr>
    </vt:vector>
  </TitlesOfParts>
  <Manager>Secretaría General - Pool</Manager>
  <Company>Unión Internacional de Telecomunicaciones (UIT)</Company>
  <LinksUpToDate>false</LinksUpToDate>
  <CharactersWithSpaces>3758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R15-WRC15-C-0009!A1-A3!MSW-S</dc:title>
  <dc:subject>Conferencia Mundial de Radiocomunicaciones - 2015</dc:subject>
  <dc:creator>Documents Proposals Manager (DPM)</dc:creator>
  <cp:keywords>DPM_v5.2015.7.13_prod</cp:keywords>
  <dc:description/>
  <cp:lastModifiedBy>Garcia Prieto, M. Esperanza</cp:lastModifiedBy>
  <cp:revision>6</cp:revision>
  <cp:lastPrinted>2015-07-14T12:21:00Z</cp:lastPrinted>
  <dcterms:created xsi:type="dcterms:W3CDTF">2015-07-14T12:08:00Z</dcterms:created>
  <dcterms:modified xsi:type="dcterms:W3CDTF">2015-07-14T12:22:00Z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