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A066F1" w:rsidTr="00231F64">
        <w:trPr>
          <w:cantSplit/>
        </w:trPr>
        <w:tc>
          <w:tcPr>
            <w:tcW w:w="652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51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:rsidTr="00231F64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eastAsia="SimSun" w:hAnsi="Verdana" w:cs="Traditional Arabic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:rsidTr="00231F64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:rsidTr="00231F64">
        <w:trPr>
          <w:cantSplit/>
          <w:trHeight w:val="23"/>
        </w:trPr>
        <w:tc>
          <w:tcPr>
            <w:tcW w:w="6521" w:type="dxa"/>
            <w:shd w:val="clear" w:color="auto" w:fill="auto"/>
          </w:tcPr>
          <w:p w:rsidR="00A066F1" w:rsidRPr="00D268B3" w:rsidRDefault="00FF5EA8" w:rsidP="00D268B3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D268B3">
              <w:rPr>
                <w:rFonts w:ascii="Verdana" w:eastAsia="SimSun" w:hAnsi="Verdana" w:cs="Traditional Arabic"/>
                <w:b/>
                <w:sz w:val="20"/>
              </w:rPr>
              <w:t>PLENARY MEETING</w:t>
            </w:r>
          </w:p>
        </w:tc>
        <w:tc>
          <w:tcPr>
            <w:tcW w:w="3510" w:type="dxa"/>
            <w:shd w:val="clear" w:color="auto" w:fill="auto"/>
          </w:tcPr>
          <w:p w:rsidR="00A066F1" w:rsidRPr="00231F64" w:rsidRDefault="00E55816" w:rsidP="00634F1E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19"/>
                <w:szCs w:val="19"/>
              </w:rPr>
            </w:pPr>
            <w:r w:rsidRPr="00231F64">
              <w:rPr>
                <w:rFonts w:ascii="Verdana" w:eastAsia="SimSun" w:hAnsi="Verdana" w:cs="Traditional Arabic"/>
                <w:b/>
                <w:sz w:val="19"/>
                <w:szCs w:val="19"/>
              </w:rPr>
              <w:t>Addendum 6 to</w:t>
            </w:r>
            <w:r w:rsidRPr="00231F64">
              <w:rPr>
                <w:rFonts w:ascii="Verdana" w:eastAsia="SimSun" w:hAnsi="Verdana" w:cs="Traditional Arabic"/>
                <w:b/>
                <w:sz w:val="19"/>
                <w:szCs w:val="19"/>
              </w:rPr>
              <w:br/>
              <w:t>Document 8(Add.23</w:t>
            </w:r>
            <w:r w:rsidR="00634F1E">
              <w:rPr>
                <w:rFonts w:ascii="Verdana" w:eastAsia="SimSun" w:hAnsi="Verdana" w:cs="Traditional Arabic"/>
                <w:b/>
                <w:sz w:val="19"/>
                <w:szCs w:val="19"/>
              </w:rPr>
              <w:t>)</w:t>
            </w:r>
            <w:r w:rsidR="00A066F1" w:rsidRPr="00231F64">
              <w:rPr>
                <w:rFonts w:ascii="Verdana" w:eastAsia="SimSun" w:hAnsi="Verdana" w:cs="Traditional Arabic"/>
                <w:b/>
                <w:sz w:val="19"/>
                <w:szCs w:val="19"/>
              </w:rPr>
              <w:t>-</w:t>
            </w:r>
            <w:r w:rsidR="005E10C9" w:rsidRPr="00231F64">
              <w:rPr>
                <w:rFonts w:ascii="Verdana" w:eastAsia="SimSun" w:hAnsi="Verdana" w:cs="Traditional Arabic"/>
                <w:b/>
                <w:sz w:val="19"/>
                <w:szCs w:val="19"/>
              </w:rPr>
              <w:t>E</w:t>
            </w:r>
          </w:p>
        </w:tc>
      </w:tr>
      <w:tr w:rsidR="00A066F1" w:rsidRPr="00C324A8" w:rsidTr="00231F64">
        <w:trPr>
          <w:cantSplit/>
          <w:trHeight w:val="23"/>
        </w:trPr>
        <w:tc>
          <w:tcPr>
            <w:tcW w:w="6521" w:type="dxa"/>
            <w:shd w:val="clear" w:color="auto" w:fill="auto"/>
          </w:tcPr>
          <w:p w:rsidR="00A066F1" w:rsidRPr="00C324A8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510" w:type="dxa"/>
            <w:shd w:val="clear" w:color="auto" w:fill="auto"/>
          </w:tcPr>
          <w:p w:rsidR="00A066F1" w:rsidRPr="00231F64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19"/>
                <w:szCs w:val="19"/>
              </w:rPr>
            </w:pPr>
            <w:r w:rsidRPr="00231F64">
              <w:rPr>
                <w:rFonts w:ascii="Verdana" w:eastAsia="SimSun" w:hAnsi="Verdana" w:cs="Traditional Arabic"/>
                <w:b/>
                <w:sz w:val="19"/>
                <w:szCs w:val="19"/>
              </w:rPr>
              <w:t>5 June 2015</w:t>
            </w:r>
          </w:p>
        </w:tc>
      </w:tr>
      <w:tr w:rsidR="00A066F1" w:rsidRPr="00C324A8" w:rsidTr="00231F64">
        <w:trPr>
          <w:cantSplit/>
          <w:trHeight w:val="23"/>
        </w:trPr>
        <w:tc>
          <w:tcPr>
            <w:tcW w:w="6521" w:type="dxa"/>
            <w:shd w:val="clear" w:color="auto" w:fill="auto"/>
          </w:tcPr>
          <w:p w:rsidR="00A066F1" w:rsidRPr="00A066F1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510" w:type="dxa"/>
          </w:tcPr>
          <w:p w:rsidR="00A066F1" w:rsidRPr="00231F64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9"/>
                <w:szCs w:val="19"/>
              </w:rPr>
            </w:pPr>
            <w:r w:rsidRPr="00231F64">
              <w:rPr>
                <w:rFonts w:ascii="Verdana" w:eastAsia="SimSun" w:hAnsi="Verdana" w:cs="Traditional Arabic"/>
                <w:b/>
                <w:sz w:val="19"/>
                <w:szCs w:val="19"/>
              </w:rPr>
              <w:t>Original: Russian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231F64" w:rsidRDefault="00E55816" w:rsidP="00231F64">
            <w:pPr>
              <w:pStyle w:val="Source"/>
            </w:pPr>
            <w:r w:rsidRPr="00231F64">
              <w:rPr>
                <w:rFonts w:eastAsia="SimSun"/>
              </w:rPr>
              <w:t>Regional Commonwealth in the field of Communications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231F64">
            <w:pPr>
              <w:pStyle w:val="Title1"/>
            </w:pPr>
            <w:r>
              <w:rPr>
                <w:rFonts w:eastAsia="SimSun"/>
              </w:rP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231F64">
            <w:pPr>
              <w:pStyle w:val="Agendaitem"/>
            </w:pPr>
            <w:r>
              <w:rPr>
                <w:rFonts w:eastAsia="SimSun"/>
              </w:rPr>
              <w:t xml:space="preserve">Agenda </w:t>
            </w:r>
            <w:proofErr w:type="spellStart"/>
            <w:r>
              <w:rPr>
                <w:rFonts w:eastAsia="SimSun"/>
              </w:rPr>
              <w:t>item</w:t>
            </w:r>
            <w:proofErr w:type="spellEnd"/>
            <w:r>
              <w:rPr>
                <w:rFonts w:eastAsia="SimSun"/>
              </w:rPr>
              <w:t xml:space="preserve"> 9.1(9.1.6)</w:t>
            </w:r>
          </w:p>
        </w:tc>
      </w:tr>
    </w:tbl>
    <w:bookmarkEnd w:id="6"/>
    <w:bookmarkEnd w:id="7"/>
    <w:p w:rsidR="00634F1E" w:rsidRDefault="00634F1E" w:rsidP="00634F1E">
      <w:pPr>
        <w:pStyle w:val="Normalaftertitle"/>
      </w:pPr>
      <w:r w:rsidRPr="009A2B70">
        <w:t>9</w:t>
      </w:r>
      <w:r w:rsidRPr="009A2B70">
        <w:tab/>
        <w:t xml:space="preserve">to consider and approve the Report of the Director of the </w:t>
      </w:r>
      <w:proofErr w:type="spellStart"/>
      <w:r w:rsidRPr="009A2B70">
        <w:t>Radiocommunication</w:t>
      </w:r>
      <w:proofErr w:type="spellEnd"/>
      <w:r w:rsidRPr="009A2B70">
        <w:t xml:space="preserve"> Bureau, in accordance with Article 7 of the Convention:</w:t>
      </w:r>
    </w:p>
    <w:p w:rsidR="00634F1E" w:rsidRPr="000002F2" w:rsidRDefault="00634F1E" w:rsidP="00634F1E">
      <w:pPr>
        <w:overflowPunct/>
        <w:autoSpaceDE/>
        <w:autoSpaceDN/>
        <w:adjustRightInd/>
        <w:spacing w:before="100"/>
        <w:textAlignment w:val="auto"/>
      </w:pPr>
      <w:r w:rsidRPr="009A2B70">
        <w:t>9.1</w:t>
      </w:r>
      <w:r w:rsidRPr="009A2B70">
        <w:tab/>
        <w:t xml:space="preserve">on the activities of the </w:t>
      </w:r>
      <w:proofErr w:type="spellStart"/>
      <w:r w:rsidRPr="009A2B70">
        <w:t>Radiocommunication</w:t>
      </w:r>
      <w:proofErr w:type="spellEnd"/>
      <w:r w:rsidRPr="009A2B70">
        <w:t xml:space="preserve"> Sector since WRC</w:t>
      </w:r>
      <w:r w:rsidRPr="009A2B70">
        <w:noBreakHyphen/>
        <w:t>12;</w:t>
      </w:r>
    </w:p>
    <w:p w:rsidR="001C0E40" w:rsidRDefault="00B11AA5" w:rsidP="00634F1E">
      <w:r>
        <w:t xml:space="preserve">9.1 (9.1.6) </w:t>
      </w:r>
      <w:r>
        <w:tab/>
        <w:t xml:space="preserve">Resolution </w:t>
      </w:r>
      <w:r w:rsidRPr="00B2753A">
        <w:rPr>
          <w:b/>
          <w:bCs/>
        </w:rPr>
        <w:t>957 (WRC-12)</w:t>
      </w:r>
      <w:r>
        <w:t xml:space="preserve"> − Studies towards review of the definitions of fixed service, fixed station and mobile station</w:t>
      </w:r>
    </w:p>
    <w:p w:rsidR="00634F1E" w:rsidRDefault="00634F1E" w:rsidP="00634F1E">
      <w:pPr>
        <w:pStyle w:val="Headingb"/>
      </w:pPr>
      <w:r>
        <w:t>Introduction</w:t>
      </w:r>
    </w:p>
    <w:p w:rsidR="00241FA2" w:rsidRDefault="006D789E" w:rsidP="00844562">
      <w:r>
        <w:t xml:space="preserve">The RCC Administrations consider that the current definitions in the Radio Regulations do not present any obstacle to the use of existing </w:t>
      </w:r>
      <w:r w:rsidR="00844562">
        <w:t>or</w:t>
      </w:r>
      <w:r>
        <w:t xml:space="preserve"> future applications in the fixed </w:t>
      </w:r>
      <w:r w:rsidR="00844562">
        <w:t>or</w:t>
      </w:r>
      <w:r>
        <w:t xml:space="preserve"> mobile services and provide sufficient flexibility</w:t>
      </w:r>
      <w:r w:rsidR="00844562">
        <w:t xml:space="preserve"> for the purposes of spectrum allocation.</w:t>
      </w:r>
    </w:p>
    <w:p w:rsidR="00634F1E" w:rsidRPr="00231F64" w:rsidRDefault="00634F1E" w:rsidP="00634F1E">
      <w:pPr>
        <w:pStyle w:val="Headingb"/>
      </w:pPr>
      <w:r>
        <w:t>Proposals</w:t>
      </w:r>
    </w:p>
    <w:p w:rsidR="00187BD9" w:rsidRPr="00231F64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31F64">
        <w:br w:type="page"/>
      </w:r>
      <w:bookmarkStart w:id="8" w:name="_GoBack"/>
      <w:bookmarkEnd w:id="8"/>
    </w:p>
    <w:p w:rsidR="009B463A" w:rsidRDefault="00B11AA5" w:rsidP="009B463A">
      <w:pPr>
        <w:pStyle w:val="ArtNo"/>
        <w:rPr>
          <w:lang w:val="en-US"/>
        </w:rPr>
      </w:pPr>
      <w:bookmarkStart w:id="9" w:name="_Toc327956572"/>
      <w:r w:rsidRPr="005A38D0">
        <w:lastRenderedPageBreak/>
        <w:t>ARTICLE</w:t>
      </w:r>
      <w:r>
        <w:rPr>
          <w:lang w:val="en-US"/>
        </w:rPr>
        <w:t xml:space="preserve"> </w:t>
      </w:r>
      <w:r>
        <w:rPr>
          <w:rStyle w:val="href"/>
          <w:rFonts w:eastAsiaTheme="majorEastAsia"/>
          <w:color w:val="000000"/>
          <w:lang w:val="en-US"/>
        </w:rPr>
        <w:t>1</w:t>
      </w:r>
      <w:bookmarkEnd w:id="9"/>
    </w:p>
    <w:p w:rsidR="009B463A" w:rsidRDefault="00B11AA5" w:rsidP="009B463A">
      <w:pPr>
        <w:pStyle w:val="Arttitle"/>
        <w:rPr>
          <w:lang w:val="en-US"/>
        </w:rPr>
      </w:pPr>
      <w:bookmarkStart w:id="10" w:name="_Toc327956573"/>
      <w:r>
        <w:t xml:space="preserve">Terms </w:t>
      </w:r>
      <w:r w:rsidRPr="005A38D0">
        <w:t>and</w:t>
      </w:r>
      <w:r>
        <w:t xml:space="preserve"> definitions</w:t>
      </w:r>
      <w:bookmarkEnd w:id="10"/>
    </w:p>
    <w:p w:rsidR="009B463A" w:rsidRDefault="00B11AA5" w:rsidP="009B463A">
      <w:pPr>
        <w:pStyle w:val="Section1"/>
        <w:rPr>
          <w:lang w:val="en-US"/>
        </w:rPr>
      </w:pPr>
      <w:r w:rsidRPr="00F61243">
        <w:t>Section</w:t>
      </w:r>
      <w:r>
        <w:rPr>
          <w:lang w:val="en-US"/>
        </w:rPr>
        <w:t xml:space="preserve"> III – Radio services</w:t>
      </w:r>
    </w:p>
    <w:p w:rsidR="00DA7954" w:rsidRDefault="00B11AA5">
      <w:pPr>
        <w:pStyle w:val="Proposal"/>
      </w:pPr>
      <w:r>
        <w:rPr>
          <w:u w:val="single"/>
        </w:rPr>
        <w:t>NOC</w:t>
      </w:r>
      <w:r>
        <w:tab/>
        <w:t>RCC/8A23</w:t>
      </w:r>
      <w:r w:rsidR="00634F1E">
        <w:t>A6</w:t>
      </w:r>
      <w:r>
        <w:t>/1</w:t>
      </w:r>
    </w:p>
    <w:p w:rsidR="009B463A" w:rsidRDefault="00B11AA5" w:rsidP="009B463A">
      <w:pPr>
        <w:rPr>
          <w:lang w:val="en-US"/>
        </w:rPr>
      </w:pPr>
      <w:r w:rsidRPr="005A38D0">
        <w:rPr>
          <w:rStyle w:val="Artdef"/>
        </w:rPr>
        <w:t>1.20</w:t>
      </w:r>
      <w:r w:rsidRPr="00EF2C5C">
        <w:rPr>
          <w:rStyle w:val="Artdef"/>
        </w:rPr>
        <w:tab/>
      </w:r>
      <w:r w:rsidRPr="00EF2C5C">
        <w:rPr>
          <w:rStyle w:val="Artdef"/>
        </w:rPr>
        <w:tab/>
      </w:r>
      <w:r w:rsidRPr="00D44CC4">
        <w:rPr>
          <w:i/>
          <w:iCs/>
          <w:lang w:val="en-US"/>
        </w:rPr>
        <w:t xml:space="preserve">fixed service:  A </w:t>
      </w:r>
      <w:proofErr w:type="spellStart"/>
      <w:r w:rsidRPr="00D44CC4">
        <w:rPr>
          <w:i/>
          <w:iCs/>
          <w:lang w:val="en-US"/>
        </w:rPr>
        <w:t>radiocommunication</w:t>
      </w:r>
      <w:proofErr w:type="spellEnd"/>
      <w:r w:rsidRPr="00D44CC4">
        <w:rPr>
          <w:i/>
          <w:iCs/>
          <w:lang w:val="en-US"/>
        </w:rPr>
        <w:t xml:space="preserve"> service</w:t>
      </w:r>
      <w:r>
        <w:rPr>
          <w:lang w:val="en-US"/>
        </w:rPr>
        <w:t xml:space="preserve"> between specified fixed points.</w:t>
      </w:r>
    </w:p>
    <w:p w:rsidR="00DA7954" w:rsidRDefault="00B11AA5" w:rsidP="00844562">
      <w:pPr>
        <w:pStyle w:val="Reasons"/>
      </w:pPr>
      <w:r>
        <w:rPr>
          <w:b/>
        </w:rPr>
        <w:t>Reasons:</w:t>
      </w:r>
      <w:r>
        <w:tab/>
      </w:r>
      <w:r w:rsidR="00844562">
        <w:t xml:space="preserve">This definition of the fixed service does not </w:t>
      </w:r>
      <w:r w:rsidR="00844562" w:rsidRPr="00844562">
        <w:t xml:space="preserve">present any obstacle to the use of existing </w:t>
      </w:r>
      <w:r w:rsidR="00844562">
        <w:t>or</w:t>
      </w:r>
      <w:r w:rsidR="00844562" w:rsidRPr="00844562">
        <w:t xml:space="preserve"> future applications in the fixed</w:t>
      </w:r>
      <w:r w:rsidR="00844562">
        <w:t xml:space="preserve"> service.</w:t>
      </w:r>
    </w:p>
    <w:p w:rsidR="009B463A" w:rsidRDefault="00B11AA5" w:rsidP="009B463A">
      <w:pPr>
        <w:pStyle w:val="Section1"/>
        <w:rPr>
          <w:lang w:val="en-US"/>
        </w:rPr>
      </w:pPr>
      <w:r>
        <w:rPr>
          <w:lang w:val="en-US"/>
        </w:rPr>
        <w:t>Section IV – Radio stations and systems</w:t>
      </w:r>
    </w:p>
    <w:p w:rsidR="00DA7954" w:rsidRDefault="00B11AA5" w:rsidP="00634F1E">
      <w:pPr>
        <w:pStyle w:val="Proposal"/>
      </w:pPr>
      <w:r>
        <w:rPr>
          <w:u w:val="single"/>
        </w:rPr>
        <w:t>NOC</w:t>
      </w:r>
      <w:r>
        <w:tab/>
        <w:t>RCC/8A23</w:t>
      </w:r>
      <w:r w:rsidR="00634F1E">
        <w:t>A6</w:t>
      </w:r>
      <w:r>
        <w:t>/2</w:t>
      </w:r>
    </w:p>
    <w:p w:rsidR="009B463A" w:rsidRDefault="00B11AA5" w:rsidP="009B463A">
      <w:pPr>
        <w:rPr>
          <w:lang w:val="en-US"/>
        </w:rPr>
      </w:pPr>
      <w:r w:rsidRPr="00285B91">
        <w:rPr>
          <w:rStyle w:val="Artdef"/>
        </w:rPr>
        <w:t>1.66</w:t>
      </w:r>
      <w:r w:rsidRPr="00EF2C5C">
        <w:rPr>
          <w:rStyle w:val="Artdef"/>
        </w:rPr>
        <w:tab/>
      </w:r>
      <w:r w:rsidRPr="00EF2C5C">
        <w:rPr>
          <w:rStyle w:val="Artdef"/>
        </w:rPr>
        <w:tab/>
      </w:r>
      <w:r w:rsidRPr="00890103">
        <w:rPr>
          <w:i/>
          <w:iCs/>
          <w:lang w:val="en-US"/>
        </w:rPr>
        <w:t>fixed station:</w:t>
      </w:r>
      <w:r>
        <w:rPr>
          <w:lang w:val="en-US"/>
        </w:rPr>
        <w:t>  A</w:t>
      </w:r>
      <w:r w:rsidRPr="00890103">
        <w:rPr>
          <w:i/>
          <w:iCs/>
          <w:lang w:val="en-US"/>
        </w:rPr>
        <w:t xml:space="preserve"> station</w:t>
      </w:r>
      <w:r>
        <w:rPr>
          <w:lang w:val="en-US"/>
        </w:rPr>
        <w:t xml:space="preserve"> in the </w:t>
      </w:r>
      <w:r w:rsidRPr="00890103">
        <w:rPr>
          <w:i/>
          <w:iCs/>
          <w:lang w:val="en-US"/>
        </w:rPr>
        <w:t>fixed service</w:t>
      </w:r>
      <w:r>
        <w:rPr>
          <w:lang w:val="en-US"/>
        </w:rPr>
        <w:t>.</w:t>
      </w:r>
    </w:p>
    <w:p w:rsidR="00DA7954" w:rsidRDefault="00B11AA5" w:rsidP="00844562">
      <w:pPr>
        <w:pStyle w:val="Reasons"/>
      </w:pPr>
      <w:r>
        <w:rPr>
          <w:b/>
        </w:rPr>
        <w:t>Reasons:</w:t>
      </w:r>
      <w:r>
        <w:tab/>
      </w:r>
      <w:r w:rsidR="00844562" w:rsidRPr="00844562">
        <w:t xml:space="preserve">This definition of </w:t>
      </w:r>
      <w:r w:rsidR="00844562">
        <w:t>a</w:t>
      </w:r>
      <w:r w:rsidR="00844562" w:rsidRPr="00844562">
        <w:t xml:space="preserve"> fixed </w:t>
      </w:r>
      <w:r w:rsidR="00844562">
        <w:t>station</w:t>
      </w:r>
      <w:r w:rsidR="00844562" w:rsidRPr="00844562">
        <w:t xml:space="preserve"> does not present any obstacle to the use of existing </w:t>
      </w:r>
      <w:r w:rsidR="00844562">
        <w:t>or</w:t>
      </w:r>
      <w:r w:rsidR="00844562" w:rsidRPr="00844562">
        <w:t xml:space="preserve"> future applications in the fixed service</w:t>
      </w:r>
      <w:r w:rsidR="008B4D40">
        <w:t>.</w:t>
      </w:r>
    </w:p>
    <w:p w:rsidR="00DA7954" w:rsidRDefault="00B11AA5" w:rsidP="00634F1E">
      <w:pPr>
        <w:pStyle w:val="Proposal"/>
      </w:pPr>
      <w:r>
        <w:rPr>
          <w:u w:val="single"/>
        </w:rPr>
        <w:t>NOC</w:t>
      </w:r>
      <w:r>
        <w:tab/>
        <w:t>RCC/8A23</w:t>
      </w:r>
      <w:r w:rsidR="00634F1E">
        <w:t>A6</w:t>
      </w:r>
      <w:r>
        <w:t>/3</w:t>
      </w:r>
    </w:p>
    <w:p w:rsidR="009B463A" w:rsidRDefault="00B11AA5" w:rsidP="009B463A">
      <w:pPr>
        <w:rPr>
          <w:lang w:val="en-US"/>
        </w:rPr>
      </w:pPr>
      <w:r w:rsidRPr="00285B91">
        <w:rPr>
          <w:rStyle w:val="Artdef"/>
        </w:rPr>
        <w:t>1.67</w:t>
      </w:r>
      <w:r w:rsidRPr="00EF2C5C">
        <w:rPr>
          <w:rStyle w:val="Artdef"/>
        </w:rPr>
        <w:tab/>
      </w:r>
      <w:r w:rsidRPr="00EF2C5C">
        <w:rPr>
          <w:rStyle w:val="Artdef"/>
        </w:rPr>
        <w:tab/>
      </w:r>
      <w:r>
        <w:rPr>
          <w:i/>
          <w:lang w:val="en-US"/>
        </w:rPr>
        <w:t>mobile station:  </w:t>
      </w:r>
      <w:r>
        <w:rPr>
          <w:lang w:val="en-US"/>
        </w:rPr>
        <w:t>A</w:t>
      </w:r>
      <w:r>
        <w:rPr>
          <w:i/>
          <w:lang w:val="en-US"/>
        </w:rPr>
        <w:t xml:space="preserve"> station</w:t>
      </w:r>
      <w:r>
        <w:rPr>
          <w:lang w:val="en-US"/>
        </w:rPr>
        <w:t xml:space="preserve"> in the</w:t>
      </w:r>
      <w:r>
        <w:rPr>
          <w:i/>
          <w:lang w:val="en-US"/>
        </w:rPr>
        <w:t xml:space="preserve"> mobile service</w:t>
      </w:r>
      <w:r>
        <w:rPr>
          <w:lang w:val="en-US"/>
        </w:rPr>
        <w:t xml:space="preserve"> intended to be used while in motion or during halts at unspecified points.</w:t>
      </w:r>
    </w:p>
    <w:p w:rsidR="00DA7954" w:rsidRDefault="00B11AA5" w:rsidP="00844562">
      <w:pPr>
        <w:pStyle w:val="Reasons"/>
      </w:pPr>
      <w:r>
        <w:rPr>
          <w:b/>
        </w:rPr>
        <w:t>Reasons:</w:t>
      </w:r>
      <w:r>
        <w:tab/>
      </w:r>
      <w:r w:rsidR="00844562" w:rsidRPr="00844562">
        <w:t xml:space="preserve">This definition of </w:t>
      </w:r>
      <w:r w:rsidR="00844562">
        <w:t>a mobile station</w:t>
      </w:r>
      <w:r w:rsidR="00844562" w:rsidRPr="00844562">
        <w:t xml:space="preserve"> does not present any obstacle to the use of existing </w:t>
      </w:r>
      <w:r w:rsidR="00844562">
        <w:t>or</w:t>
      </w:r>
      <w:r w:rsidR="00844562" w:rsidRPr="00844562">
        <w:t xml:space="preserve"> future applications in the </w:t>
      </w:r>
      <w:r w:rsidR="00844562">
        <w:t>mobile</w:t>
      </w:r>
      <w:r w:rsidR="00844562" w:rsidRPr="00844562">
        <w:t xml:space="preserve"> service</w:t>
      </w:r>
      <w:r w:rsidR="008B4D40">
        <w:t>.</w:t>
      </w:r>
    </w:p>
    <w:p w:rsidR="00DA7954" w:rsidRDefault="00B11AA5">
      <w:pPr>
        <w:pStyle w:val="Proposal"/>
      </w:pPr>
      <w:r>
        <w:t>SUP</w:t>
      </w:r>
      <w:r>
        <w:tab/>
        <w:t>RCC/8A23</w:t>
      </w:r>
      <w:r w:rsidR="00634F1E">
        <w:t>A6</w:t>
      </w:r>
      <w:r>
        <w:t>/4</w:t>
      </w:r>
    </w:p>
    <w:p w:rsidR="004415B9" w:rsidRPr="006905BC" w:rsidRDefault="00B11AA5" w:rsidP="004415B9">
      <w:pPr>
        <w:pStyle w:val="ResNo"/>
      </w:pPr>
      <w:r w:rsidRPr="006905BC">
        <w:t xml:space="preserve">RESOLUTION </w:t>
      </w:r>
      <w:r w:rsidRPr="006905BC">
        <w:rPr>
          <w:rStyle w:val="href"/>
        </w:rPr>
        <w:t>957</w:t>
      </w:r>
      <w:r w:rsidRPr="006905BC">
        <w:t xml:space="preserve"> (WRC</w:t>
      </w:r>
      <w:r w:rsidRPr="006905BC">
        <w:noBreakHyphen/>
        <w:t>12)</w:t>
      </w:r>
    </w:p>
    <w:p w:rsidR="004415B9" w:rsidRPr="006905BC" w:rsidRDefault="00B11AA5" w:rsidP="00651EBE">
      <w:pPr>
        <w:pStyle w:val="Restitle"/>
        <w:rPr>
          <w:i/>
        </w:rPr>
      </w:pPr>
      <w:bookmarkStart w:id="11" w:name="_Toc327364609"/>
      <w:r w:rsidRPr="006905BC">
        <w:t xml:space="preserve">Studies towards review of the definitions of </w:t>
      </w:r>
      <w:r w:rsidRPr="006905BC">
        <w:rPr>
          <w:i/>
        </w:rPr>
        <w:t>fixed service</w:t>
      </w:r>
      <w:r w:rsidRPr="006905BC">
        <w:t xml:space="preserve">, </w:t>
      </w:r>
      <w:r w:rsidRPr="006905BC">
        <w:rPr>
          <w:i/>
        </w:rPr>
        <w:t>fixed station</w:t>
      </w:r>
      <w:r w:rsidRPr="006905BC">
        <w:t xml:space="preserve"> and </w:t>
      </w:r>
      <w:r w:rsidRPr="006905BC">
        <w:rPr>
          <w:i/>
        </w:rPr>
        <w:t>mobile station</w:t>
      </w:r>
      <w:bookmarkEnd w:id="11"/>
    </w:p>
    <w:p w:rsidR="00DA7954" w:rsidRDefault="00B11AA5">
      <w:pPr>
        <w:pStyle w:val="Reasons"/>
      </w:pPr>
      <w:r>
        <w:rPr>
          <w:b/>
        </w:rPr>
        <w:t>Reasons:</w:t>
      </w:r>
      <w:r>
        <w:tab/>
      </w:r>
      <w:r w:rsidR="00844562">
        <w:t>The studies have been completed.</w:t>
      </w:r>
    </w:p>
    <w:p w:rsidR="00B11AA5" w:rsidRDefault="00B11AA5" w:rsidP="0032202E">
      <w:pPr>
        <w:pStyle w:val="Reasons"/>
      </w:pPr>
    </w:p>
    <w:p w:rsidR="00B11AA5" w:rsidRDefault="00B11AA5">
      <w:pPr>
        <w:jc w:val="center"/>
      </w:pPr>
      <w:r>
        <w:t>______________</w:t>
      </w:r>
    </w:p>
    <w:sectPr w:rsidR="00B11AA5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CE" w:rsidRDefault="003852CE">
      <w:r>
        <w:separator/>
      </w:r>
    </w:p>
  </w:endnote>
  <w:endnote w:type="continuationSeparator" w:id="0">
    <w:p w:rsidR="003852CE" w:rsidRDefault="0038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081E64">
      <w:rPr>
        <w:noProof/>
      </w:rPr>
      <w:t>2</w: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B0F71">
      <w:rPr>
        <w:noProof/>
        <w:lang w:val="en-US"/>
      </w:rPr>
      <w:t>P:\ENG\ITU-R\CONF-R\CMR15\000\008ADD23ADD06E.docx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B0F71">
      <w:rPr>
        <w:noProof/>
      </w:rPr>
      <w:t>22.06.15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B0F71">
      <w:rPr>
        <w:noProof/>
      </w:rPr>
      <w:t>22.06.15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60F" w:rsidRPr="0041348E" w:rsidRDefault="00AF260F" w:rsidP="000B0F71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B0F71">
      <w:rPr>
        <w:lang w:val="en-US"/>
      </w:rPr>
      <w:t>P:\ENG\ITU-R\CONF-R\CMR15\000\008ADD23ADD06E.docx</w:t>
    </w:r>
    <w:r>
      <w:fldChar w:fldCharType="end"/>
    </w:r>
    <w:r>
      <w:t xml:space="preserve"> (382</w:t>
    </w:r>
    <w:r w:rsidR="000B0F71">
      <w:t>362</w:t>
    </w:r>
    <w:r>
      <w:t>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B0F71">
      <w:t>22.06.15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B0F71">
      <w:t>22.06.15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0B0F71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B0F71">
      <w:rPr>
        <w:lang w:val="en-US"/>
      </w:rPr>
      <w:t>P:\ENG\ITU-R\CONF-R\CMR15\000\008ADD23ADD06E.docx</w:t>
    </w:r>
    <w:r>
      <w:fldChar w:fldCharType="end"/>
    </w:r>
    <w:r w:rsidR="00231F64">
      <w:t xml:space="preserve"> (382</w:t>
    </w:r>
    <w:r w:rsidR="000B0F71">
      <w:t>362</w:t>
    </w:r>
    <w:r w:rsidR="00231F64">
      <w:t>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B0F71">
      <w:t>22.06.15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B0F71">
      <w:t>22.06.15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CE" w:rsidRDefault="003852CE">
      <w:r>
        <w:rPr>
          <w:b/>
        </w:rPr>
        <w:t>_______________</w:t>
      </w:r>
    </w:p>
  </w:footnote>
  <w:footnote w:type="continuationSeparator" w:id="0">
    <w:p w:rsidR="003852CE" w:rsidRDefault="00385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0B0F71">
      <w:rPr>
        <w:noProof/>
      </w:rPr>
      <w:t>2</w:t>
    </w:r>
    <w:r>
      <w:fldChar w:fldCharType="end"/>
    </w:r>
  </w:p>
  <w:p w:rsidR="00A066F1" w:rsidRPr="00A066F1" w:rsidRDefault="00187BD9" w:rsidP="00634F1E">
    <w:pPr>
      <w:pStyle w:val="Header"/>
    </w:pPr>
    <w:r>
      <w:t>CMR1</w:t>
    </w:r>
    <w:r w:rsidR="00241FA2">
      <w:t>5</w:t>
    </w:r>
    <w:r w:rsidR="00A066F1">
      <w:t>/</w:t>
    </w:r>
    <w:bookmarkStart w:id="12" w:name="OLE_LINK1"/>
    <w:bookmarkStart w:id="13" w:name="OLE_LINK2"/>
    <w:bookmarkStart w:id="14" w:name="OLE_LINK3"/>
    <w:r w:rsidR="00EB55C6">
      <w:t>8(Add.23)(Add.6)</w:t>
    </w:r>
    <w:bookmarkEnd w:id="12"/>
    <w:bookmarkEnd w:id="13"/>
    <w:bookmarkEnd w:id="14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7239"/>
    <w:rsid w:val="00081E64"/>
    <w:rsid w:val="00086491"/>
    <w:rsid w:val="00091346"/>
    <w:rsid w:val="0009706C"/>
    <w:rsid w:val="000B0F71"/>
    <w:rsid w:val="000D154B"/>
    <w:rsid w:val="000F2230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31F64"/>
    <w:rsid w:val="00241FA2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5D5C"/>
    <w:rsid w:val="0050139F"/>
    <w:rsid w:val="005229B8"/>
    <w:rsid w:val="0055140B"/>
    <w:rsid w:val="005964AB"/>
    <w:rsid w:val="005C099A"/>
    <w:rsid w:val="005C31A5"/>
    <w:rsid w:val="005E10C9"/>
    <w:rsid w:val="005E61DD"/>
    <w:rsid w:val="006023DF"/>
    <w:rsid w:val="00634F1E"/>
    <w:rsid w:val="00657DE0"/>
    <w:rsid w:val="00685313"/>
    <w:rsid w:val="00692833"/>
    <w:rsid w:val="006A6E9B"/>
    <w:rsid w:val="006B7C2A"/>
    <w:rsid w:val="006C23DA"/>
    <w:rsid w:val="006D789E"/>
    <w:rsid w:val="006E3D45"/>
    <w:rsid w:val="007149F9"/>
    <w:rsid w:val="00733A30"/>
    <w:rsid w:val="00745AEE"/>
    <w:rsid w:val="00750F10"/>
    <w:rsid w:val="007742CA"/>
    <w:rsid w:val="00781C46"/>
    <w:rsid w:val="00790D70"/>
    <w:rsid w:val="007A6F1F"/>
    <w:rsid w:val="007D5320"/>
    <w:rsid w:val="00800972"/>
    <w:rsid w:val="00804475"/>
    <w:rsid w:val="00811633"/>
    <w:rsid w:val="00844562"/>
    <w:rsid w:val="00872FC8"/>
    <w:rsid w:val="008845D0"/>
    <w:rsid w:val="008B43F2"/>
    <w:rsid w:val="008B4D40"/>
    <w:rsid w:val="008B6CFF"/>
    <w:rsid w:val="009274B4"/>
    <w:rsid w:val="00934EA2"/>
    <w:rsid w:val="00944A5C"/>
    <w:rsid w:val="00952A66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F260F"/>
    <w:rsid w:val="00B11AA5"/>
    <w:rsid w:val="00B639E9"/>
    <w:rsid w:val="00B817CD"/>
    <w:rsid w:val="00B94AD0"/>
    <w:rsid w:val="00BB3A95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A7954"/>
    <w:rsid w:val="00DD44AF"/>
    <w:rsid w:val="00DE2AC3"/>
    <w:rsid w:val="00DE5692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F02766"/>
    <w:rsid w:val="00F05BD4"/>
    <w:rsid w:val="00F1060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E7A2F3C6-C961-4AA6-AB3D-78ABC68C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FD18D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R15-WRC15-C-0008!A23-A1-A6!MSW-E</DPM_x0020_File_x0020_name>
    <DPM_x0020_Author xmlns="32a1a8c5-2265-4ebc-b7a0-2071e2c5c9bb" xsi:nil="false">Documents Proposals Manager (DPM)</DPM_x0020_Author>
    <DPM_x0020_Version xmlns="32a1a8c5-2265-4ebc-b7a0-2071e2c5c9bb" xsi:nil="false">DPM_v5.2015.5.26_prod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0BB1A-8987-46C1-BF98-A06D2058BB1D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996b2e75-67fd-4955-a3b0-5ab9934cb50b"/>
    <ds:schemaRef ds:uri="http://schemas.microsoft.com/office/2006/metadata/properties"/>
    <ds:schemaRef ds:uri="http://schemas.microsoft.com/office/infopath/2007/PartnerControl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BE570C-A7A2-41D0-8CE8-0DF69435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R15-WRC15-C-0008!A23-A1-A6!MSW-E</vt:lpstr>
    </vt:vector>
  </TitlesOfParts>
  <Manager>General Secretariat - Pool</Manager>
  <Company>International Telecommunication Union (ITU)</Company>
  <LinksUpToDate>false</LinksUpToDate>
  <CharactersWithSpaces>2012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R15-WRC15-C-0008!A23-A1-A6!MSW-E</dc:title>
  <dc:subject>World Radiocommunication Conference - 2012</dc:subject>
  <dc:creator>Documents Proposals Manager (DPM)</dc:creator>
  <cp:keywords>DPM_v5.2015.5.26_prod</cp:keywords>
  <dc:description>PE_WRC12.dotm  For: Document date: Saved by MM-106465 at 12:06:40 on 21/03/11</dc:description>
  <cp:lastModifiedBy>Murphy, Margaret</cp:lastModifiedBy>
  <cp:revision>3</cp:revision>
  <cp:lastPrinted>2015-06-22T08:55:00Z</cp:lastPrinted>
  <dcterms:created xsi:type="dcterms:W3CDTF">2015-06-22T08:45:00Z</dcterms:created>
  <dcterms:modified xsi:type="dcterms:W3CDTF">2015-06-22T09:02:00Z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