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5349AC">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 (Add.</w:t>
            </w:r>
            <w:r w:rsidR="005349AC">
              <w:rPr>
                <w:rFonts w:ascii="Verdana" w:hAnsi="Verdana" w:cs="Traditional Arabic"/>
                <w:b/>
                <w:sz w:val="20"/>
              </w:rPr>
              <w:t>23</w:t>
            </w:r>
            <w:r>
              <w:rPr>
                <w:rFonts w:ascii="Verdana" w:hAnsi="Verdana" w:cs="Traditional Arabic"/>
                <w:b/>
                <w:sz w:val="20"/>
              </w:rPr>
              <w:t>)(Add.</w:t>
            </w:r>
            <w:r w:rsidR="005349AC">
              <w:rPr>
                <w:rFonts w:ascii="Verdana" w:hAnsi="Verdana" w:cs="Traditional Arabic"/>
                <w:b/>
                <w:sz w:val="20"/>
              </w:rPr>
              <w:t>6</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区域通信联合体共同提案</w:t>
            </w:r>
          </w:p>
        </w:tc>
      </w:tr>
      <w:tr w:rsidR="008221A4">
        <w:trPr>
          <w:cantSplit/>
        </w:trPr>
        <w:tc>
          <w:tcPr>
            <w:tcW w:w="10031" w:type="dxa"/>
            <w:gridSpan w:val="2"/>
          </w:tcPr>
          <w:p w:rsidR="008221A4" w:rsidRDefault="00B508D9" w:rsidP="00B508D9">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CE1106">
              <w:rPr>
                <w:rFonts w:asciiTheme="majorBidi" w:hAnsiTheme="majorBidi" w:cstheme="majorBidi"/>
              </w:rPr>
              <w:t>9.1(9.1.6)</w:t>
            </w:r>
          </w:p>
        </w:tc>
      </w:tr>
    </w:tbl>
    <w:bookmarkEnd w:id="7"/>
    <w:p w:rsidR="0053050C" w:rsidRDefault="0053050C" w:rsidP="0053050C">
      <w:pPr>
        <w:rPr>
          <w:lang w:eastAsia="zh-CN"/>
        </w:rPr>
      </w:pPr>
      <w:r>
        <w:rPr>
          <w:lang w:eastAsia="zh-CN"/>
        </w:rPr>
        <w:t>9</w:t>
      </w:r>
      <w:r>
        <w:rPr>
          <w:lang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53050C" w:rsidRDefault="0053050C" w:rsidP="0053050C">
      <w:pPr>
        <w:rPr>
          <w:lang w:eastAsia="zh-CN"/>
        </w:rPr>
      </w:pPr>
      <w:r>
        <w:rPr>
          <w:lang w:eastAsia="zh-CN"/>
        </w:rPr>
        <w:t>9.1</w:t>
      </w:r>
      <w:r>
        <w:rPr>
          <w:lang w:eastAsia="zh-CN"/>
        </w:rPr>
        <w:tab/>
      </w:r>
      <w:r>
        <w:rPr>
          <w:rFonts w:hint="eastAsia"/>
          <w:color w:val="000000"/>
          <w:lang w:eastAsia="zh-CN"/>
        </w:rPr>
        <w:t>自</w:t>
      </w:r>
      <w:r>
        <w:rPr>
          <w:color w:val="000000"/>
          <w:lang w:eastAsia="zh-CN"/>
        </w:rPr>
        <w:t>WRC-12</w:t>
      </w:r>
      <w:r>
        <w:rPr>
          <w:rFonts w:hint="eastAsia"/>
          <w:color w:val="000000"/>
          <w:lang w:eastAsia="zh-CN"/>
        </w:rPr>
        <w:t>以来无线电通信部门的活动；</w:t>
      </w:r>
    </w:p>
    <w:p w:rsidR="008B60D0" w:rsidRPr="00676FBA" w:rsidRDefault="00731B82" w:rsidP="0018244A">
      <w:pPr>
        <w:rPr>
          <w:lang w:eastAsia="zh-CN"/>
        </w:rPr>
      </w:pPr>
      <w:r w:rsidRPr="009C33AA">
        <w:rPr>
          <w:lang w:eastAsia="zh-CN"/>
        </w:rPr>
        <w:t>9.1</w:t>
      </w:r>
      <w:r>
        <w:rPr>
          <w:lang w:eastAsia="zh-CN"/>
        </w:rPr>
        <w:t>(9.1.6)</w:t>
      </w:r>
      <w:r w:rsidRPr="009C33AA">
        <w:rPr>
          <w:b/>
          <w:lang w:eastAsia="zh-CN"/>
        </w:rPr>
        <w:tab/>
      </w:r>
      <w:r>
        <w:rPr>
          <w:rFonts w:hint="eastAsia"/>
          <w:lang w:eastAsia="zh-CN"/>
        </w:rPr>
        <w:t>第</w:t>
      </w:r>
      <w:r w:rsidRPr="001D720F">
        <w:rPr>
          <w:rFonts w:hint="eastAsia"/>
          <w:b/>
          <w:bCs/>
          <w:lang w:eastAsia="zh-CN"/>
        </w:rPr>
        <w:t>957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Pr>
          <w:rFonts w:hint="eastAsia"/>
          <w:lang w:eastAsia="zh-CN"/>
        </w:rPr>
        <w:t>–</w:t>
      </w:r>
      <w:r>
        <w:rPr>
          <w:rFonts w:hint="eastAsia"/>
          <w:lang w:eastAsia="zh-CN"/>
        </w:rPr>
        <w:t xml:space="preserve"> </w:t>
      </w:r>
      <w:r>
        <w:rPr>
          <w:rFonts w:hint="eastAsia"/>
          <w:lang w:eastAsia="zh-CN"/>
        </w:rPr>
        <w:t>旨在审议固定业务、固定电台和移动电台定义的研究</w:t>
      </w:r>
    </w:p>
    <w:p w:rsidR="0053050C" w:rsidRDefault="00B508D9" w:rsidP="00B508D9">
      <w:pPr>
        <w:pStyle w:val="Headingb"/>
        <w:rPr>
          <w:lang w:eastAsia="zh-CN"/>
        </w:rPr>
      </w:pPr>
      <w:r>
        <w:rPr>
          <w:rFonts w:hint="eastAsia"/>
          <w:lang w:eastAsia="zh-CN"/>
        </w:rPr>
        <w:t>引言</w:t>
      </w:r>
    </w:p>
    <w:p w:rsidR="0053050C" w:rsidRDefault="0053050C" w:rsidP="00B508D9">
      <w:pPr>
        <w:overflowPunct/>
        <w:autoSpaceDE/>
        <w:autoSpaceDN/>
        <w:adjustRightInd/>
        <w:ind w:firstLineChars="200" w:firstLine="480"/>
        <w:textAlignment w:val="auto"/>
        <w:rPr>
          <w:lang w:eastAsia="zh-CN"/>
        </w:rPr>
      </w:pPr>
      <w:r>
        <w:rPr>
          <w:lang w:eastAsia="zh-CN"/>
        </w:rPr>
        <w:t>RCC</w:t>
      </w:r>
      <w:r w:rsidR="00B508D9">
        <w:rPr>
          <w:rFonts w:hint="eastAsia"/>
          <w:lang w:eastAsia="zh-CN"/>
        </w:rPr>
        <w:t>主管部门认为当前《无线电规则》中的定义并未对固定或移动业务的现有或未来应用的使用造成任何困难，也为频谱划分提供了足够的灵活性。</w:t>
      </w:r>
    </w:p>
    <w:p w:rsidR="0053050C" w:rsidRPr="00231F64" w:rsidRDefault="00B508D9" w:rsidP="00B508D9">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31B82" w:rsidP="00751D8F">
      <w:pPr>
        <w:pStyle w:val="ArtNo"/>
        <w:rPr>
          <w:lang w:eastAsia="zh-CN"/>
        </w:rPr>
      </w:pPr>
      <w:bookmarkStart w:id="8" w:name="_Toc329768652"/>
      <w:r>
        <w:rPr>
          <w:rFonts w:hint="eastAsia"/>
          <w:lang w:eastAsia="zh-CN"/>
        </w:rPr>
        <w:lastRenderedPageBreak/>
        <w:t>第</w:t>
      </w:r>
      <w:r w:rsidRPr="001F276D">
        <w:rPr>
          <w:rStyle w:val="href"/>
          <w:rFonts w:hint="eastAsia"/>
          <w:lang w:eastAsia="zh-CN"/>
        </w:rPr>
        <w:t>1</w:t>
      </w:r>
      <w:r>
        <w:rPr>
          <w:rFonts w:hint="eastAsia"/>
          <w:lang w:eastAsia="zh-CN"/>
        </w:rPr>
        <w:t>条</w:t>
      </w:r>
      <w:bookmarkEnd w:id="8"/>
    </w:p>
    <w:p w:rsidR="00DB1CAC" w:rsidRDefault="00731B82" w:rsidP="00DB1CAC">
      <w:pPr>
        <w:pStyle w:val="Arttitle"/>
        <w:rPr>
          <w:lang w:eastAsia="zh-CN"/>
        </w:rPr>
      </w:pPr>
      <w:bookmarkStart w:id="9" w:name="_Toc329768653"/>
      <w:r>
        <w:rPr>
          <w:rFonts w:hint="eastAsia"/>
          <w:lang w:eastAsia="zh-CN"/>
        </w:rPr>
        <w:t>术语和定义</w:t>
      </w:r>
      <w:bookmarkEnd w:id="9"/>
    </w:p>
    <w:p w:rsidR="00DB1CAC" w:rsidRDefault="00731B82" w:rsidP="001F3EB6">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无线电业务</w:t>
      </w:r>
    </w:p>
    <w:p w:rsidR="00627914" w:rsidRDefault="00731B82">
      <w:pPr>
        <w:pStyle w:val="Proposal"/>
        <w:rPr>
          <w:lang w:eastAsia="zh-CN"/>
        </w:rPr>
      </w:pPr>
      <w:r>
        <w:rPr>
          <w:u w:val="single"/>
          <w:lang w:eastAsia="zh-CN"/>
        </w:rPr>
        <w:t>NOC</w:t>
      </w:r>
      <w:r>
        <w:rPr>
          <w:lang w:eastAsia="zh-CN"/>
        </w:rPr>
        <w:tab/>
        <w:t>RCC/8A23</w:t>
      </w:r>
      <w:r w:rsidR="0053050C">
        <w:rPr>
          <w:lang w:eastAsia="zh-CN"/>
        </w:rPr>
        <w:t>A6</w:t>
      </w:r>
      <w:r>
        <w:rPr>
          <w:lang w:eastAsia="zh-CN"/>
        </w:rPr>
        <w:t>/1</w:t>
      </w:r>
    </w:p>
    <w:p w:rsidR="00DB1CAC" w:rsidRDefault="00731B82" w:rsidP="00DB1CAC">
      <w:pPr>
        <w:rPr>
          <w:lang w:eastAsia="zh-CN"/>
        </w:rPr>
      </w:pPr>
      <w:r w:rsidRPr="00582BB5">
        <w:rPr>
          <w:rStyle w:val="Artdef"/>
          <w:rFonts w:hint="eastAsia"/>
          <w:lang w:eastAsia="zh-CN"/>
        </w:rPr>
        <w:t>1.20</w:t>
      </w:r>
      <w:r>
        <w:rPr>
          <w:rFonts w:hint="eastAsia"/>
          <w:lang w:eastAsia="zh-CN"/>
        </w:rPr>
        <w:tab/>
      </w:r>
      <w:r>
        <w:rPr>
          <w:rFonts w:hint="eastAsia"/>
          <w:lang w:eastAsia="zh-CN"/>
        </w:rPr>
        <w:tab/>
      </w:r>
      <w:r w:rsidRPr="00ED3B97">
        <w:rPr>
          <w:rFonts w:ascii="STKaiti" w:eastAsia="STKaiti" w:hAnsi="STKaiti" w:hint="eastAsia"/>
          <w:lang w:eastAsia="zh-CN"/>
        </w:rPr>
        <w:t>固定业务</w:t>
      </w:r>
      <w:r>
        <w:rPr>
          <w:rFonts w:hint="eastAsia"/>
          <w:lang w:eastAsia="zh-CN"/>
        </w:rPr>
        <w:t>：指定的固定地点之间的</w:t>
      </w:r>
      <w:r w:rsidRPr="00ED3B97">
        <w:rPr>
          <w:rFonts w:ascii="STKaiti" w:eastAsia="STKaiti" w:hAnsi="STKaiti" w:hint="eastAsia"/>
          <w:lang w:eastAsia="zh-CN"/>
        </w:rPr>
        <w:t>无线电通信业务</w:t>
      </w:r>
      <w:r>
        <w:rPr>
          <w:rFonts w:hint="eastAsia"/>
          <w:lang w:eastAsia="zh-CN"/>
        </w:rPr>
        <w:t>。</w:t>
      </w:r>
    </w:p>
    <w:p w:rsidR="00627914" w:rsidRDefault="00731B82" w:rsidP="00B508D9">
      <w:pPr>
        <w:pStyle w:val="Reasons"/>
        <w:rPr>
          <w:lang w:eastAsia="zh-CN"/>
        </w:rPr>
      </w:pPr>
      <w:r>
        <w:rPr>
          <w:b/>
          <w:lang w:eastAsia="zh-CN"/>
        </w:rPr>
        <w:t>理由：</w:t>
      </w:r>
      <w:r>
        <w:rPr>
          <w:lang w:eastAsia="zh-CN"/>
        </w:rPr>
        <w:tab/>
      </w:r>
      <w:r w:rsidR="00B508D9">
        <w:rPr>
          <w:rFonts w:hint="eastAsia"/>
          <w:lang w:eastAsia="zh-CN"/>
        </w:rPr>
        <w:t>此固定业务定义并未对固定业务的现有或未来应用的使用造成任何困难。</w:t>
      </w:r>
    </w:p>
    <w:p w:rsidR="00DB1CAC" w:rsidRDefault="00731B82" w:rsidP="00571F6C">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各种无线电台与系统</w:t>
      </w:r>
    </w:p>
    <w:p w:rsidR="00627914" w:rsidRDefault="00731B82">
      <w:pPr>
        <w:pStyle w:val="Proposal"/>
        <w:rPr>
          <w:lang w:eastAsia="zh-CN"/>
        </w:rPr>
      </w:pPr>
      <w:r>
        <w:rPr>
          <w:u w:val="single"/>
          <w:lang w:eastAsia="zh-CN"/>
        </w:rPr>
        <w:t>NOC</w:t>
      </w:r>
      <w:r>
        <w:rPr>
          <w:lang w:eastAsia="zh-CN"/>
        </w:rPr>
        <w:tab/>
        <w:t>RCC/8A23</w:t>
      </w:r>
      <w:r w:rsidR="0053050C">
        <w:rPr>
          <w:lang w:eastAsia="zh-CN"/>
        </w:rPr>
        <w:t>A6</w:t>
      </w:r>
      <w:r>
        <w:rPr>
          <w:lang w:eastAsia="zh-CN"/>
        </w:rPr>
        <w:t>/2</w:t>
      </w:r>
    </w:p>
    <w:p w:rsidR="00DB1CAC" w:rsidRDefault="00731B82" w:rsidP="00DB1CAC">
      <w:pPr>
        <w:rPr>
          <w:lang w:eastAsia="zh-CN"/>
        </w:rPr>
      </w:pPr>
      <w:r w:rsidRPr="00582BB5">
        <w:rPr>
          <w:rStyle w:val="Artdef"/>
          <w:rFonts w:hint="eastAsia"/>
          <w:lang w:eastAsia="zh-CN"/>
        </w:rPr>
        <w:t>1.66</w:t>
      </w:r>
      <w:r>
        <w:rPr>
          <w:rFonts w:hint="eastAsia"/>
          <w:lang w:eastAsia="zh-CN"/>
        </w:rPr>
        <w:tab/>
      </w:r>
      <w:r>
        <w:rPr>
          <w:rFonts w:hint="eastAsia"/>
          <w:lang w:eastAsia="zh-CN"/>
        </w:rPr>
        <w:tab/>
      </w:r>
      <w:r w:rsidRPr="005D3E03">
        <w:rPr>
          <w:rFonts w:ascii="STKaiti" w:eastAsia="STKaiti" w:hAnsi="STKaiti" w:hint="eastAsia"/>
          <w:lang w:eastAsia="zh-CN"/>
        </w:rPr>
        <w:t>固定电台</w:t>
      </w:r>
      <w:r>
        <w:rPr>
          <w:rFonts w:hint="eastAsia"/>
          <w:lang w:eastAsia="zh-CN"/>
        </w:rPr>
        <w:t>：用于</w:t>
      </w:r>
      <w:r w:rsidRPr="005D3E03">
        <w:rPr>
          <w:rFonts w:ascii="STKaiti" w:eastAsia="STKaiti" w:hAnsi="STKaiti" w:hint="eastAsia"/>
          <w:lang w:eastAsia="zh-CN"/>
        </w:rPr>
        <w:t>固定</w:t>
      </w:r>
      <w:r w:rsidRPr="00092950">
        <w:rPr>
          <w:rFonts w:ascii="STKaiti" w:eastAsia="STKaiti" w:hAnsi="STKaiti" w:hint="eastAsia"/>
          <w:lang w:eastAsia="zh-CN"/>
        </w:rPr>
        <w:t>业务</w:t>
      </w:r>
      <w:r>
        <w:rPr>
          <w:rFonts w:hint="eastAsia"/>
          <w:lang w:eastAsia="zh-CN"/>
        </w:rPr>
        <w:t>的</w:t>
      </w:r>
      <w:r w:rsidRPr="00092950">
        <w:rPr>
          <w:rFonts w:ascii="STKaiti" w:eastAsia="STKaiti" w:hAnsi="STKaiti" w:hint="eastAsia"/>
          <w:lang w:eastAsia="zh-CN"/>
        </w:rPr>
        <w:t>电台</w:t>
      </w:r>
      <w:r>
        <w:rPr>
          <w:rFonts w:hint="eastAsia"/>
          <w:lang w:eastAsia="zh-CN"/>
        </w:rPr>
        <w:t>。</w:t>
      </w:r>
    </w:p>
    <w:p w:rsidR="00627914" w:rsidRDefault="00731B82" w:rsidP="00B508D9">
      <w:pPr>
        <w:pStyle w:val="Reasons"/>
        <w:rPr>
          <w:lang w:eastAsia="zh-CN"/>
        </w:rPr>
      </w:pPr>
      <w:r>
        <w:rPr>
          <w:b/>
          <w:lang w:eastAsia="zh-CN"/>
        </w:rPr>
        <w:t>理由：</w:t>
      </w:r>
      <w:r>
        <w:rPr>
          <w:lang w:eastAsia="zh-CN"/>
        </w:rPr>
        <w:tab/>
      </w:r>
      <w:r w:rsidR="00B508D9">
        <w:rPr>
          <w:rFonts w:hint="eastAsia"/>
          <w:lang w:eastAsia="zh-CN"/>
        </w:rPr>
        <w:t>此固定电台定义并未对固定业务的现有或未来应用的使用造成任何困难。</w:t>
      </w:r>
    </w:p>
    <w:p w:rsidR="00627914" w:rsidRDefault="00731B82">
      <w:pPr>
        <w:pStyle w:val="Proposal"/>
        <w:rPr>
          <w:lang w:eastAsia="zh-CN"/>
        </w:rPr>
      </w:pPr>
      <w:r>
        <w:rPr>
          <w:u w:val="single"/>
          <w:lang w:eastAsia="zh-CN"/>
        </w:rPr>
        <w:t>NOC</w:t>
      </w:r>
      <w:r>
        <w:rPr>
          <w:lang w:eastAsia="zh-CN"/>
        </w:rPr>
        <w:tab/>
        <w:t>RCC/8A23</w:t>
      </w:r>
      <w:r w:rsidR="0053050C">
        <w:rPr>
          <w:lang w:eastAsia="zh-CN"/>
        </w:rPr>
        <w:t>A6</w:t>
      </w:r>
      <w:r>
        <w:rPr>
          <w:lang w:eastAsia="zh-CN"/>
        </w:rPr>
        <w:t>/3</w:t>
      </w:r>
    </w:p>
    <w:p w:rsidR="00DB1CAC" w:rsidRDefault="00731B82" w:rsidP="00DB1CAC">
      <w:pPr>
        <w:rPr>
          <w:lang w:eastAsia="zh-CN"/>
        </w:rPr>
      </w:pPr>
      <w:r w:rsidRPr="00582BB5">
        <w:rPr>
          <w:rStyle w:val="Artdef"/>
          <w:rFonts w:hint="eastAsia"/>
          <w:lang w:eastAsia="zh-CN"/>
        </w:rPr>
        <w:t>1.67</w:t>
      </w:r>
      <w:r>
        <w:rPr>
          <w:rFonts w:hint="eastAsia"/>
          <w:lang w:eastAsia="zh-CN"/>
        </w:rPr>
        <w:tab/>
      </w:r>
      <w:r>
        <w:rPr>
          <w:rFonts w:hint="eastAsia"/>
          <w:lang w:eastAsia="zh-CN"/>
        </w:rPr>
        <w:tab/>
      </w:r>
      <w:r w:rsidRPr="00AA0803">
        <w:rPr>
          <w:rFonts w:ascii="STKaiti" w:eastAsia="STKaiti" w:hAnsi="STKaiti" w:hint="eastAsia"/>
          <w:lang w:eastAsia="zh-CN"/>
        </w:rPr>
        <w:t>移动电台</w:t>
      </w:r>
      <w:r>
        <w:rPr>
          <w:rFonts w:hint="eastAsia"/>
          <w:lang w:eastAsia="zh-CN"/>
        </w:rPr>
        <w:t>：用于</w:t>
      </w:r>
      <w:r w:rsidRPr="00910A35">
        <w:rPr>
          <w:rFonts w:ascii="STKaiti" w:eastAsia="STKaiti" w:hAnsi="STKaiti" w:hint="eastAsia"/>
          <w:lang w:eastAsia="zh-CN"/>
        </w:rPr>
        <w:t>移动业务</w:t>
      </w:r>
      <w:r>
        <w:rPr>
          <w:rFonts w:hint="eastAsia"/>
          <w:lang w:eastAsia="zh-CN"/>
        </w:rPr>
        <w:t>在移动中或在非指定地点停留时使用的</w:t>
      </w:r>
      <w:r w:rsidRPr="00AA0803">
        <w:rPr>
          <w:rFonts w:ascii="STKaiti" w:eastAsia="STKaiti" w:hAnsi="STKaiti" w:hint="eastAsia"/>
          <w:lang w:eastAsia="zh-CN"/>
        </w:rPr>
        <w:t>电台</w:t>
      </w:r>
      <w:r>
        <w:rPr>
          <w:rFonts w:hint="eastAsia"/>
          <w:lang w:eastAsia="zh-CN"/>
        </w:rPr>
        <w:t>。</w:t>
      </w:r>
    </w:p>
    <w:p w:rsidR="00627914" w:rsidRDefault="00731B82" w:rsidP="00926880">
      <w:pPr>
        <w:pStyle w:val="Reasons"/>
        <w:rPr>
          <w:lang w:eastAsia="zh-CN"/>
        </w:rPr>
      </w:pPr>
      <w:r>
        <w:rPr>
          <w:b/>
          <w:lang w:eastAsia="zh-CN"/>
        </w:rPr>
        <w:t>理由：</w:t>
      </w:r>
      <w:r>
        <w:rPr>
          <w:lang w:eastAsia="zh-CN"/>
        </w:rPr>
        <w:tab/>
      </w:r>
      <w:r w:rsidR="00B508D9">
        <w:rPr>
          <w:rFonts w:hint="eastAsia"/>
          <w:lang w:eastAsia="zh-CN"/>
        </w:rPr>
        <w:t>此移动</w:t>
      </w:r>
      <w:r w:rsidR="00926880">
        <w:rPr>
          <w:rFonts w:hint="eastAsia"/>
          <w:lang w:eastAsia="zh-CN"/>
        </w:rPr>
        <w:t>电台</w:t>
      </w:r>
      <w:r w:rsidR="00B508D9">
        <w:rPr>
          <w:rFonts w:hint="eastAsia"/>
          <w:lang w:eastAsia="zh-CN"/>
        </w:rPr>
        <w:t>定义并未对移动业务的现有或未来应用的使用造成任何困难。</w:t>
      </w:r>
    </w:p>
    <w:p w:rsidR="00627914" w:rsidRDefault="00731B82">
      <w:pPr>
        <w:pStyle w:val="Proposal"/>
        <w:rPr>
          <w:lang w:eastAsia="zh-CN"/>
        </w:rPr>
      </w:pPr>
      <w:r>
        <w:rPr>
          <w:lang w:eastAsia="zh-CN"/>
        </w:rPr>
        <w:t>SUP</w:t>
      </w:r>
      <w:r>
        <w:rPr>
          <w:lang w:eastAsia="zh-CN"/>
        </w:rPr>
        <w:tab/>
        <w:t>RCC/8A23</w:t>
      </w:r>
      <w:r w:rsidR="0053050C">
        <w:rPr>
          <w:lang w:eastAsia="zh-CN"/>
        </w:rPr>
        <w:t>A6</w:t>
      </w:r>
      <w:r>
        <w:rPr>
          <w:lang w:eastAsia="zh-CN"/>
        </w:rPr>
        <w:t>/4</w:t>
      </w:r>
    </w:p>
    <w:p w:rsidR="007B4F46" w:rsidRDefault="00731B82" w:rsidP="0084544E">
      <w:pPr>
        <w:pStyle w:val="ResNo"/>
        <w:spacing w:before="0"/>
        <w:rPr>
          <w:lang w:eastAsia="zh-CN"/>
        </w:rPr>
      </w:pPr>
      <w:bookmarkStart w:id="10" w:name="_Toc328053260"/>
      <w:r w:rsidRPr="00E547B8">
        <w:rPr>
          <w:rFonts w:hint="eastAsia"/>
          <w:lang w:eastAsia="zh-CN"/>
        </w:rPr>
        <w:t>第</w:t>
      </w:r>
      <w:r w:rsidRPr="00501F21">
        <w:rPr>
          <w:rStyle w:val="href"/>
          <w:rFonts w:hint="eastAsia"/>
          <w:lang w:eastAsia="zh-CN"/>
        </w:rPr>
        <w:t>957</w:t>
      </w:r>
      <w:r w:rsidRPr="00E547B8">
        <w:rPr>
          <w:rFonts w:hint="eastAsia"/>
          <w:lang w:eastAsia="zh-CN"/>
        </w:rPr>
        <w:t>号决议</w:t>
      </w:r>
      <w:r>
        <w:rPr>
          <w:rFonts w:hint="eastAsia"/>
          <w:lang w:eastAsia="zh-CN"/>
        </w:rPr>
        <w:t>（</w:t>
      </w:r>
      <w:r>
        <w:rPr>
          <w:lang w:eastAsia="zh-CN"/>
        </w:rPr>
        <w:t>WRC-12</w:t>
      </w:r>
      <w:r>
        <w:rPr>
          <w:rFonts w:hint="eastAsia"/>
          <w:lang w:eastAsia="zh-CN"/>
        </w:rPr>
        <w:t>）</w:t>
      </w:r>
      <w:bookmarkEnd w:id="10"/>
    </w:p>
    <w:p w:rsidR="007B4F46" w:rsidRPr="0053050C" w:rsidRDefault="00731B82" w:rsidP="0053050C">
      <w:pPr>
        <w:pStyle w:val="Restitle"/>
        <w:rPr>
          <w:rFonts w:hint="eastAsia"/>
          <w:lang w:val="en-US" w:eastAsia="zh-CN"/>
        </w:rPr>
      </w:pPr>
      <w:bookmarkStart w:id="11" w:name="_Toc328053261"/>
      <w:r>
        <w:rPr>
          <w:rFonts w:hint="eastAsia"/>
          <w:lang w:eastAsia="zh-CN"/>
        </w:rPr>
        <w:t>旨在审议</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定义的研究</w:t>
      </w:r>
      <w:bookmarkEnd w:id="11"/>
    </w:p>
    <w:p w:rsidR="00627914" w:rsidRDefault="00731B82" w:rsidP="00B508D9">
      <w:pPr>
        <w:pStyle w:val="Reasons"/>
        <w:rPr>
          <w:lang w:eastAsia="zh-CN"/>
        </w:rPr>
      </w:pPr>
      <w:proofErr w:type="spellStart"/>
      <w:r>
        <w:rPr>
          <w:b/>
        </w:rPr>
        <w:t>理由</w:t>
      </w:r>
      <w:proofErr w:type="spellEnd"/>
      <w:r>
        <w:rPr>
          <w:b/>
        </w:rPr>
        <w:t>：</w:t>
      </w:r>
      <w:r>
        <w:tab/>
      </w:r>
      <w:r w:rsidR="00B508D9">
        <w:rPr>
          <w:rFonts w:hint="eastAsia"/>
          <w:lang w:eastAsia="zh-CN"/>
        </w:rPr>
        <w:t>研究已经完成。</w:t>
      </w:r>
    </w:p>
    <w:p w:rsidR="00852E31" w:rsidRDefault="00852E31" w:rsidP="00B508D9">
      <w:pPr>
        <w:pStyle w:val="Reasons"/>
        <w:rPr>
          <w:lang w:eastAsia="zh-CN"/>
        </w:rPr>
      </w:pPr>
    </w:p>
    <w:p w:rsidR="00852E31" w:rsidRDefault="00852E31" w:rsidP="0032202E">
      <w:pPr>
        <w:pStyle w:val="Reasons"/>
      </w:pPr>
    </w:p>
    <w:p w:rsidR="00852E31" w:rsidRDefault="00852E31">
      <w:pPr>
        <w:jc w:val="center"/>
      </w:pPr>
      <w:r>
        <w:t>______________</w:t>
      </w:r>
    </w:p>
    <w:p w:rsidR="00852E31" w:rsidRDefault="00852E31" w:rsidP="00B508D9">
      <w:pPr>
        <w:pStyle w:val="Reasons"/>
        <w:rPr>
          <w:rFonts w:hint="eastAsia"/>
        </w:rPr>
      </w:pPr>
      <w:bookmarkStart w:id="12" w:name="_GoBack"/>
      <w:bookmarkEnd w:id="12"/>
    </w:p>
    <w:sectPr w:rsidR="00852E31">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3050C" w:rsidRDefault="0053050C" w:rsidP="00926880">
    <w:pPr>
      <w:pStyle w:val="Footer"/>
    </w:pPr>
    <w:r>
      <w:fldChar w:fldCharType="begin"/>
    </w:r>
    <w:r w:rsidRPr="000A3C4F">
      <w:rPr>
        <w:lang w:val="en-US"/>
      </w:rPr>
      <w:instrText xml:space="preserve"> FILENAME \p  \* MERGEFORMAT </w:instrText>
    </w:r>
    <w:r>
      <w:fldChar w:fldCharType="separate"/>
    </w:r>
    <w:r w:rsidR="00852E31">
      <w:rPr>
        <w:lang w:val="en-US"/>
      </w:rPr>
      <w:t>P:\CHI\ITU-R\CONF-R\CMR15\000\008ADD23ADD06C.docx</w:t>
    </w:r>
    <w:r>
      <w:fldChar w:fldCharType="end"/>
    </w:r>
    <w:r w:rsidRPr="000A3C4F">
      <w:rPr>
        <w:lang w:val="en-US"/>
      </w:rPr>
      <w:t xml:space="preserve"> (382</w:t>
    </w:r>
    <w:r>
      <w:rPr>
        <w:lang w:val="en-US"/>
      </w:rPr>
      <w:t>362</w:t>
    </w:r>
    <w:r w:rsidRPr="000A3C4F">
      <w:rPr>
        <w:lang w:val="en-US"/>
      </w:rPr>
      <w:t>)</w:t>
    </w:r>
    <w:r w:rsidRPr="000A3C4F">
      <w:rPr>
        <w:lang w:val="en-US"/>
      </w:rPr>
      <w:tab/>
    </w:r>
    <w:r>
      <w:fldChar w:fldCharType="begin"/>
    </w:r>
    <w:r>
      <w:instrText xml:space="preserve"> SAVEDATE \@ DD.MM.YY </w:instrText>
    </w:r>
    <w:r>
      <w:fldChar w:fldCharType="separate"/>
    </w:r>
    <w:r w:rsidR="00852E31">
      <w:t>25.06.15</w:t>
    </w:r>
    <w:r>
      <w:fldChar w:fldCharType="end"/>
    </w:r>
    <w:r w:rsidRPr="000A3C4F">
      <w:rPr>
        <w:lang w:val="en-US"/>
      </w:rPr>
      <w:tab/>
    </w:r>
    <w:r>
      <w:fldChar w:fldCharType="begin"/>
    </w:r>
    <w:r>
      <w:instrText xml:space="preserve"> PRINTDATE \@ DD.MM.YY </w:instrText>
    </w:r>
    <w:r>
      <w:fldChar w:fldCharType="separate"/>
    </w:r>
    <w:r w:rsidR="00852E31">
      <w:t>26.06.15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3050C" w:rsidRDefault="0053050C" w:rsidP="00926880">
    <w:pPr>
      <w:pStyle w:val="Footer"/>
    </w:pPr>
    <w:r>
      <w:fldChar w:fldCharType="begin"/>
    </w:r>
    <w:r w:rsidRPr="000A3C4F">
      <w:rPr>
        <w:lang w:val="en-US"/>
      </w:rPr>
      <w:instrText xml:space="preserve"> FILENAME \p  \* MERGEFORMAT </w:instrText>
    </w:r>
    <w:r>
      <w:fldChar w:fldCharType="separate"/>
    </w:r>
    <w:r w:rsidR="00852E31">
      <w:rPr>
        <w:lang w:val="en-US"/>
      </w:rPr>
      <w:t>P:\CHI\ITU-R\CONF-R\CMR15\000\008ADD23ADD06C.docx</w:t>
    </w:r>
    <w:r>
      <w:fldChar w:fldCharType="end"/>
    </w:r>
    <w:r w:rsidRPr="000A3C4F">
      <w:rPr>
        <w:lang w:val="en-US"/>
      </w:rPr>
      <w:t xml:space="preserve"> (382</w:t>
    </w:r>
    <w:r>
      <w:rPr>
        <w:lang w:val="en-US"/>
      </w:rPr>
      <w:t>362</w:t>
    </w:r>
    <w:r w:rsidRPr="000A3C4F">
      <w:rPr>
        <w:lang w:val="en-US"/>
      </w:rPr>
      <w:t>)</w:t>
    </w:r>
    <w:r w:rsidRPr="000A3C4F">
      <w:rPr>
        <w:lang w:val="en-US"/>
      </w:rPr>
      <w:tab/>
    </w:r>
    <w:r>
      <w:fldChar w:fldCharType="begin"/>
    </w:r>
    <w:r>
      <w:instrText xml:space="preserve"> SAVEDATE \@ DD.MM.YY </w:instrText>
    </w:r>
    <w:r>
      <w:fldChar w:fldCharType="separate"/>
    </w:r>
    <w:r w:rsidR="00852E31">
      <w:t>25.06.15</w:t>
    </w:r>
    <w:r>
      <w:fldChar w:fldCharType="end"/>
    </w:r>
    <w:r w:rsidRPr="000A3C4F">
      <w:rPr>
        <w:lang w:val="en-US"/>
      </w:rPr>
      <w:tab/>
    </w:r>
    <w:r>
      <w:fldChar w:fldCharType="begin"/>
    </w:r>
    <w:r>
      <w:instrText xml:space="preserve"> PRINTDATE \@ DD.MM.YY </w:instrText>
    </w:r>
    <w:r>
      <w:fldChar w:fldCharType="separate"/>
    </w:r>
    <w:r w:rsidR="00852E31">
      <w:t>26.06.15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52E3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8(Add.23)(Add.6)-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452F"/>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3050C"/>
    <w:rsid w:val="005349AC"/>
    <w:rsid w:val="00542E85"/>
    <w:rsid w:val="00562479"/>
    <w:rsid w:val="00576849"/>
    <w:rsid w:val="005A0ACB"/>
    <w:rsid w:val="005E08D2"/>
    <w:rsid w:val="005E7FD8"/>
    <w:rsid w:val="00622560"/>
    <w:rsid w:val="00627914"/>
    <w:rsid w:val="00644391"/>
    <w:rsid w:val="00647712"/>
    <w:rsid w:val="00662E12"/>
    <w:rsid w:val="00691142"/>
    <w:rsid w:val="006B67CE"/>
    <w:rsid w:val="006C38ED"/>
    <w:rsid w:val="006E6182"/>
    <w:rsid w:val="006F3C60"/>
    <w:rsid w:val="00731B82"/>
    <w:rsid w:val="00736415"/>
    <w:rsid w:val="00770D2A"/>
    <w:rsid w:val="007864F6"/>
    <w:rsid w:val="007B7C4B"/>
    <w:rsid w:val="007F0FC5"/>
    <w:rsid w:val="007F5C36"/>
    <w:rsid w:val="008047DB"/>
    <w:rsid w:val="008129A9"/>
    <w:rsid w:val="008221A4"/>
    <w:rsid w:val="00824BD6"/>
    <w:rsid w:val="0083672D"/>
    <w:rsid w:val="00844734"/>
    <w:rsid w:val="00852E31"/>
    <w:rsid w:val="00865DFB"/>
    <w:rsid w:val="008A7416"/>
    <w:rsid w:val="008B6852"/>
    <w:rsid w:val="008C26FF"/>
    <w:rsid w:val="008D1D14"/>
    <w:rsid w:val="008E1785"/>
    <w:rsid w:val="008E7127"/>
    <w:rsid w:val="008E7C8E"/>
    <w:rsid w:val="00912959"/>
    <w:rsid w:val="00926880"/>
    <w:rsid w:val="009657F9"/>
    <w:rsid w:val="0099525B"/>
    <w:rsid w:val="009C72B7"/>
    <w:rsid w:val="00A0052C"/>
    <w:rsid w:val="00A31B14"/>
    <w:rsid w:val="00A323DC"/>
    <w:rsid w:val="00A466E6"/>
    <w:rsid w:val="00A815BE"/>
    <w:rsid w:val="00AA5DA1"/>
    <w:rsid w:val="00AE369F"/>
    <w:rsid w:val="00B01309"/>
    <w:rsid w:val="00B026CB"/>
    <w:rsid w:val="00B37C38"/>
    <w:rsid w:val="00B508D9"/>
    <w:rsid w:val="00B711CC"/>
    <w:rsid w:val="00B851D4"/>
    <w:rsid w:val="00B868FC"/>
    <w:rsid w:val="00B95072"/>
    <w:rsid w:val="00BB26CD"/>
    <w:rsid w:val="00C07239"/>
    <w:rsid w:val="00C364B1"/>
    <w:rsid w:val="00C47D87"/>
    <w:rsid w:val="00C627F9"/>
    <w:rsid w:val="00C6584D"/>
    <w:rsid w:val="00C929E0"/>
    <w:rsid w:val="00CB4E5A"/>
    <w:rsid w:val="00CC73D7"/>
    <w:rsid w:val="00CE1106"/>
    <w:rsid w:val="00CF0AD7"/>
    <w:rsid w:val="00CF0BE1"/>
    <w:rsid w:val="00D52A14"/>
    <w:rsid w:val="00D6206A"/>
    <w:rsid w:val="00D74599"/>
    <w:rsid w:val="00DA0469"/>
    <w:rsid w:val="00DD13B7"/>
    <w:rsid w:val="00DF3B0C"/>
    <w:rsid w:val="00E14984"/>
    <w:rsid w:val="00E22A25"/>
    <w:rsid w:val="00E560F1"/>
    <w:rsid w:val="00E92319"/>
    <w:rsid w:val="00F727B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047391E-BA90-47CA-8B68-66A6BD16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R15-WRC15-C-0008!A23-A6!MSW-C</DPM_x0020_File_x0020_name>
    <DPM_x0020_Author xmlns="32a1a8c5-2265-4ebc-b7a0-2071e2c5c9bb" xsi:nil="false">Documents Proposals Manager (DPM)</DPM_x0020_Author>
    <DPM_x0020_Version xmlns="32a1a8c5-2265-4ebc-b7a0-2071e2c5c9bb" xsi:nil="false">DPM_v5.2015.6.16_prod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EA31-A7B7-48CC-A4ED-DC3459918BAD}">
  <ds:schemaRefs>
    <ds:schemaRef ds:uri="32a1a8c5-2265-4ebc-b7a0-2071e2c5c9bb"/>
    <ds:schemaRef ds:uri="http://purl.org/dc/dcmitype/"/>
    <ds:schemaRef ds:uri="http://purl.org/dc/terms/"/>
    <ds:schemaRef ds:uri="http://schemas.microsoft.com/office/2006/documentManagement/types"/>
    <ds:schemaRef ds:uri="http://schemas.microsoft.com/office/2006/metadata/properties"/>
    <ds:schemaRef ds:uri="996b2e75-67fd-4955-a3b0-5ab9934cb50b"/>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627</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R15-WRC15-C-0008!A23-A6!MSW-C</vt:lpstr>
    </vt:vector>
  </TitlesOfParts>
  <Manager>General Secretariat - Pool</Manager>
  <Company>International Telecommunication Union (ITU)</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R15-WRC15-C-0008!A23-A6!MSW-C</dc:title>
  <dc:subject>World Radiocommunication Conference - 2015</dc:subject>
  <dc:creator>Documents Proposals Manager (DPM)</dc:creator>
  <cp:keywords>DPM_v5.2015.6.16_prod</cp:keywords>
  <dc:description/>
  <cp:lastModifiedBy>Yuan, Tianxiang</cp:lastModifiedBy>
  <cp:revision>4</cp:revision>
  <cp:lastPrinted>2015-06-26T06:45:00Z</cp:lastPrinted>
  <dcterms:created xsi:type="dcterms:W3CDTF">2015-06-25T12:10:00Z</dcterms:created>
  <dcterms:modified xsi:type="dcterms:W3CDTF">2015-06-26T06:47:00Z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