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D45E43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D45E4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D45E4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D45E43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D45E43" w:rsidRDefault="006D4724" w:rsidP="00BA5BD0">
            <w:pPr>
              <w:spacing w:before="0"/>
              <w:rPr>
                <w:rFonts w:asciiTheme="majorBidi" w:eastAsia="SimSun" w:hAnsiTheme="majorBidi" w:cstheme="majorBidi"/>
                <w:b/>
                <w:szCs w:val="24"/>
                <w:lang w:val="en-US"/>
              </w:rPr>
            </w:pPr>
            <w:r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t>SÉANCE PLÉNIÈRE</w:t>
            </w:r>
          </w:p>
          <w:p w:rsidR="00EB3208" w:rsidRPr="00D45E43" w:rsidRDefault="00EB3208" w:rsidP="00BA5BD0">
            <w:pPr>
              <w:spacing w:before="0"/>
              <w:rPr>
                <w:rFonts w:asciiTheme="majorBidi" w:hAnsiTheme="majorBidi" w:cstheme="majorBid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B1D82" w:rsidRPr="00D45E43" w:rsidRDefault="006D4724" w:rsidP="00BA5BD0">
            <w:pPr>
              <w:spacing w:before="0"/>
              <w:rPr>
                <w:rFonts w:asciiTheme="majorBidi" w:hAnsiTheme="majorBidi" w:cstheme="majorBidi"/>
                <w:szCs w:val="24"/>
                <w:lang w:val="en-US"/>
              </w:rPr>
            </w:pPr>
            <w:r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t>Addendum 17 au</w:t>
            </w:r>
            <w:r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br/>
              <w:t>Document 8</w:t>
            </w:r>
            <w:r w:rsidR="00BB1D82"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t>-</w:t>
            </w:r>
            <w:r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t>F</w:t>
            </w:r>
          </w:p>
        </w:tc>
      </w:tr>
      <w:bookmarkEnd w:id="2"/>
      <w:tr w:rsidR="00690C7B" w:rsidRPr="00D45E43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D45E43" w:rsidRDefault="00690C7B" w:rsidP="00BA5BD0">
            <w:pPr>
              <w:spacing w:before="0"/>
              <w:rPr>
                <w:rFonts w:asciiTheme="majorBidi" w:hAnsiTheme="majorBidi" w:cstheme="majorBid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D45E43" w:rsidRDefault="00690C7B" w:rsidP="00BA5BD0">
            <w:pPr>
              <w:spacing w:before="0"/>
              <w:rPr>
                <w:rFonts w:asciiTheme="majorBidi" w:hAnsiTheme="majorBidi" w:cstheme="majorBidi"/>
                <w:b/>
                <w:szCs w:val="24"/>
                <w:lang w:val="en-US"/>
              </w:rPr>
            </w:pPr>
            <w:r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t>5 juin 2015</w:t>
            </w:r>
          </w:p>
        </w:tc>
      </w:tr>
      <w:tr w:rsidR="00690C7B" w:rsidRPr="00D45E43" w:rsidTr="00BB1D82">
        <w:trPr>
          <w:cantSplit/>
        </w:trPr>
        <w:tc>
          <w:tcPr>
            <w:tcW w:w="6911" w:type="dxa"/>
          </w:tcPr>
          <w:p w:rsidR="00690C7B" w:rsidRPr="00D45E43" w:rsidRDefault="00690C7B" w:rsidP="00BA5BD0">
            <w:pPr>
              <w:spacing w:before="0" w:after="48"/>
              <w:rPr>
                <w:rFonts w:asciiTheme="majorBidi" w:hAnsiTheme="majorBidi" w:cstheme="majorBid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90C7B" w:rsidRPr="00D45E43" w:rsidRDefault="00690C7B" w:rsidP="00BA5BD0">
            <w:pPr>
              <w:spacing w:before="0"/>
              <w:rPr>
                <w:rFonts w:asciiTheme="majorBidi" w:hAnsiTheme="majorBidi" w:cstheme="majorBidi"/>
                <w:b/>
                <w:szCs w:val="24"/>
                <w:lang w:val="en-US"/>
              </w:rPr>
            </w:pPr>
            <w:r w:rsidRPr="00D45E43">
              <w:rPr>
                <w:rFonts w:asciiTheme="majorBidi" w:eastAsia="SimSun" w:hAnsiTheme="majorBidi" w:cstheme="majorBidi"/>
                <w:b/>
                <w:szCs w:val="24"/>
                <w:lang w:val="en-US"/>
              </w:rPr>
              <w:t>Original: russe</w:t>
            </w:r>
          </w:p>
        </w:tc>
      </w:tr>
      <w:tr w:rsidR="00690C7B" w:rsidRPr="00D45E43" w:rsidTr="00C11970">
        <w:trPr>
          <w:cantSplit/>
        </w:trPr>
        <w:tc>
          <w:tcPr>
            <w:tcW w:w="10031" w:type="dxa"/>
            <w:gridSpan w:val="2"/>
          </w:tcPr>
          <w:p w:rsidR="00690C7B" w:rsidRPr="00D45E43" w:rsidRDefault="00690C7B" w:rsidP="00BA5BD0">
            <w:pPr>
              <w:spacing w:before="0"/>
              <w:rPr>
                <w:rFonts w:asciiTheme="majorBidi" w:hAnsiTheme="majorBidi" w:cstheme="majorBidi"/>
                <w:b/>
                <w:szCs w:val="24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B3208" w:rsidRDefault="00690C7B" w:rsidP="00690C7B">
            <w:pPr>
              <w:pStyle w:val="Source"/>
              <w:rPr>
                <w:rFonts w:asciiTheme="majorBidi" w:hAnsiTheme="majorBidi" w:cstheme="majorBidi"/>
                <w:lang w:val="fr-CH"/>
              </w:rPr>
            </w:pPr>
            <w:bookmarkStart w:id="3" w:name="dsource" w:colFirst="0" w:colLast="0"/>
            <w:r w:rsidRPr="00EB3208">
              <w:rPr>
                <w:rFonts w:asciiTheme="majorBidi" w:eastAsia="SimSun" w:hAnsiTheme="majorBidi" w:cstheme="majorBidi"/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B3208" w:rsidRDefault="00690C7B" w:rsidP="00690C7B">
            <w:pPr>
              <w:pStyle w:val="Title1"/>
              <w:rPr>
                <w:rFonts w:asciiTheme="majorBidi" w:hAnsiTheme="majorBidi" w:cstheme="majorBidi"/>
                <w:lang w:val="fr-CH"/>
              </w:rPr>
            </w:pPr>
            <w:bookmarkStart w:id="4" w:name="dtitle1" w:colFirst="0" w:colLast="0"/>
            <w:bookmarkEnd w:id="3"/>
            <w:r w:rsidRPr="00EB3208">
              <w:rPr>
                <w:rFonts w:asciiTheme="majorBidi" w:eastAsia="SimSun" w:hAnsiTheme="majorBidi" w:cstheme="majorBidi"/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EB3208" w:rsidRDefault="00690C7B" w:rsidP="00690C7B">
            <w:pPr>
              <w:pStyle w:val="Title2"/>
              <w:rPr>
                <w:rFonts w:asciiTheme="majorBidi" w:hAnsiTheme="majorBidi" w:cstheme="majorBidi"/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EB3208" w:rsidRDefault="00690C7B" w:rsidP="00690C7B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EB3208">
              <w:rPr>
                <w:rFonts w:asciiTheme="majorBidi" w:eastAsia="SimSun" w:hAnsiTheme="majorBidi" w:cstheme="majorBidi"/>
              </w:rPr>
              <w:t>Point 1.17 de l'ordre du jour</w:t>
            </w:r>
          </w:p>
        </w:tc>
      </w:tr>
    </w:tbl>
    <w:bookmarkEnd w:id="6"/>
    <w:p w:rsidR="001C0E40" w:rsidRDefault="00DE1CB5" w:rsidP="00D45E43">
      <w:pPr>
        <w:pStyle w:val="Normalaftertitle"/>
        <w:rPr>
          <w:lang w:val="fr-CA"/>
        </w:rPr>
      </w:pPr>
      <w:r w:rsidRPr="00B94352">
        <w:rPr>
          <w:lang w:val="fr-CA"/>
        </w:rPr>
        <w:t>1.17</w:t>
      </w:r>
      <w:r w:rsidRPr="00B94352">
        <w:rPr>
          <w:lang w:val="fr-CA"/>
        </w:rPr>
        <w:tab/>
        <w:t>examiner les besoins de fréquences et les mesures réglementaires possibles, y compris des attributions appropriées au service aéronautique, pour permettre l'exploitation des systèmes de communication hertzienne entre équipements d'avionique à bord d'un aéronef (WAIC), conformément à la Résolution </w:t>
      </w:r>
      <w:r w:rsidRPr="00982E06">
        <w:rPr>
          <w:b/>
          <w:bCs/>
          <w:lang w:val="fr-CA"/>
        </w:rPr>
        <w:t>423 (CMR-12)</w:t>
      </w:r>
      <w:r w:rsidRPr="00B94352">
        <w:rPr>
          <w:lang w:val="fr-CA"/>
        </w:rPr>
        <w:t>;</w:t>
      </w:r>
    </w:p>
    <w:p w:rsidR="00C60ADC" w:rsidRDefault="00C60ADC" w:rsidP="00C60ADC">
      <w:r w:rsidRPr="004D7228">
        <w:t>Résolution</w:t>
      </w:r>
      <w:r>
        <w:t xml:space="preserve"> </w:t>
      </w:r>
      <w:r w:rsidRPr="00C60ADC">
        <w:rPr>
          <w:rStyle w:val="href"/>
          <w:b/>
          <w:bCs/>
        </w:rPr>
        <w:t>423</w:t>
      </w:r>
      <w:r w:rsidRPr="00C60ADC">
        <w:rPr>
          <w:b/>
          <w:bCs/>
        </w:rPr>
        <w:t xml:space="preserve"> (CMR-12)</w:t>
      </w:r>
      <w:r>
        <w:t>:Examen des mesures réglementaires, y compris des attributions, pour permettre l'exploitation des systèmes de communication hertzienne entre équipements d'avionique à abord d'un aéronef</w:t>
      </w:r>
    </w:p>
    <w:p w:rsidR="00C60ADC" w:rsidRDefault="00C60ADC" w:rsidP="00C60ADC">
      <w:pPr>
        <w:pStyle w:val="Headingb"/>
        <w:rPr>
          <w:lang w:val="fr-CA"/>
        </w:rPr>
      </w:pPr>
      <w:r>
        <w:rPr>
          <w:lang w:val="fr-CA"/>
        </w:rPr>
        <w:t>Introduction</w:t>
      </w:r>
    </w:p>
    <w:p w:rsidR="00C60ADC" w:rsidRDefault="00D45E43" w:rsidP="00D45E43">
      <w:pPr>
        <w:rPr>
          <w:lang w:val="fr-CA"/>
        </w:rPr>
      </w:pPr>
      <w:r>
        <w:rPr>
          <w:color w:val="000000"/>
        </w:rPr>
        <w:t>L</w:t>
      </w:r>
      <w:r w:rsidR="00583366">
        <w:rPr>
          <w:color w:val="000000"/>
        </w:rPr>
        <w:t>es administrations des pays membres de la RCC</w:t>
      </w:r>
      <w:r w:rsidR="00583366" w:rsidRPr="00583366">
        <w:rPr>
          <w:lang w:val="fr-CA"/>
        </w:rPr>
        <w:t xml:space="preserve"> </w:t>
      </w:r>
      <w:r w:rsidR="00583366">
        <w:rPr>
          <w:lang w:val="fr-CA"/>
        </w:rPr>
        <w:t>ne sont pas opposées à l’attribu</w:t>
      </w:r>
      <w:r>
        <w:rPr>
          <w:lang w:val="fr-CA"/>
        </w:rPr>
        <w:t xml:space="preserve">tion de la bande de fréquences </w:t>
      </w:r>
      <w:r w:rsidR="00583366" w:rsidRPr="00583366">
        <w:rPr>
          <w:lang w:val="fr-CA"/>
        </w:rPr>
        <w:t>4 200</w:t>
      </w:r>
      <w:r>
        <w:rPr>
          <w:lang w:val="fr-CA"/>
        </w:rPr>
        <w:t>-</w:t>
      </w:r>
      <w:r w:rsidR="00583366" w:rsidRPr="00583366">
        <w:rPr>
          <w:lang w:val="fr-CA"/>
        </w:rPr>
        <w:t xml:space="preserve">4 400 MHz </w:t>
      </w:r>
      <w:r w:rsidR="00583366">
        <w:rPr>
          <w:lang w:val="fr-CA"/>
        </w:rPr>
        <w:t>au</w:t>
      </w:r>
      <w:r w:rsidR="00583366" w:rsidRPr="00583366">
        <w:rPr>
          <w:lang w:val="fr-CA"/>
        </w:rPr>
        <w:t xml:space="preserve"> </w:t>
      </w:r>
      <w:r w:rsidR="00583366">
        <w:rPr>
          <w:lang w:val="fr-CA"/>
        </w:rPr>
        <w:t>s</w:t>
      </w:r>
      <w:r w:rsidR="00583366" w:rsidRPr="00583366">
        <w:rPr>
          <w:lang w:val="fr-CA"/>
        </w:rPr>
        <w:t xml:space="preserve">ervice mobile aéronautique (R) </w:t>
      </w:r>
      <w:r w:rsidR="00583366">
        <w:rPr>
          <w:lang w:val="fr-CA"/>
        </w:rPr>
        <w:t>en vue de son utilisation par</w:t>
      </w:r>
      <w:r w:rsidR="00583366" w:rsidRPr="00583366">
        <w:rPr>
          <w:lang w:val="fr-CA"/>
        </w:rPr>
        <w:t xml:space="preserve"> </w:t>
      </w:r>
      <w:r w:rsidR="00583366">
        <w:rPr>
          <w:color w:val="000000"/>
        </w:rPr>
        <w:t>les systèmes WAIC seulement</w:t>
      </w:r>
      <w:r w:rsidR="00583366" w:rsidRPr="00583366">
        <w:rPr>
          <w:lang w:val="fr-CA"/>
        </w:rPr>
        <w:t xml:space="preserve">, </w:t>
      </w:r>
      <w:r>
        <w:rPr>
          <w:lang w:val="fr-CA"/>
        </w:rPr>
        <w:t xml:space="preserve">au maintien du statut du </w:t>
      </w:r>
      <w:r w:rsidR="00583366">
        <w:rPr>
          <w:color w:val="000000"/>
        </w:rPr>
        <w:t>service d'exploration de la Terre par satellite</w:t>
      </w:r>
      <w:r w:rsidR="00583366" w:rsidRPr="00583366">
        <w:rPr>
          <w:lang w:val="fr-CA"/>
        </w:rPr>
        <w:t xml:space="preserve"> (</w:t>
      </w:r>
      <w:r w:rsidR="00583366">
        <w:rPr>
          <w:lang w:val="fr-CA"/>
        </w:rPr>
        <w:t>SETS</w:t>
      </w:r>
      <w:r w:rsidR="00583366" w:rsidRPr="00583366">
        <w:rPr>
          <w:lang w:val="fr-CA"/>
        </w:rPr>
        <w:t xml:space="preserve">) </w:t>
      </w:r>
      <w:r w:rsidR="00583366">
        <w:rPr>
          <w:lang w:val="fr-CA"/>
        </w:rPr>
        <w:t xml:space="preserve">et du service de recherche spatiale en tant que services passifs et à la protection de l’exploitation des services de radionavigation aéronautique </w:t>
      </w:r>
      <w:r>
        <w:rPr>
          <w:lang w:val="fr-CA"/>
        </w:rPr>
        <w:t>(</w:t>
      </w:r>
      <w:r w:rsidR="00583366">
        <w:rPr>
          <w:color w:val="000000"/>
        </w:rPr>
        <w:t>SRNA</w:t>
      </w:r>
      <w:r w:rsidR="00583366" w:rsidRPr="00583366">
        <w:rPr>
          <w:lang w:val="fr-CA"/>
        </w:rPr>
        <w:t>) (</w:t>
      </w:r>
      <w:r w:rsidR="00583366">
        <w:rPr>
          <w:lang w:val="fr-CA"/>
        </w:rPr>
        <w:t>cela correspond à la méthode dé</w:t>
      </w:r>
      <w:r>
        <w:rPr>
          <w:lang w:val="fr-CA"/>
        </w:rPr>
        <w:t>crite dans le rapport de la RPC</w:t>
      </w:r>
      <w:r w:rsidR="00583366" w:rsidRPr="00583366">
        <w:rPr>
          <w:lang w:val="fr-CA"/>
        </w:rPr>
        <w:t>).</w:t>
      </w:r>
    </w:p>
    <w:p w:rsidR="00C60ADC" w:rsidRPr="00C60ADC" w:rsidRDefault="00C60ADC" w:rsidP="00C60ADC">
      <w:pPr>
        <w:pStyle w:val="Headingb"/>
        <w:rPr>
          <w:lang w:val="fr-CA"/>
        </w:rPr>
      </w:pPr>
      <w:r>
        <w:rPr>
          <w:lang w:val="fr-CA"/>
        </w:rPr>
        <w:t>Propositions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DE1CB5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DE1CB5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DE1CB5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118A1" w:rsidRDefault="00DE1CB5">
      <w:pPr>
        <w:pStyle w:val="Proposal"/>
      </w:pPr>
      <w:r>
        <w:t>MOD</w:t>
      </w:r>
      <w:r>
        <w:tab/>
        <w:t>RCC/8A17/1</w:t>
      </w:r>
    </w:p>
    <w:p w:rsidR="004A6A8C" w:rsidRDefault="00DE1CB5" w:rsidP="00D94B9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4A6A8C" w:rsidTr="00D94B99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DE1CB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DE1CB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DE1CB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DE1CB5" w:rsidP="00D94B9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6065D2" w:rsidRPr="0004184C" w:rsidRDefault="00DE1CB5" w:rsidP="006065D2">
            <w:pPr>
              <w:pStyle w:val="TableTextS5"/>
              <w:spacing w:before="20" w:after="20"/>
              <w:ind w:left="85"/>
            </w:pPr>
            <w:r w:rsidRPr="0046453D">
              <w:rPr>
                <w:rStyle w:val="Tablefreq"/>
              </w:rPr>
              <w:t>4 200-4 400</w:t>
            </w:r>
            <w:r>
              <w:rPr>
                <w:color w:val="000000"/>
              </w:rPr>
              <w:tab/>
            </w:r>
            <w:ins w:id="7" w:author="Alidra, Patricia" w:date="2014-06-25T09:18:00Z">
              <w:r w:rsidR="006065D2" w:rsidRPr="0004184C">
                <w:rPr>
                  <w:color w:val="000000"/>
                </w:rPr>
                <w:t xml:space="preserve">MOBILE AÉRONAUTIQUE (R) </w:t>
              </w:r>
            </w:ins>
            <w:ins w:id="8" w:author="Sane, Marie Henriette" w:date="2014-07-15T15:31:00Z">
              <w:r w:rsidR="006065D2" w:rsidRPr="0004184C">
                <w:rPr>
                  <w:color w:val="000000"/>
                </w:rPr>
                <w:t xml:space="preserve"> </w:t>
              </w:r>
            </w:ins>
            <w:ins w:id="9" w:author="Alidra, Patricia" w:date="2014-06-25T09:18:00Z">
              <w:r w:rsidR="006065D2" w:rsidRPr="0004184C">
                <w:rPr>
                  <w:color w:val="000000"/>
                </w:rPr>
                <w:t>ADD 5.</w:t>
              </w:r>
            </w:ins>
            <w:ins w:id="10" w:author="Author2" w:date="2014-07-15T16:42:00Z">
              <w:r w:rsidR="006065D2" w:rsidRPr="0004184C">
                <w:t>A117</w:t>
              </w:r>
            </w:ins>
          </w:p>
          <w:p w:rsidR="006065D2" w:rsidRPr="0004184C" w:rsidRDefault="006065D2" w:rsidP="006065D2">
            <w:pPr>
              <w:pStyle w:val="TableTextS5"/>
              <w:spacing w:before="20" w:after="20"/>
              <w:ind w:left="85"/>
              <w:rPr>
                <w:rStyle w:val="Artref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04184C">
              <w:rPr>
                <w:color w:val="000000"/>
              </w:rPr>
              <w:t xml:space="preserve">RADIONAVIGATION AÉRONAUTIQUE </w:t>
            </w:r>
            <w:r w:rsidRPr="0004184C">
              <w:rPr>
                <w:rStyle w:val="Artref"/>
              </w:rPr>
              <w:t xml:space="preserve"> </w:t>
            </w:r>
            <w:ins w:id="11" w:author="Maloletkova, Svetlana" w:date="2014-06-26T11:11:00Z">
              <w:r w:rsidRPr="0004184C">
                <w:rPr>
                  <w:rStyle w:val="Artref"/>
                </w:rPr>
                <w:t>MOD</w:t>
              </w:r>
            </w:ins>
            <w:ins w:id="12" w:author="Maloletkova, Svetlana" w:date="2014-06-26T11:12:00Z">
              <w:r w:rsidRPr="0004184C">
                <w:rPr>
                  <w:rStyle w:val="Artref"/>
                </w:rPr>
                <w:t xml:space="preserve"> </w:t>
              </w:r>
            </w:ins>
            <w:r w:rsidRPr="0004184C">
              <w:rPr>
                <w:rStyle w:val="Artref"/>
              </w:rPr>
              <w:t>5.438</w:t>
            </w:r>
          </w:p>
          <w:p w:rsidR="004A6A8C" w:rsidRDefault="006065D2" w:rsidP="006065D2">
            <w:pPr>
              <w:pStyle w:val="TableTextS5"/>
              <w:spacing w:before="10" w:after="10"/>
              <w:rPr>
                <w:color w:val="000000"/>
              </w:rPr>
            </w:pP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 w:rsidRPr="0004184C">
              <w:rPr>
                <w:rStyle w:val="Artref"/>
              </w:rPr>
              <w:t>5.439  5.440</w:t>
            </w:r>
            <w:ins w:id="13" w:author="Maloletkova, Svetlana" w:date="2014-06-26T11:10:00Z">
              <w:r w:rsidRPr="0004184C">
                <w:rPr>
                  <w:rStyle w:val="Artref"/>
                </w:rPr>
                <w:t xml:space="preserve"> </w:t>
              </w:r>
            </w:ins>
            <w:ins w:id="14" w:author="Tsarapkina, Yulia" w:date="2014-07-11T15:01:00Z">
              <w:r w:rsidRPr="0004184C">
                <w:rPr>
                  <w:rStyle w:val="Artref"/>
                </w:rPr>
                <w:t xml:space="preserve"> </w:t>
              </w:r>
            </w:ins>
            <w:ins w:id="15" w:author="Maloletkova, Svetlana" w:date="2014-06-26T11:10:00Z">
              <w:r w:rsidRPr="0004184C">
                <w:rPr>
                  <w:rStyle w:val="Artref"/>
                </w:rPr>
                <w:t>ADD 5.</w:t>
              </w:r>
            </w:ins>
            <w:ins w:id="16" w:author="Jones, Jacqueline" w:date="2014-09-30T10:38:00Z">
              <w:r w:rsidRPr="0004184C">
                <w:rPr>
                  <w:rStyle w:val="Artref"/>
                </w:rPr>
                <w:t>B117</w:t>
              </w:r>
            </w:ins>
          </w:p>
        </w:tc>
      </w:tr>
    </w:tbl>
    <w:p w:rsidR="00E118A1" w:rsidRDefault="00E118A1">
      <w:pPr>
        <w:pStyle w:val="Reasons"/>
      </w:pPr>
    </w:p>
    <w:p w:rsidR="00E118A1" w:rsidRDefault="00DE1CB5">
      <w:pPr>
        <w:pStyle w:val="Proposal"/>
      </w:pPr>
      <w:r>
        <w:t>MOD</w:t>
      </w:r>
      <w:r>
        <w:tab/>
        <w:t>RCC/8A17/2</w:t>
      </w:r>
    </w:p>
    <w:p w:rsidR="004A6A8C" w:rsidRDefault="00DE1CB5" w:rsidP="00E74028">
      <w:pPr>
        <w:pStyle w:val="Note"/>
      </w:pPr>
      <w:r w:rsidRPr="00AC1139">
        <w:rPr>
          <w:rStyle w:val="Artdef"/>
        </w:rPr>
        <w:t>5.438</w:t>
      </w:r>
      <w:r w:rsidRPr="0061407F">
        <w:tab/>
      </w:r>
      <w:r>
        <w:t>L'utilisation de la bande 4</w:t>
      </w:r>
      <w:r>
        <w:rPr>
          <w:sz w:val="12"/>
        </w:rPr>
        <w:t> </w:t>
      </w:r>
      <w:r>
        <w:t>200-4</w:t>
      </w:r>
      <w:r>
        <w:rPr>
          <w:sz w:val="12"/>
        </w:rPr>
        <w:t> </w:t>
      </w:r>
      <w:r>
        <w:t xml:space="preserve">400 MHz par le service de radionavigation aéronautique est réservée exclusivement aux radioaltimètres installés à bord d'aéronefs ainsi qu'aux répondeurs au sol associés. </w:t>
      </w:r>
      <w:del w:id="17" w:author="Geneux, Aude" w:date="2015-06-24T10:41:00Z">
        <w:r w:rsidDel="00E74028">
          <w:delText>Cependant, la détection passive des services d'exploration de la Terre par satellite et de recherche spatiale, peut être autorisée dans cette bande à titre secondaire (aucune protection n'est assurée par les radioaltimètres).</w:delText>
        </w:r>
      </w:del>
    </w:p>
    <w:p w:rsidR="00E118A1" w:rsidRDefault="00E118A1">
      <w:pPr>
        <w:pStyle w:val="Reasons"/>
      </w:pPr>
    </w:p>
    <w:p w:rsidR="00E118A1" w:rsidRPr="00D45E43" w:rsidRDefault="00DE1CB5">
      <w:pPr>
        <w:pStyle w:val="Proposal"/>
        <w:rPr>
          <w:lang w:val="fr-CH"/>
        </w:rPr>
      </w:pPr>
      <w:r w:rsidRPr="00D45E43">
        <w:rPr>
          <w:lang w:val="fr-CH"/>
        </w:rPr>
        <w:t>ADD</w:t>
      </w:r>
      <w:r w:rsidRPr="00D45E43">
        <w:rPr>
          <w:lang w:val="fr-CH"/>
        </w:rPr>
        <w:tab/>
        <w:t>RCC/8A17/3</w:t>
      </w:r>
    </w:p>
    <w:p w:rsidR="00B84F2A" w:rsidRPr="00B84F2A" w:rsidRDefault="00B84F2A" w:rsidP="00B84F2A">
      <w:pPr>
        <w:pStyle w:val="Note"/>
        <w:rPr>
          <w:b/>
        </w:rPr>
      </w:pPr>
      <w:r w:rsidRPr="00B84F2A">
        <w:rPr>
          <w:b/>
        </w:rPr>
        <w:t>5.A117</w:t>
      </w:r>
      <w:r w:rsidRPr="00B84F2A">
        <w:rPr>
          <w:b/>
        </w:rPr>
        <w:tab/>
      </w:r>
      <w:r w:rsidRPr="00B84F2A">
        <w:t>L'utilisation de la bande de fréquences 4 200-4 400 MHz par les stations du service mobile aéronautique (R) est réservée exclusivement aux systèmes de communication hertzienne entre équipements d'avionique à bord d'un aéronef exploités conformément aux normes aéronautiques internationales reconnues. Cette utilisation doit être conforme à la Résolution </w:t>
      </w:r>
      <w:r w:rsidRPr="00B84F2A">
        <w:rPr>
          <w:b/>
          <w:bCs/>
        </w:rPr>
        <w:t>[</w:t>
      </w:r>
      <w:r>
        <w:rPr>
          <w:b/>
          <w:bCs/>
        </w:rPr>
        <w:t>RCC-</w:t>
      </w:r>
      <w:r w:rsidRPr="00B84F2A">
        <w:rPr>
          <w:b/>
          <w:bCs/>
        </w:rPr>
        <w:t>A117-WAIC] (CMR-15)</w:t>
      </w:r>
      <w:r w:rsidRPr="00B84F2A">
        <w:rPr>
          <w:bCs/>
        </w:rPr>
        <w:t>.</w:t>
      </w:r>
    </w:p>
    <w:p w:rsidR="00E118A1" w:rsidRPr="00B84F2A" w:rsidRDefault="00DE1CB5">
      <w:pPr>
        <w:pStyle w:val="Reasons"/>
        <w:rPr>
          <w:lang w:val="fr-CH"/>
        </w:rPr>
      </w:pPr>
      <w:r w:rsidRPr="00B84F2A">
        <w:rPr>
          <w:b/>
          <w:lang w:val="fr-CH"/>
        </w:rPr>
        <w:t>Motifs:</w:t>
      </w:r>
      <w:r w:rsidRPr="00B84F2A">
        <w:rPr>
          <w:lang w:val="fr-CH"/>
        </w:rPr>
        <w:tab/>
      </w:r>
      <w:r w:rsidR="00B84F2A" w:rsidRPr="0004184C">
        <w:t xml:space="preserve">Ce renvoi fait référence à la Résolution </w:t>
      </w:r>
      <w:r w:rsidR="00B84F2A" w:rsidRPr="003D1896">
        <w:t>[RCC-A117-WAIC] (CMR-15)</w:t>
      </w:r>
      <w:r w:rsidR="00B84F2A" w:rsidRPr="0004184C">
        <w:t xml:space="preserve"> ci</w:t>
      </w:r>
      <w:r w:rsidR="00B84F2A" w:rsidRPr="0004184C">
        <w:noBreakHyphen/>
        <w:t>après.</w:t>
      </w:r>
    </w:p>
    <w:p w:rsidR="00E118A1" w:rsidRPr="00D45E43" w:rsidRDefault="00DE1CB5">
      <w:pPr>
        <w:pStyle w:val="Proposal"/>
        <w:rPr>
          <w:lang w:val="fr-CH"/>
        </w:rPr>
      </w:pPr>
      <w:r w:rsidRPr="00D45E43">
        <w:rPr>
          <w:lang w:val="fr-CH"/>
        </w:rPr>
        <w:t>ADD</w:t>
      </w:r>
      <w:r w:rsidRPr="00D45E43">
        <w:rPr>
          <w:lang w:val="fr-CH"/>
        </w:rPr>
        <w:tab/>
        <w:t>RCC/8A17/4</w:t>
      </w:r>
    </w:p>
    <w:p w:rsidR="004912EE" w:rsidRDefault="004912EE" w:rsidP="004912EE">
      <w:pPr>
        <w:pStyle w:val="Note"/>
      </w:pPr>
      <w:r w:rsidRPr="0004184C">
        <w:rPr>
          <w:rStyle w:val="Artdef"/>
        </w:rPr>
        <w:t>5.B117</w:t>
      </w:r>
      <w:r>
        <w:tab/>
      </w:r>
      <w:r w:rsidRPr="0004184C">
        <w:t>La détection passive des services d'exploration de la Terre par satellite et de recherche spatiale peut être autorisée dans la bande de fréquences 4 200-4 400 MHz à titre secondaire.</w:t>
      </w:r>
    </w:p>
    <w:p w:rsidR="003D1896" w:rsidRPr="0004184C" w:rsidRDefault="003D1896" w:rsidP="003D1896">
      <w:pPr>
        <w:pStyle w:val="Reasons"/>
      </w:pPr>
    </w:p>
    <w:p w:rsidR="00E118A1" w:rsidRDefault="00DE1CB5">
      <w:pPr>
        <w:pStyle w:val="Proposal"/>
      </w:pPr>
      <w:r>
        <w:lastRenderedPageBreak/>
        <w:t>SUP</w:t>
      </w:r>
      <w:r>
        <w:tab/>
        <w:t>RCC/8A17/5</w:t>
      </w:r>
    </w:p>
    <w:p w:rsidR="00DD4258" w:rsidRDefault="00DE1CB5" w:rsidP="00DD4258">
      <w:pPr>
        <w:pStyle w:val="ResNo"/>
      </w:pPr>
      <w:r w:rsidRPr="004D7228">
        <w:t>RÉSOLUTION</w:t>
      </w:r>
      <w:r>
        <w:t xml:space="preserve"> </w:t>
      </w:r>
      <w:r w:rsidRPr="00880E4B">
        <w:rPr>
          <w:rStyle w:val="href"/>
        </w:rPr>
        <w:t>423</w:t>
      </w:r>
      <w:r w:rsidRPr="00DB7B2F">
        <w:t xml:space="preserve"> (CMR-12)</w:t>
      </w:r>
    </w:p>
    <w:p w:rsidR="00AC1F0E" w:rsidRPr="00AC1F0E" w:rsidRDefault="00DE1CB5" w:rsidP="00AC1F0E">
      <w:pPr>
        <w:pStyle w:val="Restitle"/>
      </w:pPr>
      <w:r>
        <w:t>Examen des mesures réglementaires, y compris des attributions, pour permettre l'exploitation des systèmes de communication hertzienne entre</w:t>
      </w:r>
      <w:r>
        <w:br/>
        <w:t>équipements d'avionique à abord d'un aéronef</w:t>
      </w:r>
    </w:p>
    <w:p w:rsidR="00E118A1" w:rsidRDefault="00E118A1">
      <w:pPr>
        <w:pStyle w:val="Reasons"/>
      </w:pPr>
    </w:p>
    <w:p w:rsidR="00E118A1" w:rsidRPr="00CB7C3E" w:rsidRDefault="00DE1CB5">
      <w:pPr>
        <w:pStyle w:val="Proposal"/>
        <w:rPr>
          <w:lang w:val="fr-CH"/>
        </w:rPr>
      </w:pPr>
      <w:r w:rsidRPr="00CB7C3E">
        <w:rPr>
          <w:lang w:val="fr-CH"/>
        </w:rPr>
        <w:t>ADD</w:t>
      </w:r>
      <w:r w:rsidRPr="00CB7C3E">
        <w:rPr>
          <w:lang w:val="fr-CH"/>
        </w:rPr>
        <w:tab/>
        <w:t>RCC/8A17/6</w:t>
      </w:r>
    </w:p>
    <w:p w:rsidR="00CB7C3E" w:rsidRPr="00CB7C3E" w:rsidRDefault="003D1896" w:rsidP="00CB7C3E">
      <w:pPr>
        <w:pStyle w:val="ResNo"/>
        <w:keepNext w:val="0"/>
        <w:keepLines w:val="0"/>
        <w:rPr>
          <w:lang w:val="fr-CH"/>
        </w:rPr>
      </w:pPr>
      <w:r>
        <w:rPr>
          <w:lang w:val="fr-CH"/>
        </w:rPr>
        <w:t xml:space="preserve">projet de nouvelle </w:t>
      </w:r>
      <w:r w:rsidR="00CB7C3E" w:rsidRPr="00CB7C3E">
        <w:rPr>
          <w:lang w:val="fr-CH"/>
        </w:rPr>
        <w:t>résolution [</w:t>
      </w:r>
      <w:r w:rsidR="00CB7C3E">
        <w:rPr>
          <w:lang w:val="fr-CH"/>
        </w:rPr>
        <w:t>rcc-</w:t>
      </w:r>
      <w:r w:rsidR="00CB7C3E" w:rsidRPr="00CB7C3E">
        <w:rPr>
          <w:lang w:val="fr-CH"/>
        </w:rPr>
        <w:t>A117-WAIC] (cmr-15)</w:t>
      </w:r>
    </w:p>
    <w:p w:rsidR="00CB7C3E" w:rsidRPr="0004184C" w:rsidRDefault="00CB7C3E" w:rsidP="00CB7C3E">
      <w:pPr>
        <w:pStyle w:val="Restitle"/>
        <w:keepNext w:val="0"/>
        <w:keepLines w:val="0"/>
      </w:pPr>
      <w:r w:rsidRPr="0004184C">
        <w:t xml:space="preserve">Utilisation des systèmes de communication hertzienne entre équipements d'avionique à bord d'un aéronef dans la bande de </w:t>
      </w:r>
      <w:r w:rsidRPr="0004184C">
        <w:br/>
        <w:t>fréquences 4 200</w:t>
      </w:r>
      <w:r w:rsidRPr="0004184C">
        <w:noBreakHyphen/>
        <w:t>4 400 MHz</w:t>
      </w:r>
    </w:p>
    <w:p w:rsidR="00CB7C3E" w:rsidRPr="0004184C" w:rsidRDefault="00CB7C3E" w:rsidP="00CB7C3E">
      <w:pPr>
        <w:pStyle w:val="Normalaftertitle"/>
        <w:keepNext/>
        <w:keepLines/>
      </w:pPr>
      <w:r w:rsidRPr="0004184C">
        <w:t>La Conférence mondiale des radiocommunications (Genève, 2015),</w:t>
      </w:r>
    </w:p>
    <w:p w:rsidR="00CB7C3E" w:rsidRPr="0004184C" w:rsidRDefault="00CB7C3E" w:rsidP="00CB7C3E">
      <w:pPr>
        <w:pStyle w:val="Call"/>
        <w:rPr>
          <w:lang w:eastAsia="ja-JP"/>
        </w:rPr>
      </w:pPr>
      <w:r w:rsidRPr="0004184C">
        <w:rPr>
          <w:lang w:eastAsia="ja-JP"/>
        </w:rPr>
        <w:t>considérant</w:t>
      </w:r>
    </w:p>
    <w:p w:rsidR="00CB7C3E" w:rsidRPr="0004184C" w:rsidRDefault="00CB7C3E" w:rsidP="00CB7C3E">
      <w:r w:rsidRPr="0004184C">
        <w:rPr>
          <w:i/>
          <w:lang w:eastAsia="ja-JP"/>
        </w:rPr>
        <w:t>a)</w:t>
      </w:r>
      <w:r w:rsidRPr="0004184C">
        <w:rPr>
          <w:lang w:eastAsia="ja-JP"/>
        </w:rPr>
        <w:tab/>
        <w:t xml:space="preserve">que les aéronefs sont conçus </w:t>
      </w:r>
      <w:r w:rsidRPr="0004184C">
        <w:t>pour renforcer l'efficacité, la fiabilité et la sécurité et pour être plus respectueux de l'environnement</w:t>
      </w:r>
      <w:r w:rsidRPr="0004184C">
        <w:rPr>
          <w:lang w:eastAsia="ja-JP"/>
        </w:rPr>
        <w:t>;</w:t>
      </w:r>
    </w:p>
    <w:p w:rsidR="00CB7C3E" w:rsidRPr="0004184C" w:rsidRDefault="00CB7C3E" w:rsidP="00115ED2">
      <w:pPr>
        <w:rPr>
          <w:lang w:eastAsia="ja-JP"/>
        </w:rPr>
      </w:pPr>
      <w:r w:rsidRPr="0004184C">
        <w:rPr>
          <w:i/>
          <w:lang w:eastAsia="ja-JP"/>
        </w:rPr>
        <w:t>b)</w:t>
      </w:r>
      <w:r w:rsidRPr="0004184C">
        <w:rPr>
          <w:lang w:eastAsia="ja-JP"/>
        </w:rPr>
        <w:tab/>
      </w:r>
      <w:r w:rsidRPr="0004184C">
        <w:t>que les systèmes de communication hertzienne entre équipements d'avionique à bord d'un aéronef (WAIC) assurent des radiocommunications entre deux ou plusieurs stations d'aéronef intégrées ou installées à bord d'un même aéronef</w:t>
      </w:r>
      <w:r w:rsidR="003D1896">
        <w:t>,</w:t>
      </w:r>
      <w:r w:rsidRPr="0004184C">
        <w:t xml:space="preserve"> pour </w:t>
      </w:r>
      <w:r w:rsidR="00115ED2">
        <w:t>garanti</w:t>
      </w:r>
      <w:r w:rsidRPr="0004184C">
        <w:t>r</w:t>
      </w:r>
      <w:r w:rsidR="00115ED2">
        <w:t xml:space="preserve"> la sécurité d</w:t>
      </w:r>
      <w:r w:rsidRPr="0004184C">
        <w:t>'exploitation de l'aéronef</w:t>
      </w:r>
      <w:r w:rsidRPr="0004184C">
        <w:rPr>
          <w:lang w:eastAsia="ja-JP"/>
        </w:rPr>
        <w:t>;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i/>
          <w:lang w:eastAsia="ja-JP"/>
        </w:rPr>
        <w:t>c)</w:t>
      </w:r>
      <w:r w:rsidRPr="0004184C">
        <w:rPr>
          <w:lang w:eastAsia="ja-JP"/>
        </w:rPr>
        <w:tab/>
      </w:r>
      <w:r w:rsidRPr="0004184C">
        <w:t>que les systèmes WAIC ne fournissent pas de radiocommunications entre un aéronef et le sol, un autre aéronef ou un satellite</w:t>
      </w:r>
      <w:r w:rsidRPr="0004184C">
        <w:rPr>
          <w:lang w:eastAsia="ja-JP"/>
        </w:rPr>
        <w:t>;</w:t>
      </w:r>
    </w:p>
    <w:p w:rsidR="00CB7C3E" w:rsidRPr="0004184C" w:rsidRDefault="00CB7C3E" w:rsidP="00E64167">
      <w:pPr>
        <w:rPr>
          <w:lang w:eastAsia="ja-JP"/>
        </w:rPr>
      </w:pPr>
      <w:r w:rsidRPr="0004184C">
        <w:rPr>
          <w:i/>
          <w:lang w:eastAsia="ja-JP"/>
        </w:rPr>
        <w:t>d)</w:t>
      </w:r>
      <w:r w:rsidRPr="0004184C">
        <w:rPr>
          <w:lang w:eastAsia="ja-JP"/>
        </w:rPr>
        <w:tab/>
        <w:t>que les systèmes WAIC fonctionnent de façon à assurer</w:t>
      </w:r>
      <w:r w:rsidR="00E64167" w:rsidRPr="00E64167">
        <w:t xml:space="preserve"> </w:t>
      </w:r>
      <w:r w:rsidR="00E64167">
        <w:t>la sécurité d</w:t>
      </w:r>
      <w:r w:rsidR="00E64167" w:rsidRPr="0004184C">
        <w:t xml:space="preserve">'exploitation </w:t>
      </w:r>
      <w:r w:rsidRPr="0004184C">
        <w:rPr>
          <w:lang w:eastAsia="ja-JP"/>
        </w:rPr>
        <w:t>d'un aéronef;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i/>
          <w:lang w:eastAsia="ja-JP"/>
        </w:rPr>
        <w:t>e)</w:t>
      </w:r>
      <w:r w:rsidRPr="0004184C">
        <w:rPr>
          <w:lang w:eastAsia="ja-JP"/>
        </w:rPr>
        <w:tab/>
      </w:r>
      <w:r w:rsidRPr="0004184C">
        <w:t>que les systèmes WAIC sont exploités pendant toutes les phases d'un vol, y compris au sol</w:t>
      </w:r>
      <w:r w:rsidRPr="0004184C">
        <w:rPr>
          <w:lang w:eastAsia="ja-JP"/>
        </w:rPr>
        <w:t>;</w:t>
      </w:r>
    </w:p>
    <w:p w:rsidR="00CB7C3E" w:rsidRPr="0004184C" w:rsidRDefault="00CB7C3E" w:rsidP="00CB7C3E">
      <w:pPr>
        <w:rPr>
          <w:b/>
          <w:lang w:eastAsia="ja-JP"/>
        </w:rPr>
      </w:pPr>
      <w:r w:rsidRPr="0004184C">
        <w:rPr>
          <w:i/>
          <w:lang w:eastAsia="ja-JP"/>
        </w:rPr>
        <w:t>f)</w:t>
      </w:r>
      <w:r w:rsidRPr="0004184C">
        <w:rPr>
          <w:lang w:eastAsia="ja-JP"/>
        </w:rPr>
        <w:tab/>
      </w:r>
      <w:r w:rsidRPr="0004184C">
        <w:t>que les aéronefs équipés de systèmes WAIC sont exploités à l'échelle mondiale</w:t>
      </w:r>
      <w:r w:rsidRPr="0004184C">
        <w:rPr>
          <w:lang w:eastAsia="ja-JP"/>
        </w:rPr>
        <w:t>;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i/>
          <w:lang w:eastAsia="ja-JP"/>
        </w:rPr>
        <w:t>g)</w:t>
      </w:r>
      <w:r w:rsidRPr="0004184C">
        <w:rPr>
          <w:lang w:eastAsia="ja-JP"/>
        </w:rPr>
        <w:tab/>
      </w:r>
      <w:r w:rsidRPr="0004184C">
        <w:t>que les systèmes WAIC fonctionnant à l'intérieur d'un aéronef bénéficient des avantages liés à l'affaiblissement dû au fuselage, pour faciliter le partage avec d'autres services;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i/>
          <w:iCs/>
          <w:lang w:eastAsia="ja-JP"/>
        </w:rPr>
        <w:t>h)</w:t>
      </w:r>
      <w:r w:rsidRPr="0004184C">
        <w:rPr>
          <w:lang w:eastAsia="ja-JP"/>
        </w:rPr>
        <w:tab/>
        <w:t xml:space="preserve">que la Recommandation UIT-R M.2067 </w:t>
      </w:r>
      <w:r w:rsidRPr="0004184C">
        <w:t>présente les caractéristiques techniques et les objectifs d'exploitation des systèmes WAIC,</w:t>
      </w:r>
    </w:p>
    <w:p w:rsidR="00CB7C3E" w:rsidRPr="0004184C" w:rsidRDefault="00CB7C3E" w:rsidP="00CB7C3E">
      <w:pPr>
        <w:pStyle w:val="Call"/>
        <w:rPr>
          <w:lang w:eastAsia="ja-JP"/>
        </w:rPr>
      </w:pPr>
      <w:r w:rsidRPr="0004184C">
        <w:rPr>
          <w:lang w:eastAsia="ja-JP"/>
        </w:rPr>
        <w:t>reconnaissant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lang w:eastAsia="ja-JP"/>
        </w:rPr>
        <w:t xml:space="preserve">que </w:t>
      </w:r>
      <w:r w:rsidRPr="0004184C">
        <w:t>l'Annexe 10 de la Convention relative à l'aviation civile internationale contient des normes et pratiques recommandées (SARP) applicables aux systèmes de radionavigation aéronautique et de radiocommunication de sécurité utilisés par l'aviation civile internationale</w:t>
      </w:r>
      <w:r w:rsidRPr="0004184C">
        <w:rPr>
          <w:lang w:eastAsia="ja-JP"/>
        </w:rPr>
        <w:t>,</w:t>
      </w:r>
    </w:p>
    <w:p w:rsidR="00CB7C3E" w:rsidRPr="0004184C" w:rsidRDefault="00CB7C3E" w:rsidP="00CB7C3E">
      <w:pPr>
        <w:pStyle w:val="Call"/>
        <w:rPr>
          <w:lang w:eastAsia="ja-JP"/>
        </w:rPr>
      </w:pPr>
      <w:r w:rsidRPr="0004184C">
        <w:rPr>
          <w:lang w:eastAsia="ja-JP"/>
        </w:rPr>
        <w:lastRenderedPageBreak/>
        <w:t>décide</w:t>
      </w:r>
    </w:p>
    <w:p w:rsidR="00CB7C3E" w:rsidRPr="0004184C" w:rsidRDefault="00CB7C3E" w:rsidP="00E64167">
      <w:pPr>
        <w:rPr>
          <w:lang w:eastAsia="ja-JP"/>
        </w:rPr>
      </w:pPr>
      <w:r w:rsidRPr="0004184C">
        <w:rPr>
          <w:lang w:eastAsia="ja-JP"/>
        </w:rPr>
        <w:t>1</w:t>
      </w:r>
      <w:r w:rsidRPr="0004184C">
        <w:rPr>
          <w:lang w:eastAsia="ja-JP"/>
        </w:rPr>
        <w:tab/>
        <w:t xml:space="preserve">que les communications WAIC sont définies comme étant des radiocommunications </w:t>
      </w:r>
      <w:r w:rsidRPr="0004184C">
        <w:t>entre deux ou plusieurs stations d'aéronef installées à bord d'un même aéronef</w:t>
      </w:r>
      <w:r w:rsidRPr="0004184C">
        <w:rPr>
          <w:lang w:eastAsia="ja-JP"/>
        </w:rPr>
        <w:t xml:space="preserve"> pour assurer</w:t>
      </w:r>
      <w:r w:rsidR="00E64167" w:rsidRPr="00E64167">
        <w:t xml:space="preserve"> </w:t>
      </w:r>
      <w:r w:rsidR="00E64167">
        <w:t>la sécurité d</w:t>
      </w:r>
      <w:r w:rsidR="00E64167" w:rsidRPr="0004184C">
        <w:t>'exploitation</w:t>
      </w:r>
      <w:r w:rsidRPr="0004184C">
        <w:rPr>
          <w:lang w:eastAsia="ja-JP"/>
        </w:rPr>
        <w:t xml:space="preserve"> de l'aéronef;</w:t>
      </w:r>
    </w:p>
    <w:p w:rsidR="00CB7C3E" w:rsidRPr="0004184C" w:rsidRDefault="00CB7C3E" w:rsidP="003D1896">
      <w:pPr>
        <w:rPr>
          <w:lang w:eastAsia="ja-JP"/>
        </w:rPr>
      </w:pPr>
      <w:r w:rsidRPr="0004184C">
        <w:rPr>
          <w:lang w:eastAsia="ja-JP"/>
        </w:rPr>
        <w:t>2</w:t>
      </w:r>
      <w:r w:rsidRPr="0004184C">
        <w:rPr>
          <w:lang w:eastAsia="ja-JP"/>
        </w:rPr>
        <w:tab/>
      </w:r>
      <w:r w:rsidRPr="0004184C">
        <w:t>que les systèmes WAIC</w:t>
      </w:r>
      <w:r w:rsidRPr="0004184C">
        <w:rPr>
          <w:lang w:eastAsia="ja-JP"/>
        </w:rPr>
        <w:t xml:space="preserve"> </w:t>
      </w:r>
      <w:r w:rsidRPr="0004184C">
        <w:t xml:space="preserve">fonctionnant dans la bande de fréquences </w:t>
      </w:r>
      <w:r w:rsidRPr="0004184C">
        <w:rPr>
          <w:lang w:eastAsia="ja-JP"/>
        </w:rPr>
        <w:t>4 200</w:t>
      </w:r>
      <w:r w:rsidRPr="0004184C">
        <w:rPr>
          <w:lang w:eastAsia="ja-JP"/>
        </w:rPr>
        <w:noBreakHyphen/>
        <w:t>4 400 </w:t>
      </w:r>
      <w:r w:rsidRPr="0004184C">
        <w:t>MHz ne doivent pas causer de brouillages préjudiciables aux systèmes du service de radionavigation aéronautique fonctionnant dans cette bande de fréquences</w:t>
      </w:r>
      <w:r w:rsidR="00E64167">
        <w:t>,</w:t>
      </w:r>
      <w:r w:rsidRPr="0004184C">
        <w:t xml:space="preserve"> ni demander à être protég</w:t>
      </w:r>
      <w:r w:rsidR="003D1896">
        <w:t>és</w:t>
      </w:r>
      <w:r w:rsidRPr="0004184C">
        <w:t xml:space="preserve"> vis-à-vis de ces systèmes</w:t>
      </w:r>
      <w:r w:rsidRPr="0004184C">
        <w:rPr>
          <w:lang w:eastAsia="ja-JP"/>
        </w:rPr>
        <w:t>;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lang w:eastAsia="ja-JP"/>
        </w:rPr>
        <w:t>3</w:t>
      </w:r>
      <w:r w:rsidRPr="0004184C">
        <w:rPr>
          <w:lang w:eastAsia="ja-JP"/>
        </w:rPr>
        <w:tab/>
      </w:r>
      <w:r w:rsidRPr="0004184C">
        <w:t>que les systèmes WAIC</w:t>
      </w:r>
      <w:r w:rsidRPr="0004184C">
        <w:rPr>
          <w:lang w:eastAsia="ja-JP"/>
        </w:rPr>
        <w:t xml:space="preserve"> </w:t>
      </w:r>
      <w:r w:rsidRPr="0004184C">
        <w:t xml:space="preserve">fonctionnant dans la bande de fréquences </w:t>
      </w:r>
      <w:r w:rsidRPr="0004184C">
        <w:rPr>
          <w:lang w:eastAsia="ja-JP"/>
        </w:rPr>
        <w:t xml:space="preserve">4 200-4 400 MHz </w:t>
      </w:r>
      <w:r w:rsidRPr="0004184C">
        <w:t>doivent respecter les normes et pratiques recommandées publiées dans l'Annexe 10 de la Convention relative à l'aviation civile internationale</w:t>
      </w:r>
      <w:r w:rsidRPr="0004184C">
        <w:rPr>
          <w:lang w:eastAsia="ja-JP"/>
        </w:rPr>
        <w:t>;</w:t>
      </w:r>
    </w:p>
    <w:p w:rsidR="00CB7C3E" w:rsidRPr="0004184C" w:rsidRDefault="00CB7C3E" w:rsidP="00CB7C3E">
      <w:pPr>
        <w:rPr>
          <w:lang w:eastAsia="ja-JP"/>
        </w:rPr>
      </w:pPr>
      <w:r w:rsidRPr="0004184C">
        <w:rPr>
          <w:lang w:eastAsia="ja-JP"/>
        </w:rPr>
        <w:t>4</w:t>
      </w:r>
      <w:r w:rsidRPr="0004184C">
        <w:rPr>
          <w:lang w:eastAsia="ja-JP"/>
        </w:rPr>
        <w:tab/>
        <w:t xml:space="preserve">que le numéro </w:t>
      </w:r>
      <w:r w:rsidRPr="0004184C">
        <w:rPr>
          <w:b/>
          <w:bCs/>
          <w:lang w:eastAsia="ja-JP"/>
        </w:rPr>
        <w:t>43.1</w:t>
      </w:r>
      <w:r w:rsidRPr="0004184C">
        <w:rPr>
          <w:lang w:eastAsia="ja-JP"/>
        </w:rPr>
        <w:t xml:space="preserve"> ne s'applique pas aux systèmes WAIC,</w:t>
      </w:r>
    </w:p>
    <w:p w:rsidR="00CB7C3E" w:rsidRPr="0004184C" w:rsidRDefault="00CB7C3E" w:rsidP="00CB7C3E">
      <w:pPr>
        <w:pStyle w:val="Call"/>
      </w:pPr>
      <w:r w:rsidRPr="0004184C">
        <w:t>charge le Secrétaire général</w:t>
      </w:r>
    </w:p>
    <w:p w:rsidR="00CB7C3E" w:rsidRPr="0004184C" w:rsidRDefault="00CB7C3E" w:rsidP="00CB7C3E">
      <w:r w:rsidRPr="0004184C">
        <w:t>de porter la présente Résolution à l'attention de l'OACI,</w:t>
      </w:r>
    </w:p>
    <w:p w:rsidR="00CB7C3E" w:rsidRPr="0004184C" w:rsidRDefault="00CB7C3E" w:rsidP="00CB7C3E">
      <w:pPr>
        <w:pStyle w:val="Call"/>
      </w:pPr>
      <w:r w:rsidRPr="0004184C">
        <w:t>invite l'OACI</w:t>
      </w:r>
    </w:p>
    <w:p w:rsidR="00CB7C3E" w:rsidRPr="0004184C" w:rsidRDefault="00CB7C3E" w:rsidP="00CB7C3E">
      <w:r w:rsidRPr="0004184C">
        <w:t>à tenir compte de la Recommandation UIT-R M.[WAIC CONDITIONS] lorsqu'elle élaborera les SARP applicables aux systèmes WAIC.</w:t>
      </w:r>
    </w:p>
    <w:p w:rsidR="00CB7C3E" w:rsidRPr="0004184C" w:rsidRDefault="00CB7C3E" w:rsidP="00CB7C3E">
      <w:pPr>
        <w:pStyle w:val="Reasons"/>
      </w:pPr>
      <w:r w:rsidRPr="0004184C">
        <w:rPr>
          <w:b/>
          <w:bCs/>
        </w:rPr>
        <w:t>Motifs:</w:t>
      </w:r>
      <w:r w:rsidRPr="0004184C">
        <w:tab/>
        <w:t>Cette Résolution fournit des dispositions réglementaires appropriées pour traiter le point de l'ordre du jour.</w:t>
      </w:r>
    </w:p>
    <w:p w:rsidR="00E118A1" w:rsidRDefault="00E118A1"/>
    <w:p w:rsidR="00E11705" w:rsidRPr="00CB7C3E" w:rsidRDefault="00E11705" w:rsidP="00E11705">
      <w:pPr>
        <w:jc w:val="center"/>
      </w:pPr>
      <w:r>
        <w:t>_____________</w:t>
      </w:r>
    </w:p>
    <w:sectPr w:rsidR="00E11705" w:rsidRPr="00CB7C3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7CDA">
      <w:rPr>
        <w:noProof/>
        <w:lang w:val="en-US"/>
      </w:rPr>
      <w:t>P:\FRA\ITU-R\CONF-R\CMR15\000\008ADD17F.docx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7CDA">
      <w:rPr>
        <w:noProof/>
      </w:rPr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7CDA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7CDA">
      <w:rPr>
        <w:lang w:val="en-US"/>
      </w:rPr>
      <w:t>P:\FRA\ITU-R\CONF-R\CMR15\000\008ADD17F.docx</w:t>
    </w:r>
    <w:r>
      <w:fldChar w:fldCharType="end"/>
    </w:r>
    <w:r w:rsidR="003D1896">
      <w:t xml:space="preserve"> (382358)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7CDA"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7CDA">
      <w:t>02.07.15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7CDA">
      <w:rPr>
        <w:lang w:val="en-US"/>
      </w:rPr>
      <w:t>P:\FRA\ITU-R\CONF-R\CMR15\000\008ADD17F.docx</w:t>
    </w:r>
    <w:r>
      <w:fldChar w:fldCharType="end"/>
    </w:r>
    <w:r w:rsidR="003D1896">
      <w:t xml:space="preserve"> (382358)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7CDA">
      <w:t>02.07.15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7CDA">
      <w:t>02.07.15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7CDA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  <w15:person w15:author="Maloletkova, Svetlana">
    <w15:presenceInfo w15:providerId="AD" w15:userId="S-1-5-21-8740799-900759487-1415713722-14334"/>
  </w15:person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63A502-E4A3-4E77-B640-3CF9BAD811D6}"/>
    <w:docVar w:name="dgnword-eventsink" w:val="402341936"/>
  </w:docVars>
  <w:rsids>
    <w:rsidRoot w:val="00BB1D82"/>
    <w:rsid w:val="00007EC7"/>
    <w:rsid w:val="00010B43"/>
    <w:rsid w:val="00016648"/>
    <w:rsid w:val="0003522F"/>
    <w:rsid w:val="00080E2C"/>
    <w:rsid w:val="000A4755"/>
    <w:rsid w:val="000A7CDA"/>
    <w:rsid w:val="000B2E0C"/>
    <w:rsid w:val="000B3D0C"/>
    <w:rsid w:val="00115ED2"/>
    <w:rsid w:val="001167B9"/>
    <w:rsid w:val="001267A0"/>
    <w:rsid w:val="0015203F"/>
    <w:rsid w:val="00160C64"/>
    <w:rsid w:val="0018169B"/>
    <w:rsid w:val="0019352B"/>
    <w:rsid w:val="001960D0"/>
    <w:rsid w:val="00204306"/>
    <w:rsid w:val="00232FD2"/>
    <w:rsid w:val="0026554E"/>
    <w:rsid w:val="002A4622"/>
    <w:rsid w:val="002A6F8F"/>
    <w:rsid w:val="002B17E5"/>
    <w:rsid w:val="002B1FBB"/>
    <w:rsid w:val="002C0EBF"/>
    <w:rsid w:val="002C28A4"/>
    <w:rsid w:val="00315AFE"/>
    <w:rsid w:val="003606A6"/>
    <w:rsid w:val="0036650C"/>
    <w:rsid w:val="00393ACD"/>
    <w:rsid w:val="003A583E"/>
    <w:rsid w:val="003D1896"/>
    <w:rsid w:val="003E112B"/>
    <w:rsid w:val="003E1D1C"/>
    <w:rsid w:val="003E7B05"/>
    <w:rsid w:val="00466211"/>
    <w:rsid w:val="004834A9"/>
    <w:rsid w:val="004912EE"/>
    <w:rsid w:val="004D01FC"/>
    <w:rsid w:val="004E28C3"/>
    <w:rsid w:val="004F1F8E"/>
    <w:rsid w:val="00512A32"/>
    <w:rsid w:val="00583366"/>
    <w:rsid w:val="00586CF2"/>
    <w:rsid w:val="005C3768"/>
    <w:rsid w:val="005C6C3F"/>
    <w:rsid w:val="006065D2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0128F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A3D76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6CE"/>
    <w:rsid w:val="00B64FD0"/>
    <w:rsid w:val="00B84F2A"/>
    <w:rsid w:val="00BA5BD0"/>
    <w:rsid w:val="00BB1D82"/>
    <w:rsid w:val="00BF26E7"/>
    <w:rsid w:val="00C53FCA"/>
    <w:rsid w:val="00C60ADC"/>
    <w:rsid w:val="00C76BAF"/>
    <w:rsid w:val="00C814B9"/>
    <w:rsid w:val="00CB7C3E"/>
    <w:rsid w:val="00CD516F"/>
    <w:rsid w:val="00D119A7"/>
    <w:rsid w:val="00D25FBA"/>
    <w:rsid w:val="00D32B28"/>
    <w:rsid w:val="00D42954"/>
    <w:rsid w:val="00D45E43"/>
    <w:rsid w:val="00D66EAC"/>
    <w:rsid w:val="00D730DF"/>
    <w:rsid w:val="00D772F0"/>
    <w:rsid w:val="00D77BDC"/>
    <w:rsid w:val="00DC402B"/>
    <w:rsid w:val="00DE0932"/>
    <w:rsid w:val="00DE1CB5"/>
    <w:rsid w:val="00E03A27"/>
    <w:rsid w:val="00E049F1"/>
    <w:rsid w:val="00E11705"/>
    <w:rsid w:val="00E118A1"/>
    <w:rsid w:val="00E37A25"/>
    <w:rsid w:val="00E64167"/>
    <w:rsid w:val="00E6539B"/>
    <w:rsid w:val="00E70A31"/>
    <w:rsid w:val="00E74028"/>
    <w:rsid w:val="00EA3F38"/>
    <w:rsid w:val="00EA5AB6"/>
    <w:rsid w:val="00EB3208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D77E360-43E5-4990-8BF4-E45DAB68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TableTextS5Char">
    <w:name w:val="Table_TextS5 Char"/>
    <w:basedOn w:val="DefaultParagraphFont"/>
    <w:link w:val="TableTextS5"/>
    <w:locked/>
    <w:rsid w:val="006065D2"/>
    <w:rPr>
      <w:rFonts w:ascii="Times New Roman" w:hAnsi="Times New Roman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4912EE"/>
    <w:rPr>
      <w:rFonts w:ascii="Times New Roman" w:hAnsi="Times New Roman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B7C3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CB7C3E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B7C3E"/>
    <w:rPr>
      <w:rFonts w:ascii="Times New Roman Bold" w:hAnsi="Times New Roman Bold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CB7C3E"/>
    <w:rPr>
      <w:rFonts w:ascii="Times New Roman" w:hAnsi="Times New Roman"/>
      <w:caps/>
      <w:sz w:val="28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CB7C3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R15-WRC15-C-0008!A17!MSW-F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02DAB-0CCD-4DF1-B2F1-66761FCC26F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818</Words>
  <Characters>4920</Characters>
  <Application>Microsoft Office Word</Application>
  <DocSecurity>0</DocSecurity>
  <Lines>123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R15-WRC15-C-0008!A17!MSW-F</vt:lpstr>
    </vt:vector>
  </TitlesOfParts>
  <Manager>Secrétariat général - Pool</Manager>
  <Company>Union internationale des télécommunications (UIT)</Company>
  <LinksUpToDate>false</LinksUpToDate>
  <CharactersWithSpaces>5693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R15-WRC15-C-0008!A17!MSW-F</dc:title>
  <dc:subject>Conférence mondiale des radiocommunications - 2015</dc:subject>
  <dc:creator>Documents Proposals Manager (DPM)</dc:creator>
  <cp:keywords>DPM_v5.2015.6.24_prod</cp:keywords>
  <dc:description/>
  <cp:lastModifiedBy>Jones, Jacqueline</cp:lastModifiedBy>
  <cp:revision>4</cp:revision>
  <cp:lastPrinted>2015-07-02T16:27:00Z</cp:lastPrinted>
  <dcterms:created xsi:type="dcterms:W3CDTF">2015-07-02T16:19:00Z</dcterms:created>
  <dcterms:modified xsi:type="dcterms:W3CDTF">2015-07-02T16:27:00Z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