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7E1935">
        <w:trPr>
          <w:cantSplit/>
        </w:trPr>
        <w:tc>
          <w:tcPr>
            <w:tcW w:w="6911" w:type="dxa"/>
          </w:tcPr>
          <w:p w:rsidR="00A066F1" w:rsidRPr="007E1935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E193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7E193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E19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7E1935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E1935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E19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7E1935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7E1935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7E193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E193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7E193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7E193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E193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E193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E193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7E193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E1935"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 w:rsidRPr="007E1935">
              <w:rPr>
                <w:rFonts w:ascii="Verdana" w:eastAsia="SimSun" w:hAnsi="Verdana" w:cs="Traditional Arabic"/>
                <w:b/>
                <w:sz w:val="20"/>
              </w:rPr>
              <w:br/>
              <w:t>Document 7(Add.9)</w:t>
            </w:r>
            <w:r w:rsidR="00A066F1" w:rsidRPr="007E1935">
              <w:rPr>
                <w:rFonts w:ascii="Verdana" w:hAnsi="Verdana"/>
                <w:b/>
                <w:sz w:val="20"/>
              </w:rPr>
              <w:t>-</w:t>
            </w:r>
            <w:r w:rsidR="005E10C9" w:rsidRPr="007E193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E193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E193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7E1935" w:rsidRDefault="00420873" w:rsidP="003F43A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E1935">
              <w:rPr>
                <w:rFonts w:ascii="Verdana" w:hAnsi="Verdana"/>
                <w:b/>
                <w:sz w:val="20"/>
              </w:rPr>
              <w:t xml:space="preserve">29 </w:t>
            </w:r>
            <w:r w:rsidR="003F43A8" w:rsidRPr="007E1935">
              <w:rPr>
                <w:rFonts w:ascii="Verdana" w:hAnsi="Verdana"/>
                <w:b/>
                <w:sz w:val="20"/>
              </w:rPr>
              <w:t>September</w:t>
            </w:r>
            <w:r w:rsidRPr="007E1935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066F1" w:rsidRPr="007E193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7E193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7E193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E193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7E193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E193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E193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E1935" w:rsidRDefault="00884D60" w:rsidP="00E55816">
            <w:pPr>
              <w:pStyle w:val="Source"/>
            </w:pPr>
            <w:r w:rsidRPr="007E1935">
              <w:t>Member States of the Inter-American Telecommunication Commission (CITEL)</w:t>
            </w:r>
          </w:p>
        </w:tc>
      </w:tr>
      <w:tr w:rsidR="00E55816" w:rsidRPr="007E193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E1935" w:rsidRDefault="007D5320" w:rsidP="00E55816">
            <w:pPr>
              <w:pStyle w:val="Title1"/>
            </w:pPr>
            <w:r w:rsidRPr="007E1935">
              <w:t>Proposals for the work of the conference</w:t>
            </w:r>
          </w:p>
        </w:tc>
      </w:tr>
      <w:tr w:rsidR="00E55816" w:rsidRPr="007E193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E1935" w:rsidRDefault="00E55816" w:rsidP="00E55816">
            <w:pPr>
              <w:pStyle w:val="Title2"/>
            </w:pPr>
          </w:p>
        </w:tc>
      </w:tr>
      <w:tr w:rsidR="00A538A6" w:rsidRPr="007E193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7E1935" w:rsidRDefault="004B13CB" w:rsidP="004B13CB">
            <w:pPr>
              <w:pStyle w:val="Agendaitem"/>
              <w:rPr>
                <w:lang w:val="en-GB"/>
              </w:rPr>
            </w:pPr>
            <w:r w:rsidRPr="007E1935">
              <w:rPr>
                <w:lang w:val="en-GB"/>
              </w:rPr>
              <w:t>Agenda item 1.9.2</w:t>
            </w:r>
          </w:p>
        </w:tc>
      </w:tr>
    </w:tbl>
    <w:bookmarkEnd w:id="6"/>
    <w:bookmarkEnd w:id="7"/>
    <w:p w:rsidR="00ED71D1" w:rsidRPr="007E1935" w:rsidRDefault="003F43A8" w:rsidP="00ED71D1">
      <w:pPr>
        <w:overflowPunct/>
        <w:autoSpaceDE/>
        <w:autoSpaceDN/>
        <w:adjustRightInd/>
        <w:textAlignment w:val="auto"/>
      </w:pPr>
      <w:r w:rsidRPr="007E1935">
        <w:t>1.9</w:t>
      </w:r>
      <w:r w:rsidRPr="007E1935">
        <w:tab/>
        <w:t xml:space="preserve">to consider, in accordance with Resolution </w:t>
      </w:r>
      <w:r w:rsidRPr="007E1935">
        <w:rPr>
          <w:b/>
        </w:rPr>
        <w:t>758 (WRC</w:t>
      </w:r>
      <w:r w:rsidRPr="007E1935">
        <w:rPr>
          <w:b/>
        </w:rPr>
        <w:noBreakHyphen/>
        <w:t>12)</w:t>
      </w:r>
      <w:r w:rsidRPr="007E1935">
        <w:t>:</w:t>
      </w:r>
    </w:p>
    <w:p w:rsidR="00ED71D1" w:rsidRPr="007E1935" w:rsidRDefault="003F43A8" w:rsidP="008F442E">
      <w:pPr>
        <w:overflowPunct/>
        <w:autoSpaceDE/>
        <w:autoSpaceDN/>
        <w:adjustRightInd/>
        <w:spacing w:before="100"/>
        <w:textAlignment w:val="auto"/>
      </w:pPr>
      <w:r w:rsidRPr="007E1935">
        <w:t>1.9.2</w:t>
      </w:r>
      <w:r w:rsidRPr="007E1935">
        <w:tab/>
        <w:t>the possibility of allocating the bands 7 375-7 750 MHz and 8 025-8 400 MHz to the maritime-mobile satellite service and additional regulatory measures, depending on the results of appropriate studies;</w:t>
      </w:r>
    </w:p>
    <w:p w:rsidR="007E1935" w:rsidRPr="007E1935" w:rsidRDefault="007E1935" w:rsidP="007E1935">
      <w:pPr>
        <w:overflowPunct/>
        <w:autoSpaceDE/>
        <w:autoSpaceDN/>
        <w:adjustRightInd/>
        <w:spacing w:before="0"/>
        <w:textAlignment w:val="auto"/>
      </w:pPr>
    </w:p>
    <w:p w:rsidR="00F564B5" w:rsidRPr="007E1935" w:rsidRDefault="00F564B5" w:rsidP="00F564B5">
      <w:pPr>
        <w:pStyle w:val="Headingb"/>
        <w:rPr>
          <w:lang w:val="en-GB"/>
        </w:rPr>
      </w:pPr>
      <w:r w:rsidRPr="007E1935">
        <w:rPr>
          <w:lang w:val="en-GB"/>
        </w:rPr>
        <w:t>Background</w:t>
      </w:r>
    </w:p>
    <w:p w:rsidR="00F564B5" w:rsidRPr="007E1935" w:rsidRDefault="00F564B5" w:rsidP="007E1935">
      <w:r w:rsidRPr="007E1935">
        <w:t xml:space="preserve">As mentioned in Resolution </w:t>
      </w:r>
      <w:r w:rsidRPr="007E1935">
        <w:rPr>
          <w:bCs/>
        </w:rPr>
        <w:t>758 (WRC-12),</w:t>
      </w:r>
      <w:r w:rsidRPr="007E1935">
        <w:rPr>
          <w:b/>
        </w:rPr>
        <w:t xml:space="preserve"> </w:t>
      </w:r>
      <w:r w:rsidRPr="007E1935">
        <w:t xml:space="preserve">some </w:t>
      </w:r>
      <w:r w:rsidR="007E1935" w:rsidRPr="007E1935">
        <w:t>a</w:t>
      </w:r>
      <w:r w:rsidRPr="007E1935">
        <w:t>dministrations have reported a shortfall of spectrum available for their current and future applications in these bands, and that the additional bandwidth requirements are estimated to be around a maximum of 100 MHz.</w:t>
      </w:r>
      <w:bookmarkStart w:id="8" w:name="_GoBack"/>
      <w:bookmarkEnd w:id="8"/>
      <w:r w:rsidRPr="007E1935">
        <w:t xml:space="preserve"> However it has not been determined how much of</w:t>
      </w:r>
      <w:r w:rsidR="007E1935" w:rsidRPr="007E1935">
        <w:t xml:space="preserve"> </w:t>
      </w:r>
      <w:r w:rsidRPr="007E1935">
        <w:t>the additional bandwidth requirements for data transmission is for maritime mobile-satellite service (MMSS) next-generation satellites.</w:t>
      </w:r>
      <w:r w:rsidR="007E1935" w:rsidRPr="007E1935">
        <w:t xml:space="preserve"> </w:t>
      </w:r>
      <w:r w:rsidRPr="007E1935">
        <w:t xml:space="preserve">Resolution </w:t>
      </w:r>
      <w:r w:rsidRPr="007E1935">
        <w:rPr>
          <w:bCs/>
        </w:rPr>
        <w:t>758 (WRC-12)</w:t>
      </w:r>
      <w:r w:rsidRPr="007E1935">
        <w:t xml:space="preserve">, </w:t>
      </w:r>
      <w:r w:rsidRPr="007E1935">
        <w:rPr>
          <w:i/>
          <w:iCs/>
        </w:rPr>
        <w:t>resolves</w:t>
      </w:r>
      <w:r w:rsidRPr="007E1935">
        <w:t xml:space="preserve"> 3, indicates the possibility of allocating less than the entire range </w:t>
      </w:r>
      <w:r w:rsidR="008A6938" w:rsidRPr="007E1935">
        <w:t>7 375-7 750 MHz (space</w:t>
      </w:r>
      <w:r w:rsidR="008A6938" w:rsidRPr="007E1935">
        <w:noBreakHyphen/>
      </w:r>
      <w:r w:rsidRPr="007E1935">
        <w:t>to-Earth) and 8 025-8 400 MHz (Earth-to-space) to the maritime mobile-satellite service.</w:t>
      </w:r>
    </w:p>
    <w:p w:rsidR="00F564B5" w:rsidRPr="007E1935" w:rsidRDefault="00F564B5" w:rsidP="007E1935">
      <w:r w:rsidRPr="007E1935">
        <w:t xml:space="preserve">The bands 7 250-7 750 MHz (space-to-Earth) and 7 900-8 400 MHz (Earth-to-space) are allocated on a primary basis to the fixed-satellite service (FSS). Additionally, the bands 7 250-7 375 MHz (space-to-Earth) and 7 900-8 025 MHz (Earth-to-space) are allocated to the mobile-satellite service on a primary basis, subject to agreement obtained under No. </w:t>
      </w:r>
      <w:r w:rsidRPr="007E1935">
        <w:rPr>
          <w:bCs/>
        </w:rPr>
        <w:t>9.21</w:t>
      </w:r>
      <w:r w:rsidRPr="007E1935">
        <w:t xml:space="preserve"> as required by No. </w:t>
      </w:r>
      <w:r w:rsidRPr="007E1935">
        <w:rPr>
          <w:bCs/>
        </w:rPr>
        <w:t>5.461</w:t>
      </w:r>
      <w:r w:rsidRPr="007E1935">
        <w:t>. The band 7 300-8 500 MHz is allocated on a primary basis to the fixed service (FS). The proposed allocation would effectively allow the entire 7 250-7 750 MHz (space-to-Earth) and 7 900</w:t>
      </w:r>
      <w:r w:rsidR="007E1935" w:rsidRPr="007E1935">
        <w:t>-</w:t>
      </w:r>
      <w:r w:rsidRPr="007E1935">
        <w:t>8 400 MHz (Earth-to-space) bands to be accessible to the MMSS, making it identical to the existing fixed-satellite service (FSS) allocations</w:t>
      </w:r>
    </w:p>
    <w:p w:rsidR="00F564B5" w:rsidRPr="007E1935" w:rsidRDefault="00F564B5" w:rsidP="007E1935">
      <w:r w:rsidRPr="007E1935">
        <w:t>The Earth exploration-satellite service (EESS) (space-to-Earth) has a worldwide primary allocation in the band 8 025-8 400 MHz.</w:t>
      </w:r>
      <w:r w:rsidR="007E1935" w:rsidRPr="007E1935">
        <w:t xml:space="preserve"> </w:t>
      </w:r>
      <w:r w:rsidRPr="007E1935">
        <w:t>This band supports the downlink of environmental and climate data from non-geostationary orbit (NGSO) satellites, which are often in polar orbits, to earth stations that may be located at high latitudes and/or near coastal areas.</w:t>
      </w:r>
      <w:r w:rsidR="007E1935" w:rsidRPr="007E1935">
        <w:t xml:space="preserve"> </w:t>
      </w:r>
      <w:r w:rsidRPr="007E1935">
        <w:t>The space research service (SRS) (space</w:t>
      </w:r>
      <w:r w:rsidRPr="007E1935">
        <w:noBreakHyphen/>
        <w:t>to-Earth) has a worldwide primary allocation in the adjacent</w:t>
      </w:r>
      <w:r w:rsidR="008A6938" w:rsidRPr="007E1935">
        <w:t xml:space="preserve"> band 8 400-8 500 MHz, with</w:t>
      </w:r>
      <w:r w:rsidR="007E1935" w:rsidRPr="007E1935">
        <w:t xml:space="preserve"> </w:t>
      </w:r>
      <w:r w:rsidRPr="007E1935">
        <w:t>No. 5.465 limiting the band 8 400-8 450 MHz to deep space use.</w:t>
      </w:r>
      <w:r w:rsidR="007E1935" w:rsidRPr="007E1935">
        <w:t xml:space="preserve"> </w:t>
      </w:r>
      <w:r w:rsidRPr="007E1935">
        <w:t xml:space="preserve">There is extensive use of the </w:t>
      </w:r>
      <w:r w:rsidRPr="007E1935">
        <w:lastRenderedPageBreak/>
        <w:t>band 8 400-8 450 MHz at sites around the world, including in coast</w:t>
      </w:r>
      <w:r w:rsidR="008A6938" w:rsidRPr="007E1935">
        <w:t>al locations, by the SRS (space</w:t>
      </w:r>
      <w:r w:rsidR="008A6938" w:rsidRPr="007E1935">
        <w:noBreakHyphen/>
      </w:r>
      <w:r w:rsidRPr="007E1935">
        <w:t>to-Earth) for deep space with very large antennas and sensitive receivers that are susceptible to possible interference from out-of-band emissions.</w:t>
      </w:r>
    </w:p>
    <w:p w:rsidR="00F564B5" w:rsidRPr="007E1935" w:rsidRDefault="00F564B5" w:rsidP="007E1935">
      <w:r w:rsidRPr="007E1935">
        <w:t>ITU-R sharing studies demonstrate that the proposed MMSS uplinks in the 8 025-8 400 MHz bands will interfere with existing services in the band, specifically the EESS (space-to-Earth).</w:t>
      </w:r>
      <w:r w:rsidR="007E1935" w:rsidRPr="007E1935">
        <w:t xml:space="preserve"> </w:t>
      </w:r>
      <w:r w:rsidRPr="007E1935">
        <w:t>The</w:t>
      </w:r>
      <w:r w:rsidR="007E1935" w:rsidRPr="007E1935">
        <w:t xml:space="preserve"> </w:t>
      </w:r>
      <w:r w:rsidRPr="007E1935">
        <w:t>proposed satellite uplink transmissions will cause interference into EESS earth station receivers.</w:t>
      </w:r>
      <w:r w:rsidR="007E1935" w:rsidRPr="007E1935">
        <w:t xml:space="preserve"> </w:t>
      </w:r>
      <w:r w:rsidRPr="007E1935">
        <w:t>Very large separation distances from shore required to mitigate this interference would make the use of MMSS impractical.</w:t>
      </w:r>
      <w:r w:rsidR="007E1935" w:rsidRPr="007E1935">
        <w:t xml:space="preserve"> </w:t>
      </w:r>
      <w:r w:rsidRPr="007E1935">
        <w:t>ITU-R sharing studies demonstrate that the proposed MMSS uplinks in the 8 025-8 400 MHz bands will also interfere with the adjacent SRS (space-to-Earth) allocation in 8 400-8 500 MHz, specifically the 8 400-8 450 MHz sub-band limited to deep space research.</w:t>
      </w:r>
      <w:r w:rsidR="007E1935" w:rsidRPr="007E1935">
        <w:t xml:space="preserve"> </w:t>
      </w:r>
      <w:r w:rsidRPr="007E1935">
        <w:t>Large separation distances and/or frequency separation would be required to mitigate interference.</w:t>
      </w:r>
    </w:p>
    <w:p w:rsidR="00F564B5" w:rsidRPr="007E1935" w:rsidRDefault="00F564B5" w:rsidP="007E1935">
      <w:pPr>
        <w:pStyle w:val="Headingb"/>
        <w:rPr>
          <w:lang w:val="en-GB"/>
        </w:rPr>
      </w:pPr>
      <w:r w:rsidRPr="007E1935">
        <w:rPr>
          <w:lang w:val="en-GB"/>
        </w:rPr>
        <w:t>Proposals</w:t>
      </w:r>
    </w:p>
    <w:p w:rsidR="00187BD9" w:rsidRPr="007E1935" w:rsidRDefault="00187BD9" w:rsidP="007E1935">
      <w:r w:rsidRPr="007E1935">
        <w:br w:type="page"/>
      </w:r>
    </w:p>
    <w:p w:rsidR="009B463A" w:rsidRPr="007E1935" w:rsidRDefault="003F43A8" w:rsidP="009B463A">
      <w:pPr>
        <w:pStyle w:val="ArtNo"/>
      </w:pPr>
      <w:bookmarkStart w:id="9" w:name="_Toc327956582"/>
      <w:r w:rsidRPr="007E1935">
        <w:lastRenderedPageBreak/>
        <w:t xml:space="preserve">ARTICLE </w:t>
      </w:r>
      <w:r w:rsidRPr="007E1935">
        <w:rPr>
          <w:rStyle w:val="href"/>
          <w:rFonts w:eastAsiaTheme="majorEastAsia"/>
          <w:color w:val="000000"/>
        </w:rPr>
        <w:t>5</w:t>
      </w:r>
      <w:bookmarkEnd w:id="9"/>
    </w:p>
    <w:p w:rsidR="009B463A" w:rsidRPr="007E1935" w:rsidRDefault="003F43A8" w:rsidP="009B463A">
      <w:pPr>
        <w:pStyle w:val="Arttitle"/>
      </w:pPr>
      <w:bookmarkStart w:id="10" w:name="_Toc327956583"/>
      <w:r w:rsidRPr="007E1935">
        <w:t>Frequency allocations</w:t>
      </w:r>
      <w:bookmarkEnd w:id="10"/>
    </w:p>
    <w:p w:rsidR="00290750" w:rsidRPr="007E1935" w:rsidRDefault="003F43A8">
      <w:pPr>
        <w:pStyle w:val="Proposal"/>
      </w:pPr>
      <w:r w:rsidRPr="007E1935">
        <w:rPr>
          <w:u w:val="single"/>
        </w:rPr>
        <w:t>NOC</w:t>
      </w:r>
      <w:r w:rsidRPr="007E1935">
        <w:tab/>
        <w:t>IAP/7A9A2/1</w:t>
      </w:r>
    </w:p>
    <w:p w:rsidR="009B463A" w:rsidRPr="007E1935" w:rsidRDefault="003F43A8" w:rsidP="009B463A">
      <w:pPr>
        <w:pStyle w:val="Section1"/>
        <w:keepNext/>
      </w:pPr>
      <w:r w:rsidRPr="007E1935">
        <w:t>Section IV – Table of Frequency Allocations</w:t>
      </w:r>
      <w:r w:rsidRPr="007E1935">
        <w:br/>
      </w:r>
      <w:r w:rsidRPr="007E1935">
        <w:rPr>
          <w:b w:val="0"/>
          <w:bCs/>
        </w:rPr>
        <w:t xml:space="preserve">(See No. </w:t>
      </w:r>
      <w:r w:rsidRPr="007E1935">
        <w:t>2.1</w:t>
      </w:r>
      <w:r w:rsidRPr="007E1935">
        <w:rPr>
          <w:b w:val="0"/>
          <w:bCs/>
        </w:rPr>
        <w:t>)</w:t>
      </w:r>
      <w:r w:rsidRPr="007E1935">
        <w:rPr>
          <w:b w:val="0"/>
          <w:bCs/>
        </w:rPr>
        <w:br/>
      </w:r>
      <w:r w:rsidRPr="007E1935">
        <w:br/>
      </w:r>
    </w:p>
    <w:p w:rsidR="00290750" w:rsidRPr="007E1935" w:rsidRDefault="003F43A8">
      <w:pPr>
        <w:pStyle w:val="Reasons"/>
      </w:pPr>
      <w:r w:rsidRPr="007E1935">
        <w:rPr>
          <w:b/>
        </w:rPr>
        <w:t>Reasons:</w:t>
      </w:r>
      <w:r w:rsidRPr="007E1935">
        <w:tab/>
      </w:r>
      <w:r w:rsidR="00F564B5" w:rsidRPr="007E1935">
        <w:t>ITU-R studies indicate a potential for interference into existing services, both in-band and adjacent band.</w:t>
      </w:r>
    </w:p>
    <w:p w:rsidR="00290750" w:rsidRPr="007E1935" w:rsidRDefault="003F43A8">
      <w:pPr>
        <w:pStyle w:val="Proposal"/>
      </w:pPr>
      <w:r w:rsidRPr="007E1935">
        <w:t>SUP</w:t>
      </w:r>
      <w:r w:rsidRPr="007E1935">
        <w:tab/>
        <w:t>IAP/7A9A2/2</w:t>
      </w:r>
    </w:p>
    <w:p w:rsidR="003638D8" w:rsidRPr="007E1935" w:rsidRDefault="003F43A8" w:rsidP="003638D8">
      <w:pPr>
        <w:pStyle w:val="ResNo"/>
      </w:pPr>
      <w:r w:rsidRPr="007E1935">
        <w:t xml:space="preserve">RESOLUTION </w:t>
      </w:r>
      <w:r w:rsidRPr="007E1935">
        <w:rPr>
          <w:rStyle w:val="href"/>
        </w:rPr>
        <w:t>758</w:t>
      </w:r>
      <w:r w:rsidRPr="007E1935">
        <w:t xml:space="preserve"> (WRC</w:t>
      </w:r>
      <w:r w:rsidRPr="007E1935">
        <w:noBreakHyphen/>
        <w:t>12)</w:t>
      </w:r>
    </w:p>
    <w:p w:rsidR="003638D8" w:rsidRPr="007E1935" w:rsidRDefault="003F43A8" w:rsidP="00651EBE">
      <w:pPr>
        <w:pStyle w:val="Restitle"/>
      </w:pPr>
      <w:bookmarkStart w:id="11" w:name="_Toc327364581"/>
      <w:r w:rsidRPr="007E1935">
        <w:t>Allocation to the fixed-satellite service and the maritime-</w:t>
      </w:r>
      <w:r w:rsidRPr="007E1935">
        <w:br/>
        <w:t>mobile satellite service in the 7/8 GHz range</w:t>
      </w:r>
      <w:bookmarkEnd w:id="11"/>
    </w:p>
    <w:p w:rsidR="00290750" w:rsidRPr="007E1935" w:rsidRDefault="003F43A8" w:rsidP="007E1935">
      <w:pPr>
        <w:pStyle w:val="Reasons"/>
      </w:pPr>
      <w:r w:rsidRPr="007E1935">
        <w:rPr>
          <w:b/>
        </w:rPr>
        <w:t>Reasons:</w:t>
      </w:r>
      <w:r w:rsidRPr="007E1935">
        <w:tab/>
      </w:r>
      <w:r w:rsidR="00F564B5" w:rsidRPr="007E1935">
        <w:t>This proposal is consequential to completion of agenda item 1.9.2. This proposal does not reflect a position on studies under this Resolution for agenda item 1.9.1.</w:t>
      </w:r>
    </w:p>
    <w:p w:rsidR="00F564B5" w:rsidRPr="007E1935" w:rsidRDefault="00F564B5" w:rsidP="0032202E">
      <w:pPr>
        <w:pStyle w:val="Reasons"/>
      </w:pPr>
    </w:p>
    <w:p w:rsidR="00F564B5" w:rsidRPr="007E1935" w:rsidRDefault="00F564B5" w:rsidP="007E1935">
      <w:pPr>
        <w:jc w:val="center"/>
      </w:pPr>
      <w:r w:rsidRPr="007E1935">
        <w:t>______________</w:t>
      </w:r>
    </w:p>
    <w:sectPr w:rsidR="00F564B5" w:rsidRPr="007E193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F43A8">
      <w:rPr>
        <w:noProof/>
        <w:lang w:val="en-US"/>
      </w:rPr>
      <w:t>Y:\APP\BR\POOL\WRC-15\DOC (Contributions)\1-100\007ADD09ADD02E.docx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379D">
      <w:rPr>
        <w:noProof/>
      </w:rPr>
      <w:t>02.10.15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43A8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E1935">
      <w:rPr>
        <w:lang w:val="en-US"/>
      </w:rPr>
      <w:t>P:\ENG\ITU-R\CONF-R\CMR15\000\007ADD09ADD02E.docx</w:t>
    </w:r>
    <w:r>
      <w:fldChar w:fldCharType="end"/>
    </w:r>
    <w:r w:rsidR="007E1935">
      <w:t xml:space="preserve"> (387378)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1935">
      <w:t>06.10.15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1935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E1935">
      <w:rPr>
        <w:lang w:val="en-US"/>
      </w:rPr>
      <w:t>P:\ENG\ITU-R\CONF-R\CMR15\000\007ADD09ADD02E.docx</w:t>
    </w:r>
    <w:r>
      <w:fldChar w:fldCharType="end"/>
    </w:r>
    <w:r w:rsidR="007E1935">
      <w:t xml:space="preserve"> (387378)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1935">
      <w:t>06.10.15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1935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E1935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7(Add.9)(Add.2)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90750"/>
    <w:rsid w:val="002B349C"/>
    <w:rsid w:val="002D58BE"/>
    <w:rsid w:val="00361B37"/>
    <w:rsid w:val="00377BD3"/>
    <w:rsid w:val="0038379D"/>
    <w:rsid w:val="00384088"/>
    <w:rsid w:val="003852CE"/>
    <w:rsid w:val="0039169B"/>
    <w:rsid w:val="003A7F8C"/>
    <w:rsid w:val="003B2284"/>
    <w:rsid w:val="003B532E"/>
    <w:rsid w:val="003D0F8B"/>
    <w:rsid w:val="003E0DB6"/>
    <w:rsid w:val="003F43A8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1935"/>
    <w:rsid w:val="00800972"/>
    <w:rsid w:val="00804475"/>
    <w:rsid w:val="00811633"/>
    <w:rsid w:val="00841216"/>
    <w:rsid w:val="00872FC8"/>
    <w:rsid w:val="008845D0"/>
    <w:rsid w:val="00884D60"/>
    <w:rsid w:val="008A6938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3B69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564B5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2E6332B2-2CA3-4102-8CE3-97740A1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R15-WRC15-C-0007!A9-A2!MSW-E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5110E-876D-4E9A-9A4E-CE7B2634134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E78CAA6-E01C-46FC-94AE-AC60173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3</TotalTime>
  <Pages>3</Pages>
  <Words>615</Words>
  <Characters>3551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R15-WRC15-C-0007!A9-A2!MSW-E</vt:lpstr>
    </vt:vector>
  </TitlesOfParts>
  <Manager>General Secretariat - Pool</Manager>
  <Company>International Telecommunication Union (ITU)</Company>
  <LinksUpToDate>false</LinksUpToDate>
  <CharactersWithSpaces>4136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R15-WRC15-C-0007!A9-A2!MSW-E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3</cp:revision>
  <cp:lastPrinted>2015-10-02T12:00:00Z</cp:lastPrinted>
  <dcterms:created xsi:type="dcterms:W3CDTF">2015-10-06T14:07:00Z</dcterms:created>
  <dcterms:modified xsi:type="dcterms:W3CDTF">2015-10-06T14:10:00Z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