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892062">
        <w:trPr>
          <w:cantSplit/>
        </w:trPr>
        <w:tc>
          <w:tcPr>
            <w:tcW w:w="6911" w:type="dxa"/>
          </w:tcPr>
          <w:p w:rsidR="00BB1D82" w:rsidRPr="00930FFD" w:rsidRDefault="00851625" w:rsidP="00215544">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15544">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892062">
        <w:trPr>
          <w:cantSplit/>
        </w:trPr>
        <w:tc>
          <w:tcPr>
            <w:tcW w:w="6911" w:type="dxa"/>
            <w:tcBorders>
              <w:bottom w:val="single" w:sz="12" w:space="0" w:color="auto"/>
            </w:tcBorders>
          </w:tcPr>
          <w:p w:rsidR="00BB1D82" w:rsidRPr="002A6F8F" w:rsidRDefault="002C28A4" w:rsidP="00215544">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215544">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215544">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215544">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215544">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F22E04" w:rsidRDefault="006D4724" w:rsidP="00215544">
            <w:pPr>
              <w:spacing w:before="0"/>
              <w:rPr>
                <w:rFonts w:ascii="Verdana" w:hAnsi="Verdana"/>
                <w:sz w:val="20"/>
              </w:rPr>
            </w:pPr>
            <w:r w:rsidRPr="00F22E04">
              <w:rPr>
                <w:rFonts w:ascii="Verdana" w:eastAsia="SimSun" w:hAnsi="Verdana" w:cs="Traditional Arabic"/>
                <w:b/>
                <w:sz w:val="20"/>
              </w:rPr>
              <w:t>Addendum 6 au</w:t>
            </w:r>
            <w:r w:rsidRPr="00F22E04">
              <w:rPr>
                <w:rFonts w:ascii="Verdana" w:eastAsia="SimSun" w:hAnsi="Verdana" w:cs="Traditional Arabic"/>
                <w:b/>
                <w:sz w:val="20"/>
              </w:rPr>
              <w:br/>
              <w:t>Document 7(Add.24)</w:t>
            </w:r>
            <w:r w:rsidR="00BB1D82" w:rsidRPr="00F22E04">
              <w:rPr>
                <w:rFonts w:ascii="Verdana" w:hAnsi="Verdana"/>
                <w:b/>
                <w:sz w:val="20"/>
              </w:rPr>
              <w:t>-</w:t>
            </w:r>
            <w:r w:rsidRPr="00F22E04">
              <w:rPr>
                <w:rFonts w:ascii="Verdana" w:hAnsi="Verdana"/>
                <w:b/>
                <w:sz w:val="20"/>
              </w:rPr>
              <w:t>F</w:t>
            </w:r>
          </w:p>
        </w:tc>
      </w:tr>
      <w:bookmarkEnd w:id="1"/>
      <w:tr w:rsidR="00690C7B" w:rsidRPr="002A6F8F" w:rsidTr="00BB1D82">
        <w:trPr>
          <w:cantSplit/>
        </w:trPr>
        <w:tc>
          <w:tcPr>
            <w:tcW w:w="6911" w:type="dxa"/>
            <w:shd w:val="clear" w:color="auto" w:fill="auto"/>
          </w:tcPr>
          <w:p w:rsidR="00690C7B" w:rsidRPr="00F22E04" w:rsidRDefault="00690C7B" w:rsidP="00215544">
            <w:pPr>
              <w:spacing w:before="0"/>
              <w:rPr>
                <w:rFonts w:ascii="Verdana" w:hAnsi="Verdana"/>
                <w:b/>
                <w:sz w:val="20"/>
              </w:rPr>
            </w:pPr>
          </w:p>
        </w:tc>
        <w:tc>
          <w:tcPr>
            <w:tcW w:w="3120" w:type="dxa"/>
            <w:shd w:val="clear" w:color="auto" w:fill="auto"/>
          </w:tcPr>
          <w:p w:rsidR="00690C7B" w:rsidRPr="002A6F8F" w:rsidRDefault="00690C7B" w:rsidP="00215544">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215544">
            <w:pPr>
              <w:spacing w:before="0" w:after="48"/>
              <w:rPr>
                <w:rFonts w:ascii="Verdana" w:hAnsi="Verdana"/>
                <w:b/>
                <w:smallCaps/>
                <w:sz w:val="20"/>
                <w:lang w:val="en-US"/>
              </w:rPr>
            </w:pPr>
          </w:p>
        </w:tc>
        <w:tc>
          <w:tcPr>
            <w:tcW w:w="3120" w:type="dxa"/>
          </w:tcPr>
          <w:p w:rsidR="00690C7B" w:rsidRPr="002A6F8F" w:rsidRDefault="00690C7B" w:rsidP="00215544">
            <w:pPr>
              <w:spacing w:before="0"/>
              <w:rPr>
                <w:rFonts w:ascii="Verdana" w:hAnsi="Verdana"/>
                <w:b/>
                <w:sz w:val="20"/>
                <w:lang w:val="en-US"/>
              </w:rPr>
            </w:pPr>
            <w:r w:rsidRPr="002A6F8F">
              <w:rPr>
                <w:rFonts w:ascii="Verdana" w:hAnsi="Verdana"/>
                <w:b/>
                <w:sz w:val="20"/>
                <w:lang w:val="en-US"/>
              </w:rPr>
              <w:t>Original: anglais</w:t>
            </w:r>
          </w:p>
        </w:tc>
      </w:tr>
      <w:tr w:rsidR="00690C7B" w:rsidRPr="002A6F8F" w:rsidTr="00892062">
        <w:trPr>
          <w:cantSplit/>
        </w:trPr>
        <w:tc>
          <w:tcPr>
            <w:tcW w:w="10031" w:type="dxa"/>
            <w:gridSpan w:val="2"/>
          </w:tcPr>
          <w:p w:rsidR="00690C7B" w:rsidRPr="002A6F8F" w:rsidRDefault="00690C7B" w:rsidP="00215544">
            <w:pPr>
              <w:spacing w:before="0"/>
              <w:rPr>
                <w:rFonts w:ascii="Verdana" w:hAnsi="Verdana"/>
                <w:b/>
                <w:sz w:val="20"/>
                <w:lang w:val="en-US"/>
              </w:rPr>
            </w:pPr>
          </w:p>
        </w:tc>
      </w:tr>
      <w:tr w:rsidR="00690C7B" w:rsidRPr="002A6F8F" w:rsidTr="00892062">
        <w:trPr>
          <w:cantSplit/>
        </w:trPr>
        <w:tc>
          <w:tcPr>
            <w:tcW w:w="10031" w:type="dxa"/>
            <w:gridSpan w:val="2"/>
          </w:tcPr>
          <w:p w:rsidR="00690C7B" w:rsidRPr="00F22E04" w:rsidRDefault="00690C7B" w:rsidP="00215544">
            <w:pPr>
              <w:pStyle w:val="Source"/>
            </w:pPr>
            <w:bookmarkStart w:id="2" w:name="dsource" w:colFirst="0" w:colLast="0"/>
            <w:r w:rsidRPr="00F22E04">
              <w:t>Etats Membres de la Commission interaméricaine des télécommunications (CITEL)</w:t>
            </w:r>
          </w:p>
        </w:tc>
      </w:tr>
      <w:tr w:rsidR="00690C7B" w:rsidRPr="00F22E04" w:rsidTr="00892062">
        <w:trPr>
          <w:cantSplit/>
        </w:trPr>
        <w:tc>
          <w:tcPr>
            <w:tcW w:w="10031" w:type="dxa"/>
            <w:gridSpan w:val="2"/>
          </w:tcPr>
          <w:p w:rsidR="00690C7B" w:rsidRPr="00F22E04" w:rsidRDefault="00F22E04" w:rsidP="00215544">
            <w:pPr>
              <w:pStyle w:val="Title1"/>
            </w:pPr>
            <w:bookmarkStart w:id="3" w:name="dtitle1" w:colFirst="0" w:colLast="0"/>
            <w:bookmarkEnd w:id="2"/>
            <w:r w:rsidRPr="00F22E04">
              <w:rPr>
                <w:caps w:val="0"/>
              </w:rPr>
              <w:t>PROPOSITIONS POUR LES TRAVAUX DE LA CONF</w:t>
            </w:r>
            <w:r>
              <w:rPr>
                <w:caps w:val="0"/>
              </w:rPr>
              <w:t>É</w:t>
            </w:r>
            <w:r w:rsidRPr="00F22E04">
              <w:rPr>
                <w:caps w:val="0"/>
              </w:rPr>
              <w:t>RENCE</w:t>
            </w:r>
          </w:p>
        </w:tc>
      </w:tr>
      <w:tr w:rsidR="00690C7B" w:rsidRPr="00F22E04" w:rsidTr="00892062">
        <w:trPr>
          <w:cantSplit/>
        </w:trPr>
        <w:tc>
          <w:tcPr>
            <w:tcW w:w="10031" w:type="dxa"/>
            <w:gridSpan w:val="2"/>
          </w:tcPr>
          <w:p w:rsidR="00690C7B" w:rsidRPr="00F22E04" w:rsidRDefault="00690C7B" w:rsidP="00215544">
            <w:pPr>
              <w:pStyle w:val="Title2"/>
            </w:pPr>
            <w:bookmarkStart w:id="4" w:name="dtitle2" w:colFirst="0" w:colLast="0"/>
            <w:bookmarkEnd w:id="3"/>
          </w:p>
        </w:tc>
      </w:tr>
      <w:tr w:rsidR="00690C7B" w:rsidTr="00892062">
        <w:trPr>
          <w:cantSplit/>
        </w:trPr>
        <w:tc>
          <w:tcPr>
            <w:tcW w:w="10031" w:type="dxa"/>
            <w:gridSpan w:val="2"/>
          </w:tcPr>
          <w:p w:rsidR="00690C7B" w:rsidRDefault="00690C7B" w:rsidP="00215544">
            <w:pPr>
              <w:pStyle w:val="Agendaitem"/>
            </w:pPr>
            <w:bookmarkStart w:id="5" w:name="dtitle3" w:colFirst="0" w:colLast="0"/>
            <w:bookmarkEnd w:id="4"/>
            <w:r w:rsidRPr="006D4724">
              <w:t>Point 10 de l'ordre du jour</w:t>
            </w:r>
          </w:p>
        </w:tc>
      </w:tr>
    </w:tbl>
    <w:bookmarkEnd w:id="5"/>
    <w:p w:rsidR="00892062" w:rsidRPr="000F2DBF" w:rsidRDefault="00E703B0" w:rsidP="00215544">
      <w:pPr>
        <w:rPr>
          <w:lang w:val="fr-CA"/>
        </w:rPr>
      </w:pPr>
      <w:r w:rsidRPr="000F2DBF">
        <w:rPr>
          <w:lang w:val="fr-CA"/>
        </w:rPr>
        <w:t>10</w:t>
      </w:r>
      <w:r w:rsidRPr="000F2DBF">
        <w:rPr>
          <w:lang w:val="fr-CA"/>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bookmarkStart w:id="6" w:name="_GoBack"/>
      <w:bookmarkEnd w:id="6"/>
    </w:p>
    <w:p w:rsidR="00990E1F" w:rsidRPr="00422615" w:rsidRDefault="00CC286E" w:rsidP="00215544">
      <w:pPr>
        <w:pStyle w:val="Headingb"/>
        <w:spacing w:before="360"/>
        <w:rPr>
          <w:lang w:val="fr-CH"/>
        </w:rPr>
      </w:pPr>
      <w:r w:rsidRPr="00422615">
        <w:rPr>
          <w:lang w:val="fr-CH"/>
        </w:rPr>
        <w:t>Rappel</w:t>
      </w:r>
    </w:p>
    <w:p w:rsidR="00990E1F" w:rsidRPr="00215544" w:rsidRDefault="00CC286E" w:rsidP="00D77829">
      <w:pPr>
        <w:rPr>
          <w:rFonts w:ascii="TimesNewRomanPS-BoldMT" w:hAnsi="TimesNewRomanPS-BoldMT" w:cs="TimesNewRomanPS-BoldMT"/>
          <w:b/>
          <w:bCs/>
          <w:lang w:val="fr-CH"/>
        </w:rPr>
      </w:pPr>
      <w:r w:rsidRPr="00215544">
        <w:rPr>
          <w:lang w:val="fr-CH"/>
        </w:rPr>
        <w:t xml:space="preserve">Des </w:t>
      </w:r>
      <w:r w:rsidR="00A27071" w:rsidRPr="00215544">
        <w:rPr>
          <w:lang w:val="fr-CH"/>
        </w:rPr>
        <w:t xml:space="preserve">tests effectués récemment </w:t>
      </w:r>
      <w:r w:rsidR="00422615">
        <w:rPr>
          <w:lang w:val="fr-CH"/>
        </w:rPr>
        <w:t>en vue du</w:t>
      </w:r>
      <w:r w:rsidR="00A27071" w:rsidRPr="00215544">
        <w:rPr>
          <w:lang w:val="fr-CH"/>
        </w:rPr>
        <w:t xml:space="preserve"> déploiement de systèmes large bande </w:t>
      </w:r>
      <w:r w:rsidR="00422615">
        <w:rPr>
          <w:lang w:val="fr-CH"/>
        </w:rPr>
        <w:t>au moyen</w:t>
      </w:r>
      <w:r w:rsidR="00A27071" w:rsidRPr="00215544">
        <w:rPr>
          <w:lang w:val="fr-CH"/>
        </w:rPr>
        <w:t xml:space="preserve"> de stations à bord d</w:t>
      </w:r>
      <w:r w:rsidR="00D77829">
        <w:rPr>
          <w:lang w:val="fr-CH"/>
        </w:rPr>
        <w:t>'</w:t>
      </w:r>
      <w:r w:rsidR="00A27071" w:rsidRPr="00215544">
        <w:rPr>
          <w:lang w:val="fr-CH"/>
        </w:rPr>
        <w:t xml:space="preserve">aéronefs </w:t>
      </w:r>
      <w:r>
        <w:rPr>
          <w:color w:val="000000"/>
        </w:rPr>
        <w:t>à alimentation solaire</w:t>
      </w:r>
      <w:r w:rsidR="00422615">
        <w:rPr>
          <w:lang w:val="fr-CH"/>
        </w:rPr>
        <w:t xml:space="preserve"> légers, </w:t>
      </w:r>
      <w:r w:rsidR="00A27071" w:rsidRPr="00215544">
        <w:rPr>
          <w:lang w:val="fr-CH"/>
        </w:rPr>
        <w:t>évoluant à environ 20 km d</w:t>
      </w:r>
      <w:r w:rsidR="00D77829">
        <w:rPr>
          <w:lang w:val="fr-CH"/>
        </w:rPr>
        <w:t>'</w:t>
      </w:r>
      <w:r w:rsidR="00A27071" w:rsidRPr="00215544">
        <w:rPr>
          <w:lang w:val="fr-CH"/>
        </w:rPr>
        <w:t xml:space="preserve">altitude dans la </w:t>
      </w:r>
      <w:r w:rsidR="00534E46" w:rsidRPr="00215544">
        <w:rPr>
          <w:lang w:val="fr-CH"/>
        </w:rPr>
        <w:t>stratosphère</w:t>
      </w:r>
      <w:r w:rsidR="00A27071" w:rsidRPr="00215544">
        <w:rPr>
          <w:lang w:val="fr-CH"/>
        </w:rPr>
        <w:t>, ont démontré qu</w:t>
      </w:r>
      <w:r w:rsidR="00D77829">
        <w:rPr>
          <w:lang w:val="fr-CH"/>
        </w:rPr>
        <w:t>'</w:t>
      </w:r>
      <w:r w:rsidR="00A27071" w:rsidRPr="00215544">
        <w:rPr>
          <w:lang w:val="fr-CH"/>
        </w:rPr>
        <w:t>il était possible de fournir une connectivité au</w:t>
      </w:r>
      <w:r w:rsidR="00422615">
        <w:rPr>
          <w:lang w:val="fr-CH"/>
        </w:rPr>
        <w:t>x</w:t>
      </w:r>
      <w:r w:rsidR="00A27071" w:rsidRPr="00215544">
        <w:rPr>
          <w:lang w:val="fr-CH"/>
        </w:rPr>
        <w:t xml:space="preserve"> communautés mal desservies </w:t>
      </w:r>
      <w:r w:rsidR="00A27071">
        <w:rPr>
          <w:color w:val="000000"/>
        </w:rPr>
        <w:t>avec une infrastructure</w:t>
      </w:r>
      <w:r w:rsidR="00A27071" w:rsidRPr="00215544">
        <w:rPr>
          <w:lang w:val="fr-CH"/>
        </w:rPr>
        <w:t xml:space="preserve"> </w:t>
      </w:r>
      <w:r w:rsidR="00A27071">
        <w:rPr>
          <w:color w:val="000000"/>
        </w:rPr>
        <w:t xml:space="preserve">au sol </w:t>
      </w:r>
      <w:r w:rsidR="00876FFA" w:rsidRPr="00215544">
        <w:rPr>
          <w:lang w:val="fr-CH"/>
        </w:rPr>
        <w:t>et une maintenance</w:t>
      </w:r>
      <w:r w:rsidR="00876FFA">
        <w:rPr>
          <w:color w:val="000000"/>
        </w:rPr>
        <w:t xml:space="preserve"> </w:t>
      </w:r>
      <w:r w:rsidR="00A27071">
        <w:rPr>
          <w:color w:val="000000"/>
        </w:rPr>
        <w:t>minimes. Théoriquement, les stations fixes fonctionnant à 20 km d</w:t>
      </w:r>
      <w:r w:rsidR="00D77829">
        <w:rPr>
          <w:color w:val="000000"/>
        </w:rPr>
        <w:t>'</w:t>
      </w:r>
      <w:r w:rsidR="00A27071">
        <w:rPr>
          <w:color w:val="000000"/>
        </w:rPr>
        <w:t xml:space="preserve">altitude évoluent à une </w:t>
      </w:r>
      <w:r w:rsidR="00D77829">
        <w:rPr>
          <w:color w:val="000000"/>
        </w:rPr>
        <w:t>al</w:t>
      </w:r>
      <w:r w:rsidR="00A27071">
        <w:rPr>
          <w:color w:val="000000"/>
        </w:rPr>
        <w:t>titude suffisamment élevée pour desservir des zones étendues</w:t>
      </w:r>
      <w:r w:rsidR="00876FFA" w:rsidRPr="00215544">
        <w:rPr>
          <w:lang w:val="fr-CH"/>
        </w:rPr>
        <w:t>, mais</w:t>
      </w:r>
      <w:r w:rsidR="00422615">
        <w:rPr>
          <w:lang w:val="fr-CH"/>
        </w:rPr>
        <w:t xml:space="preserve"> à une altitude</w:t>
      </w:r>
      <w:r w:rsidR="00876FFA" w:rsidRPr="00215544">
        <w:rPr>
          <w:lang w:val="fr-CH"/>
        </w:rPr>
        <w:t xml:space="preserve"> suffisamment basse pour </w:t>
      </w:r>
      <w:r w:rsidR="00876FFA">
        <w:rPr>
          <w:color w:val="000000"/>
        </w:rPr>
        <w:t>assurer une couverture dense</w:t>
      </w:r>
      <w:r w:rsidR="00876FFA" w:rsidRPr="00215544">
        <w:rPr>
          <w:lang w:val="fr-CH"/>
        </w:rPr>
        <w:t xml:space="preserve"> avec un faible temps de latence. En conséquence, ces stations pourraient offrir des services de haute qualité aux communautés mal desservies. En outre, ces stations sont très résistantes en cas de catastrophe naturelle et pourraient donc devenir un outil efficace </w:t>
      </w:r>
      <w:r w:rsidR="00215544">
        <w:rPr>
          <w:lang w:val="fr-CH"/>
        </w:rPr>
        <w:t>lors des o</w:t>
      </w:r>
      <w:r w:rsidR="00876FFA" w:rsidRPr="00215544">
        <w:rPr>
          <w:lang w:val="fr-CH"/>
        </w:rPr>
        <w:t xml:space="preserve">pérations de rétablissement après </w:t>
      </w:r>
      <w:r w:rsidR="00876FFA">
        <w:rPr>
          <w:color w:val="000000"/>
        </w:rPr>
        <w:t>une catastrophe</w:t>
      </w:r>
      <w:r w:rsidR="00215544">
        <w:rPr>
          <w:color w:val="000000"/>
        </w:rPr>
        <w:t>.</w:t>
      </w:r>
    </w:p>
    <w:p w:rsidR="00990E1F" w:rsidRPr="00215544" w:rsidRDefault="00876FFA" w:rsidP="00422615">
      <w:pPr>
        <w:rPr>
          <w:lang w:val="fr-CH"/>
        </w:rPr>
      </w:pPr>
      <w:r w:rsidRPr="00215544">
        <w:rPr>
          <w:lang w:val="fr-CH"/>
        </w:rPr>
        <w:t xml:space="preserve">Bien que les essais concernant les aéronefs sans pilote à haute altitude pour </w:t>
      </w:r>
      <w:r w:rsidR="00422615">
        <w:rPr>
          <w:lang w:val="fr-CH"/>
        </w:rPr>
        <w:t>la fourniture de</w:t>
      </w:r>
      <w:r w:rsidRPr="00215544">
        <w:rPr>
          <w:lang w:val="fr-CH"/>
        </w:rPr>
        <w:t xml:space="preserve"> services Internet soient encore récents, l</w:t>
      </w:r>
      <w:r w:rsidR="00D77829">
        <w:rPr>
          <w:lang w:val="fr-CH"/>
        </w:rPr>
        <w:t>'</w:t>
      </w:r>
      <w:r w:rsidRPr="00215544">
        <w:rPr>
          <w:lang w:val="fr-CH"/>
        </w:rPr>
        <w:t>UIT-R étudie depuis une vingtaine d</w:t>
      </w:r>
      <w:r w:rsidR="00D77829">
        <w:rPr>
          <w:lang w:val="fr-CH"/>
        </w:rPr>
        <w:t>'</w:t>
      </w:r>
      <w:r w:rsidRPr="00215544">
        <w:rPr>
          <w:lang w:val="fr-CH"/>
        </w:rPr>
        <w:t>années</w:t>
      </w:r>
      <w:r w:rsidR="00422615">
        <w:rPr>
          <w:lang w:val="fr-CH"/>
        </w:rPr>
        <w:t xml:space="preserve"> les stations placées sur des plate-formes à haute altitude (HAPS)</w:t>
      </w:r>
      <w:r w:rsidRPr="00215544">
        <w:rPr>
          <w:lang w:val="fr-CH"/>
        </w:rPr>
        <w:t xml:space="preserve"> et a com</w:t>
      </w:r>
      <w:r w:rsidR="00215544">
        <w:rPr>
          <w:lang w:val="fr-CH"/>
        </w:rPr>
        <w:t>mencé ces études lors de la CMR-</w:t>
      </w:r>
      <w:r w:rsidRPr="00215544">
        <w:rPr>
          <w:lang w:val="fr-CH"/>
        </w:rPr>
        <w:t>97</w:t>
      </w:r>
      <w:r w:rsidR="00990E1F" w:rsidRPr="00215544">
        <w:rPr>
          <w:lang w:val="fr-CH"/>
        </w:rPr>
        <w:t>.</w:t>
      </w:r>
      <w:r w:rsidRPr="00215544">
        <w:rPr>
          <w:lang w:val="fr-CH"/>
        </w:rPr>
        <w:t xml:space="preserve"> Conformément au numéro </w:t>
      </w:r>
      <w:r w:rsidRPr="00990E1F">
        <w:t xml:space="preserve">1.66A </w:t>
      </w:r>
      <w:r w:rsidRPr="00215544">
        <w:rPr>
          <w:lang w:val="fr-CH"/>
        </w:rPr>
        <w:t xml:space="preserve">du Règlement des radiocommunications, les stations </w:t>
      </w:r>
      <w:r w:rsidR="00990E1F" w:rsidRPr="00990E1F">
        <w:t>HAPS</w:t>
      </w:r>
      <w:r>
        <w:t xml:space="preserve"> sont définies de la façon suivante:</w:t>
      </w:r>
      <w:r w:rsidR="00990E1F" w:rsidRPr="00990E1F">
        <w:t xml:space="preserve"> </w:t>
      </w:r>
      <w:r w:rsidR="00990E1F">
        <w:t>«</w:t>
      </w:r>
      <w:r w:rsidR="00990E1F" w:rsidRPr="00D77829">
        <w:rPr>
          <w:rFonts w:ascii="TimesNewRomanPS-ItalicMT" w:hAnsi="TimesNewRomanPS-ItalicMT" w:cs="TimesNewRomanPS-ItalicMT"/>
        </w:rPr>
        <w:t xml:space="preserve">[a] </w:t>
      </w:r>
      <w:r w:rsidR="00990E1F" w:rsidRPr="00D77829">
        <w:t>Station installée sur un objet placé à une altitude comprise entre 20 et 50 km et en un point spécifié, nominal, fixe par rapport à la Terre</w:t>
      </w:r>
      <w:r w:rsidR="00990E1F" w:rsidRPr="00990E1F">
        <w:t>»</w:t>
      </w:r>
      <w:r w:rsidR="00990E1F">
        <w:t>.</w:t>
      </w:r>
      <w:r>
        <w:t xml:space="preserve"> Certaines entités mettent actuellement au point des aéronefs sans pilote qui évolueront plusieurs mois à environ 20 km d</w:t>
      </w:r>
      <w:r w:rsidR="00D77829">
        <w:t>'</w:t>
      </w:r>
      <w:r>
        <w:t>altitude dans la stratosphère</w:t>
      </w:r>
      <w:r w:rsidR="00422615">
        <w:t>, afin d'</w:t>
      </w:r>
      <w:r>
        <w:t>assurer la couverture d</w:t>
      </w:r>
      <w:r w:rsidR="00D77829">
        <w:t>'</w:t>
      </w:r>
      <w:r>
        <w:t xml:space="preserve">une zone de service constante </w:t>
      </w:r>
      <w:r w:rsidR="00F8610F">
        <w:t>au sol. Ce type d</w:t>
      </w:r>
      <w:r w:rsidR="00D77829">
        <w:t>'</w:t>
      </w:r>
      <w:r w:rsidR="00F8610F">
        <w:t xml:space="preserve">aéronef théoriquement fixe, qui pourrait être considéré comme une station </w:t>
      </w:r>
      <w:r w:rsidR="00F8610F" w:rsidRPr="00215544">
        <w:rPr>
          <w:lang w:val="fr-CH"/>
        </w:rPr>
        <w:t>HAPS</w:t>
      </w:r>
      <w:r w:rsidR="00F8610F">
        <w:t>, s</w:t>
      </w:r>
      <w:r w:rsidR="00D77829">
        <w:t>'</w:t>
      </w:r>
      <w:r w:rsidR="00F8610F">
        <w:t xml:space="preserve">avère prometteur pour la fourniture de services large bande depuis une plate-forme à haute altitude et </w:t>
      </w:r>
      <w:r w:rsidR="00F8610F">
        <w:lastRenderedPageBreak/>
        <w:t>pourrait être utilisé par les fournisseurs de services large bande pour offrir des services aux communautés mal desservies</w:t>
      </w:r>
      <w:r w:rsidR="00215544">
        <w:rPr>
          <w:lang w:val="fr-CH"/>
        </w:rPr>
        <w:t>.</w:t>
      </w:r>
    </w:p>
    <w:p w:rsidR="00215544" w:rsidRDefault="00F8610F" w:rsidP="00422615">
      <w:r w:rsidRPr="00215544">
        <w:rPr>
          <w:lang w:val="fr-CH"/>
        </w:rPr>
        <w:t>Initialement, les fréquences identifiées pour les stations</w:t>
      </w:r>
      <w:r w:rsidR="00990E1F" w:rsidRPr="00215544">
        <w:rPr>
          <w:lang w:val="fr-CH"/>
        </w:rPr>
        <w:t xml:space="preserve"> HAPS</w:t>
      </w:r>
      <w:r w:rsidRPr="00215544">
        <w:rPr>
          <w:lang w:val="fr-CH"/>
        </w:rPr>
        <w:t xml:space="preserve"> prévoyaient l</w:t>
      </w:r>
      <w:r w:rsidR="00D77829">
        <w:rPr>
          <w:lang w:val="fr-CH"/>
        </w:rPr>
        <w:t>'</w:t>
      </w:r>
      <w:r w:rsidRPr="00215544">
        <w:rPr>
          <w:lang w:val="fr-CH"/>
        </w:rPr>
        <w:t xml:space="preserve">utilisation de ces stations dans le service fixe dans les bandes </w:t>
      </w:r>
      <w:r w:rsidR="00990E1F" w:rsidRPr="00215544">
        <w:rPr>
          <w:lang w:val="fr-CH"/>
        </w:rPr>
        <w:t>47</w:t>
      </w:r>
      <w:r w:rsidR="00215544">
        <w:rPr>
          <w:lang w:val="fr-CH"/>
        </w:rPr>
        <w:t>,</w:t>
      </w:r>
      <w:r w:rsidR="00990E1F" w:rsidRPr="00215544">
        <w:rPr>
          <w:lang w:val="fr-CH"/>
        </w:rPr>
        <w:t>2-47-5 GHz</w:t>
      </w:r>
      <w:r w:rsidRPr="00215544">
        <w:rPr>
          <w:lang w:val="fr-CH"/>
        </w:rPr>
        <w:t xml:space="preserve"> et </w:t>
      </w:r>
      <w:r w:rsidR="00215544">
        <w:rPr>
          <w:lang w:val="fr-CH"/>
        </w:rPr>
        <w:t>47,</w:t>
      </w:r>
      <w:r w:rsidR="00990E1F" w:rsidRPr="00215544">
        <w:rPr>
          <w:lang w:val="fr-CH"/>
        </w:rPr>
        <w:t>9-48</w:t>
      </w:r>
      <w:r w:rsidR="00215544">
        <w:rPr>
          <w:lang w:val="fr-CH"/>
        </w:rPr>
        <w:t>,</w:t>
      </w:r>
      <w:r w:rsidR="00990E1F" w:rsidRPr="00215544">
        <w:rPr>
          <w:lang w:val="fr-CH"/>
        </w:rPr>
        <w:t>2 GHz</w:t>
      </w:r>
      <w:r w:rsidR="00215544">
        <w:rPr>
          <w:lang w:val="fr-CH"/>
        </w:rPr>
        <w:t>.</w:t>
      </w:r>
      <w:r w:rsidRPr="00215544">
        <w:rPr>
          <w:lang w:val="fr-CH"/>
        </w:rPr>
        <w:t xml:space="preserve"> En raison de problèmes liés à l</w:t>
      </w:r>
      <w:r w:rsidR="00D77829">
        <w:rPr>
          <w:lang w:val="fr-CH"/>
        </w:rPr>
        <w:t>'</w:t>
      </w:r>
      <w:r w:rsidR="00BE0533" w:rsidRPr="00215544">
        <w:rPr>
          <w:lang w:val="fr-CH"/>
        </w:rPr>
        <w:t xml:space="preserve">affaiblissement </w:t>
      </w:r>
      <w:r w:rsidRPr="00215544">
        <w:rPr>
          <w:lang w:val="fr-CH"/>
        </w:rPr>
        <w:t>dû aux précipitations dans ces bandes, la CMR</w:t>
      </w:r>
      <w:r w:rsidR="00422615">
        <w:rPr>
          <w:lang w:val="fr-CH"/>
        </w:rPr>
        <w:t>-</w:t>
      </w:r>
      <w:r w:rsidRPr="00215544">
        <w:rPr>
          <w:lang w:val="fr-CH"/>
        </w:rPr>
        <w:t>2000</w:t>
      </w:r>
      <w:r w:rsidR="009D591C" w:rsidRPr="00215544">
        <w:rPr>
          <w:lang w:val="fr-CH"/>
        </w:rPr>
        <w:t xml:space="preserve"> a décidé d</w:t>
      </w:r>
      <w:r w:rsidR="00D77829">
        <w:rPr>
          <w:lang w:val="fr-CH"/>
        </w:rPr>
        <w:t>'</w:t>
      </w:r>
      <w:r w:rsidR="009D591C" w:rsidRPr="00215544">
        <w:rPr>
          <w:lang w:val="fr-CH"/>
        </w:rPr>
        <w:t>identifier des fréquences pour les stations HAPS dans le service fixe dans la bande</w:t>
      </w:r>
      <w:r w:rsidR="00215544">
        <w:rPr>
          <w:lang w:val="fr-CH"/>
        </w:rPr>
        <w:t xml:space="preserve"> 27,9-28,</w:t>
      </w:r>
      <w:r w:rsidR="00990E1F" w:rsidRPr="00215544">
        <w:rPr>
          <w:lang w:val="fr-CH"/>
        </w:rPr>
        <w:t>2 GHz (</w:t>
      </w:r>
      <w:r w:rsidR="009D591C" w:rsidRPr="00215544">
        <w:rPr>
          <w:lang w:val="fr-CH"/>
        </w:rPr>
        <w:t xml:space="preserve">dans le sens station </w:t>
      </w:r>
      <w:r w:rsidR="00990E1F" w:rsidRPr="00215544">
        <w:rPr>
          <w:lang w:val="fr-CH"/>
        </w:rPr>
        <w:t>HAPS-</w:t>
      </w:r>
      <w:r w:rsidR="009D591C" w:rsidRPr="00215544">
        <w:rPr>
          <w:lang w:val="fr-CH"/>
        </w:rPr>
        <w:t>station au sol</w:t>
      </w:r>
      <w:r w:rsidR="00990E1F" w:rsidRPr="00215544">
        <w:rPr>
          <w:lang w:val="fr-CH"/>
        </w:rPr>
        <w:t xml:space="preserve">), </w:t>
      </w:r>
      <w:r w:rsidR="009D591C" w:rsidRPr="00215544">
        <w:rPr>
          <w:lang w:val="fr-CH"/>
        </w:rPr>
        <w:t xml:space="preserve">appariée à la bande </w:t>
      </w:r>
      <w:r w:rsidR="00990E1F" w:rsidRPr="00215544">
        <w:rPr>
          <w:lang w:val="fr-CH"/>
        </w:rPr>
        <w:t>31</w:t>
      </w:r>
      <w:r w:rsidR="00215544">
        <w:rPr>
          <w:lang w:val="fr-CH"/>
        </w:rPr>
        <w:t>,</w:t>
      </w:r>
      <w:r w:rsidR="00990E1F" w:rsidRPr="00215544">
        <w:rPr>
          <w:lang w:val="fr-CH"/>
        </w:rPr>
        <w:t>0-31</w:t>
      </w:r>
      <w:r w:rsidR="00215544">
        <w:rPr>
          <w:lang w:val="fr-CH"/>
        </w:rPr>
        <w:t>,</w:t>
      </w:r>
      <w:r w:rsidR="00990E1F" w:rsidRPr="00215544">
        <w:rPr>
          <w:lang w:val="fr-CH"/>
        </w:rPr>
        <w:t>3 GHz (</w:t>
      </w:r>
      <w:r w:rsidR="009D591C" w:rsidRPr="00215544">
        <w:rPr>
          <w:lang w:val="fr-CH"/>
        </w:rPr>
        <w:t xml:space="preserve">dans le sens station au sol-station </w:t>
      </w:r>
      <w:r w:rsidR="00990E1F" w:rsidRPr="00215544">
        <w:rPr>
          <w:lang w:val="fr-CH"/>
        </w:rPr>
        <w:t xml:space="preserve">HAPS) </w:t>
      </w:r>
      <w:r w:rsidR="009D591C" w:rsidRPr="00215544">
        <w:rPr>
          <w:lang w:val="fr-CH"/>
        </w:rPr>
        <w:t>en dehors de la Région 2. En outre, lors de la CMR</w:t>
      </w:r>
      <w:r w:rsidR="00215544">
        <w:rPr>
          <w:lang w:val="fr-CH"/>
        </w:rPr>
        <w:t>-</w:t>
      </w:r>
      <w:r w:rsidR="00D77829">
        <w:rPr>
          <w:lang w:val="fr-CH"/>
        </w:rPr>
        <w:t>2000, les bandes 1 885-1 980 </w:t>
      </w:r>
      <w:r w:rsidR="009D591C" w:rsidRPr="00215544">
        <w:rPr>
          <w:lang w:val="fr-CH"/>
        </w:rPr>
        <w:t>MHz, 2 010</w:t>
      </w:r>
      <w:r w:rsidR="009D591C" w:rsidRPr="00215544">
        <w:rPr>
          <w:lang w:val="fr-CH"/>
        </w:rPr>
        <w:noBreakHyphen/>
        <w:t>2 025 MHz et 2 110-2 170 MHz ont été identifiées dans le service mobile pour les stations HAPS fonctionnant en tant que stations de base IMT</w:t>
      </w:r>
      <w:r w:rsidR="00215544">
        <w:rPr>
          <w:lang w:val="fr-CH"/>
        </w:rPr>
        <w:t>. Lors de la CMR-</w:t>
      </w:r>
      <w:r w:rsidR="009D591C" w:rsidRPr="00215544">
        <w:rPr>
          <w:lang w:val="fr-CH"/>
        </w:rPr>
        <w:t xml:space="preserve">12, cinq pays </w:t>
      </w:r>
      <w:r w:rsidR="00BE0533" w:rsidRPr="00215544">
        <w:rPr>
          <w:lang w:val="fr-CH"/>
        </w:rPr>
        <w:t xml:space="preserve">ont été mentionnés dans un renvoi relatif à la </w:t>
      </w:r>
      <w:r w:rsidR="00215544" w:rsidRPr="00215544">
        <w:rPr>
          <w:lang w:val="fr-CH"/>
        </w:rPr>
        <w:t>désignation</w:t>
      </w:r>
      <w:r w:rsidR="00BE0533" w:rsidRPr="00215544">
        <w:rPr>
          <w:lang w:val="fr-CH"/>
        </w:rPr>
        <w:t xml:space="preserve"> de fréquences pour les stations HAPS dans le service fixe, dans les bandes </w:t>
      </w:r>
      <w:r w:rsidR="00990E1F" w:rsidRPr="00215544">
        <w:rPr>
          <w:lang w:val="fr-CH"/>
        </w:rPr>
        <w:t>6 440-6 520 MHz (</w:t>
      </w:r>
      <w:r w:rsidR="00BE0533" w:rsidRPr="00215544">
        <w:rPr>
          <w:lang w:val="fr-CH"/>
        </w:rPr>
        <w:t>dans le sens station HAPS-station au sol</w:t>
      </w:r>
      <w:r w:rsidR="00990E1F" w:rsidRPr="00215544">
        <w:rPr>
          <w:lang w:val="fr-CH"/>
        </w:rPr>
        <w:t xml:space="preserve">) </w:t>
      </w:r>
      <w:r w:rsidR="00BE0533" w:rsidRPr="00215544">
        <w:rPr>
          <w:lang w:val="fr-CH"/>
        </w:rPr>
        <w:t>et</w:t>
      </w:r>
      <w:r w:rsidR="00D77829">
        <w:rPr>
          <w:lang w:val="fr-CH"/>
        </w:rPr>
        <w:t xml:space="preserve"> 6 560-6 640 </w:t>
      </w:r>
      <w:r w:rsidR="00990E1F" w:rsidRPr="00215544">
        <w:rPr>
          <w:lang w:val="fr-CH"/>
        </w:rPr>
        <w:t>MHz (</w:t>
      </w:r>
      <w:r w:rsidR="00BE0533" w:rsidRPr="00215544">
        <w:rPr>
          <w:lang w:val="fr-CH"/>
        </w:rPr>
        <w:t>dans le sens station au sol-station HAPS</w:t>
      </w:r>
      <w:r w:rsidR="00990E1F" w:rsidRPr="00215544">
        <w:rPr>
          <w:lang w:val="fr-CH"/>
        </w:rPr>
        <w:t xml:space="preserve">). </w:t>
      </w:r>
      <w:r w:rsidR="00BE0533" w:rsidRPr="00215544">
        <w:rPr>
          <w:lang w:val="fr-CH"/>
        </w:rPr>
        <w:t xml:space="preserve">Malgré la désignation de ces fréquences, peu de systèmes </w:t>
      </w:r>
      <w:r w:rsidR="00BE0533" w:rsidRPr="00B949D9">
        <w:t>HAPS</w:t>
      </w:r>
      <w:r w:rsidR="00BE0533" w:rsidRPr="00215544">
        <w:rPr>
          <w:lang w:val="fr-CH"/>
        </w:rPr>
        <w:t xml:space="preserve"> ont été déployés</w:t>
      </w:r>
      <w:r w:rsidR="00215544">
        <w:t>.</w:t>
      </w:r>
    </w:p>
    <w:p w:rsidR="00990E1F" w:rsidRPr="00215544" w:rsidRDefault="00BE0533" w:rsidP="00422615">
      <w:r w:rsidRPr="00215544">
        <w:rPr>
          <w:lang w:val="fr-CH"/>
        </w:rPr>
        <w:t>Depuis 1997, la demande de services large bande a considérablement augmenté. Il sera peut-être nécessaire d</w:t>
      </w:r>
      <w:r w:rsidR="00D77829">
        <w:rPr>
          <w:lang w:val="fr-CH"/>
        </w:rPr>
        <w:t>'</w:t>
      </w:r>
      <w:r w:rsidRPr="00215544">
        <w:rPr>
          <w:lang w:val="fr-CH"/>
        </w:rPr>
        <w:t xml:space="preserve">étendre les bandes identifiées pour les stations </w:t>
      </w:r>
      <w:r w:rsidR="00990E1F" w:rsidRPr="00215544">
        <w:rPr>
          <w:lang w:val="fr-CH"/>
        </w:rPr>
        <w:t xml:space="preserve">HAPS, </w:t>
      </w:r>
      <w:r w:rsidR="00DF234F" w:rsidRPr="00215544">
        <w:rPr>
          <w:lang w:val="fr-CH"/>
        </w:rPr>
        <w:t>aujourd</w:t>
      </w:r>
      <w:r w:rsidR="00D77829">
        <w:rPr>
          <w:lang w:val="fr-CH"/>
        </w:rPr>
        <w:t>'</w:t>
      </w:r>
      <w:r w:rsidR="00DF234F" w:rsidRPr="00215544">
        <w:rPr>
          <w:lang w:val="fr-CH"/>
        </w:rPr>
        <w:t>hui</w:t>
      </w:r>
      <w:r w:rsidRPr="00215544">
        <w:rPr>
          <w:lang w:val="fr-CH"/>
        </w:rPr>
        <w:t xml:space="preserve"> géographiquement limitées, aussi bien sur le plan géographique que sur le plan spectral, afin </w:t>
      </w:r>
      <w:r w:rsidR="00DF234F" w:rsidRPr="00215544">
        <w:rPr>
          <w:lang w:val="fr-CH"/>
        </w:rPr>
        <w:t>que les</w:t>
      </w:r>
      <w:r w:rsidRPr="00215544">
        <w:rPr>
          <w:lang w:val="fr-CH"/>
        </w:rPr>
        <w:t xml:space="preserve"> nouvelles technologies HAPS </w:t>
      </w:r>
      <w:r w:rsidR="00DF234F" w:rsidRPr="00215544">
        <w:rPr>
          <w:lang w:val="fr-CH"/>
        </w:rPr>
        <w:t>puiss</w:t>
      </w:r>
      <w:r w:rsidR="00422615">
        <w:rPr>
          <w:lang w:val="fr-CH"/>
        </w:rPr>
        <w:t>e</w:t>
      </w:r>
      <w:r w:rsidR="00DF234F" w:rsidRPr="00215544">
        <w:rPr>
          <w:lang w:val="fr-CH"/>
        </w:rPr>
        <w:t xml:space="preserve">nt </w:t>
      </w:r>
      <w:r w:rsidRPr="00215544">
        <w:rPr>
          <w:lang w:val="fr-CH"/>
        </w:rPr>
        <w:t>fournir des services large bande en fonction de la demande des utilisateurs. L</w:t>
      </w:r>
      <w:r w:rsidR="00D77829">
        <w:rPr>
          <w:lang w:val="fr-CH"/>
        </w:rPr>
        <w:t>'</w:t>
      </w:r>
      <w:r w:rsidRPr="00215544">
        <w:rPr>
          <w:lang w:val="fr-CH"/>
        </w:rPr>
        <w:t>identification de bandes dans le service fixe à l</w:t>
      </w:r>
      <w:r w:rsidR="00D77829">
        <w:rPr>
          <w:lang w:val="fr-CH"/>
        </w:rPr>
        <w:t>'</w:t>
      </w:r>
      <w:r w:rsidRPr="00215544">
        <w:rPr>
          <w:lang w:val="fr-CH"/>
        </w:rPr>
        <w:t xml:space="preserve">échelle mondiale pour faciliter la fourniture du large bande à partir de stations </w:t>
      </w:r>
      <w:r w:rsidR="00DF234F" w:rsidRPr="00215544">
        <w:rPr>
          <w:lang w:val="fr-CH"/>
        </w:rPr>
        <w:t xml:space="preserve">HAPS </w:t>
      </w:r>
      <w:r w:rsidRPr="00215544">
        <w:rPr>
          <w:lang w:val="fr-CH"/>
        </w:rPr>
        <w:t>pourrait permettre de réaliser les économies d</w:t>
      </w:r>
      <w:r w:rsidR="00D77829">
        <w:rPr>
          <w:lang w:val="fr-CH"/>
        </w:rPr>
        <w:t>'</w:t>
      </w:r>
      <w:r w:rsidRPr="00215544">
        <w:rPr>
          <w:lang w:val="fr-CH"/>
        </w:rPr>
        <w:t xml:space="preserve">échelle nécessaires pour rendre cette technologie financièrement abordable dans les régions mal desservies, en particulier celles dans lesquelles </w:t>
      </w:r>
      <w:r w:rsidR="00DF234F" w:rsidRPr="00215544">
        <w:rPr>
          <w:lang w:val="fr-CH"/>
        </w:rPr>
        <w:t>il est difficile</w:t>
      </w:r>
      <w:r w:rsidR="00422615">
        <w:rPr>
          <w:lang w:val="fr-CH"/>
        </w:rPr>
        <w:t>, en raison de la configuration du terrain,</w:t>
      </w:r>
      <w:r w:rsidR="00DF234F" w:rsidRPr="00215544">
        <w:rPr>
          <w:lang w:val="fr-CH"/>
        </w:rPr>
        <w:t xml:space="preserve"> de déployer des réseaux de Terre classiques, et celles qui ont été </w:t>
      </w:r>
      <w:r w:rsidR="00422615">
        <w:rPr>
          <w:lang w:val="fr-CH"/>
        </w:rPr>
        <w:t>touchées par</w:t>
      </w:r>
      <w:r w:rsidR="00DF234F" w:rsidRPr="00215544">
        <w:rPr>
          <w:lang w:val="fr-CH"/>
        </w:rPr>
        <w:t xml:space="preserve"> des catastrophes,</w:t>
      </w:r>
      <w:r w:rsidR="00DF234F" w:rsidRPr="00DF234F">
        <w:rPr>
          <w:color w:val="000000"/>
        </w:rPr>
        <w:t xml:space="preserve"> </w:t>
      </w:r>
      <w:r w:rsidR="00DF234F">
        <w:rPr>
          <w:color w:val="000000"/>
        </w:rPr>
        <w:t>notamment naturelles</w:t>
      </w:r>
      <w:r w:rsidR="00215544">
        <w:rPr>
          <w:color w:val="000000"/>
        </w:rPr>
        <w:t>.</w:t>
      </w:r>
    </w:p>
    <w:p w:rsidR="00990E1F" w:rsidRPr="00215544" w:rsidRDefault="00815A88" w:rsidP="00D77829">
      <w:pPr>
        <w:rPr>
          <w:lang w:val="fr-CH"/>
        </w:rPr>
      </w:pPr>
      <w:r w:rsidRPr="00215544">
        <w:rPr>
          <w:lang w:val="fr-CH"/>
        </w:rPr>
        <w:t>En plus d</w:t>
      </w:r>
      <w:r w:rsidR="00D77829">
        <w:rPr>
          <w:lang w:val="fr-CH"/>
        </w:rPr>
        <w:t>'</w:t>
      </w:r>
      <w:r w:rsidRPr="00215544">
        <w:rPr>
          <w:lang w:val="fr-CH"/>
        </w:rPr>
        <w:t>un élargissement de la portée géographique, il faudra peut-être prévoir des bandes de fréquences additionnelles pour permettre la mise en œuvre de techniques larges bande modernes. En conséquence, il conviendrait d</w:t>
      </w:r>
      <w:r w:rsidR="00D77829">
        <w:rPr>
          <w:lang w:val="fr-CH"/>
        </w:rPr>
        <w:t>'</w:t>
      </w:r>
      <w:r w:rsidRPr="00215544">
        <w:rPr>
          <w:lang w:val="fr-CH"/>
        </w:rPr>
        <w:t>étudier les bandes de fréquences actuellement attribuées au service fixe, en vue d</w:t>
      </w:r>
      <w:r w:rsidR="00D77829">
        <w:rPr>
          <w:lang w:val="fr-CH"/>
        </w:rPr>
        <w:t>'</w:t>
      </w:r>
      <w:r w:rsidRPr="00215544">
        <w:rPr>
          <w:lang w:val="fr-CH"/>
        </w:rPr>
        <w:t xml:space="preserve">identifier des bandes de fréquences additionnelles pour les stations HAPS pour </w:t>
      </w:r>
      <w:r w:rsidR="00422615">
        <w:rPr>
          <w:lang w:val="fr-CH"/>
        </w:rPr>
        <w:t>leur permettre de</w:t>
      </w:r>
      <w:r w:rsidRPr="00215544">
        <w:rPr>
          <w:lang w:val="fr-CH"/>
        </w:rPr>
        <w:t xml:space="preserve"> fournir des l</w:t>
      </w:r>
      <w:r w:rsidR="00215544">
        <w:rPr>
          <w:lang w:val="fr-CH"/>
        </w:rPr>
        <w:t>iaisons vers les stations fixes</w:t>
      </w:r>
      <w:r w:rsidR="00990E1F" w:rsidRPr="00215544">
        <w:rPr>
          <w:lang w:val="fr-CH"/>
        </w:rPr>
        <w:t xml:space="preserve">. </w:t>
      </w:r>
      <w:r w:rsidRPr="00215544">
        <w:rPr>
          <w:lang w:val="fr-CH"/>
        </w:rPr>
        <w:t xml:space="preserve">Dans le cadre de ces études, ces stations fixes pourraient inclure </w:t>
      </w:r>
      <w:r w:rsidR="00422615">
        <w:rPr>
          <w:lang w:val="fr-CH"/>
        </w:rPr>
        <w:t>les terminaux</w:t>
      </w:r>
      <w:r w:rsidRPr="00215544">
        <w:rPr>
          <w:lang w:val="fr-CH"/>
        </w:rPr>
        <w:t xml:space="preserve"> passerelle ou d</w:t>
      </w:r>
      <w:r w:rsidR="00D77829">
        <w:rPr>
          <w:lang w:val="fr-CH"/>
        </w:rPr>
        <w:t>'</w:t>
      </w:r>
      <w:r w:rsidRPr="00215544">
        <w:rPr>
          <w:lang w:val="fr-CH"/>
        </w:rPr>
        <w:t xml:space="preserve">autres terminaux fixes, </w:t>
      </w:r>
      <w:r w:rsidR="00D77829">
        <w:rPr>
          <w:lang w:val="fr-CH"/>
        </w:rPr>
        <w:t>et</w:t>
      </w:r>
      <w:r w:rsidRPr="00215544">
        <w:rPr>
          <w:lang w:val="fr-CH"/>
        </w:rPr>
        <w:t xml:space="preserve"> ne comprendraient pas les liaisons directement assurées </w:t>
      </w:r>
      <w:r w:rsidR="00422615">
        <w:rPr>
          <w:lang w:val="fr-CH"/>
        </w:rPr>
        <w:t>vers</w:t>
      </w:r>
      <w:r w:rsidRPr="00215544">
        <w:rPr>
          <w:lang w:val="fr-CH"/>
        </w:rPr>
        <w:t xml:space="preserve"> les dispositifs mobiles</w:t>
      </w:r>
      <w:r w:rsidR="00215544">
        <w:rPr>
          <w:lang w:val="fr-CH"/>
        </w:rPr>
        <w:t>.</w:t>
      </w:r>
    </w:p>
    <w:p w:rsidR="00990E1F" w:rsidRPr="00215544" w:rsidRDefault="00815A88" w:rsidP="00215544">
      <w:pPr>
        <w:rPr>
          <w:lang w:val="fr-CH"/>
        </w:rPr>
      </w:pPr>
      <w:r w:rsidRPr="00215544">
        <w:rPr>
          <w:lang w:val="fr-CH"/>
        </w:rPr>
        <w:t>On trouvera ci-dessous une proposition de nouveau point à inscrire à l</w:t>
      </w:r>
      <w:r w:rsidR="00D77829">
        <w:rPr>
          <w:lang w:val="fr-CH"/>
        </w:rPr>
        <w:t>'</w:t>
      </w:r>
      <w:r w:rsidRPr="00215544">
        <w:rPr>
          <w:lang w:val="fr-CH"/>
        </w:rPr>
        <w:t>ordre du jour de la CMR</w:t>
      </w:r>
      <w:r w:rsidR="00215544">
        <w:rPr>
          <w:lang w:val="fr-CH"/>
        </w:rPr>
        <w:t>-</w:t>
      </w:r>
      <w:r w:rsidRPr="00215544">
        <w:rPr>
          <w:lang w:val="fr-CH"/>
        </w:rPr>
        <w:t>19, visant à examiner les résultats des études sur la fourniture d</w:t>
      </w:r>
      <w:r w:rsidR="00D77829">
        <w:rPr>
          <w:lang w:val="fr-CH"/>
        </w:rPr>
        <w:t>'</w:t>
      </w:r>
      <w:r w:rsidRPr="00215544">
        <w:rPr>
          <w:lang w:val="fr-CH"/>
        </w:rPr>
        <w:t>applications large bande par les stations HAPS, ainsi que les Recommandations et les Résolutions UIT-R connexes, et à prendre les mesures voulues.</w:t>
      </w:r>
    </w:p>
    <w:p w:rsidR="00990E1F" w:rsidRPr="00215544" w:rsidRDefault="00990E1F" w:rsidP="00215544">
      <w:pPr>
        <w:pStyle w:val="Headingb"/>
        <w:spacing w:before="360"/>
        <w:rPr>
          <w:lang w:val="fr-CH"/>
        </w:rPr>
      </w:pPr>
      <w:r w:rsidRPr="00215544">
        <w:rPr>
          <w:lang w:val="fr-CH"/>
        </w:rPr>
        <w:t>Propo</w:t>
      </w:r>
      <w:r w:rsidR="00317C69" w:rsidRPr="00215544">
        <w:rPr>
          <w:lang w:val="fr-CH"/>
        </w:rPr>
        <w:t>sitions</w:t>
      </w:r>
    </w:p>
    <w:p w:rsidR="00990E1F" w:rsidRPr="00215544" w:rsidRDefault="00317C69" w:rsidP="00215544">
      <w:pPr>
        <w:spacing w:before="2600"/>
        <w:rPr>
          <w:lang w:val="fr-CH"/>
        </w:rPr>
      </w:pPr>
      <w:r w:rsidRPr="00215544">
        <w:rPr>
          <w:b/>
          <w:bCs/>
          <w:lang w:val="fr-CH"/>
        </w:rPr>
        <w:t>Pièce jointe</w:t>
      </w:r>
      <w:r w:rsidR="00990E1F" w:rsidRPr="00215544">
        <w:rPr>
          <w:b/>
          <w:bCs/>
          <w:lang w:val="fr-CH"/>
        </w:rPr>
        <w:t>:</w:t>
      </w:r>
      <w:r w:rsidR="00990E1F" w:rsidRPr="00215544">
        <w:rPr>
          <w:lang w:val="fr-CH"/>
        </w:rPr>
        <w:t xml:space="preserve"> 1</w:t>
      </w:r>
    </w:p>
    <w:p w:rsidR="0015203F" w:rsidRDefault="0015203F" w:rsidP="00215544">
      <w:pPr>
        <w:tabs>
          <w:tab w:val="clear" w:pos="1134"/>
          <w:tab w:val="clear" w:pos="1871"/>
          <w:tab w:val="clear" w:pos="2268"/>
        </w:tabs>
        <w:overflowPunct/>
        <w:autoSpaceDE/>
        <w:autoSpaceDN/>
        <w:adjustRightInd/>
        <w:spacing w:before="0"/>
        <w:textAlignment w:val="auto"/>
      </w:pPr>
      <w:r>
        <w:br w:type="page"/>
      </w:r>
    </w:p>
    <w:p w:rsidR="003B0BD8" w:rsidRDefault="00E703B0" w:rsidP="00215544">
      <w:pPr>
        <w:pStyle w:val="Proposal"/>
      </w:pPr>
      <w:r>
        <w:lastRenderedPageBreak/>
        <w:t>SUP</w:t>
      </w:r>
      <w:r>
        <w:tab/>
        <w:t>IAP/7A24A6/1</w:t>
      </w:r>
    </w:p>
    <w:p w:rsidR="00892062" w:rsidRPr="00D9123C" w:rsidRDefault="00E703B0" w:rsidP="00215544">
      <w:pPr>
        <w:pStyle w:val="ResNo"/>
      </w:pPr>
      <w:r w:rsidRPr="00D9123C">
        <w:t xml:space="preserve">RÉSOLUTION </w:t>
      </w:r>
      <w:r>
        <w:rPr>
          <w:rStyle w:val="href"/>
        </w:rPr>
        <w:t>808</w:t>
      </w:r>
      <w:r w:rsidRPr="00D9123C">
        <w:t xml:space="preserve"> (CMR-</w:t>
      </w:r>
      <w:r>
        <w:t>12</w:t>
      </w:r>
      <w:r w:rsidRPr="00D9123C">
        <w:t>)</w:t>
      </w:r>
      <w:r w:rsidR="005E4B77">
        <w:t xml:space="preserve"> (CMR-15)</w:t>
      </w:r>
    </w:p>
    <w:p w:rsidR="00892062" w:rsidRPr="009C7CEE" w:rsidRDefault="00E703B0" w:rsidP="00215544">
      <w:pPr>
        <w:pStyle w:val="Restitle"/>
      </w:pPr>
      <w:r w:rsidRPr="009C7CEE">
        <w:t>Ordre du jour préliminaire de la Conférence mondiale</w:t>
      </w:r>
      <w:r w:rsidRPr="009C7CEE">
        <w:br/>
        <w:t>des radiocommunications de 2018</w:t>
      </w:r>
    </w:p>
    <w:p w:rsidR="003B0BD8" w:rsidRPr="00215544" w:rsidRDefault="00E703B0" w:rsidP="00215544">
      <w:pPr>
        <w:pStyle w:val="Reasons"/>
        <w:rPr>
          <w:lang w:val="fr-CH"/>
        </w:rPr>
      </w:pPr>
      <w:r w:rsidRPr="00215544">
        <w:rPr>
          <w:b/>
          <w:lang w:val="fr-CH"/>
        </w:rPr>
        <w:t>Motifs:</w:t>
      </w:r>
      <w:r w:rsidRPr="00215544">
        <w:rPr>
          <w:lang w:val="fr-CH"/>
        </w:rPr>
        <w:tab/>
      </w:r>
      <w:r w:rsidR="00CD1F8C" w:rsidRPr="00215544">
        <w:rPr>
          <w:lang w:val="fr-CH"/>
        </w:rPr>
        <w:t>Cette Résolution doit être su</w:t>
      </w:r>
      <w:r w:rsidR="00215544">
        <w:rPr>
          <w:lang w:val="fr-CH"/>
        </w:rPr>
        <w:t>pprimée, étant donné que la CMR-</w:t>
      </w:r>
      <w:r w:rsidR="00CD1F8C" w:rsidRPr="00215544">
        <w:rPr>
          <w:lang w:val="fr-CH"/>
        </w:rPr>
        <w:t>15 élaborera une nouvelle Résolution dans laquelle figure</w:t>
      </w:r>
      <w:r w:rsidR="00215544">
        <w:rPr>
          <w:lang w:val="fr-CH"/>
        </w:rPr>
        <w:t>ra l</w:t>
      </w:r>
      <w:r w:rsidR="00D77829">
        <w:rPr>
          <w:lang w:val="fr-CH"/>
        </w:rPr>
        <w:t>'</w:t>
      </w:r>
      <w:r w:rsidR="00215544">
        <w:rPr>
          <w:lang w:val="fr-CH"/>
        </w:rPr>
        <w:t>ordre du jour de la CMR-19.</w:t>
      </w:r>
    </w:p>
    <w:p w:rsidR="003B0BD8" w:rsidRDefault="00E703B0" w:rsidP="00215544">
      <w:pPr>
        <w:pStyle w:val="Proposal"/>
      </w:pPr>
      <w:r>
        <w:t>ADD</w:t>
      </w:r>
      <w:r>
        <w:tab/>
        <w:t>IAP/7A24A6/2</w:t>
      </w:r>
    </w:p>
    <w:p w:rsidR="008D2F76" w:rsidRPr="00D77829" w:rsidRDefault="00E703B0" w:rsidP="00D77829">
      <w:pPr>
        <w:pStyle w:val="ResNo"/>
      </w:pPr>
      <w:r w:rsidRPr="00D77829">
        <w:t>Projet de nouvelle Résolution</w:t>
      </w:r>
      <w:r w:rsidR="008D2F76" w:rsidRPr="00D77829">
        <w:t xml:space="preserve"> [IAP-10F-2019] (CMR-15)</w:t>
      </w:r>
    </w:p>
    <w:p w:rsidR="008D2F76" w:rsidRPr="009C7CEE" w:rsidRDefault="008D2F76" w:rsidP="00215544">
      <w:pPr>
        <w:pStyle w:val="ResTitle0"/>
        <w:rPr>
          <w:lang w:val="fr-FR"/>
        </w:rPr>
      </w:pPr>
      <w:r w:rsidRPr="009C7CEE">
        <w:rPr>
          <w:lang w:val="fr-FR"/>
        </w:rPr>
        <w:t>Ordre du jour de la Conférence mondiale</w:t>
      </w:r>
      <w:r>
        <w:rPr>
          <w:lang w:val="fr-FR"/>
        </w:rPr>
        <w:t xml:space="preserve"> des radiocommunications de 2019</w:t>
      </w:r>
    </w:p>
    <w:p w:rsidR="008D2F76" w:rsidRDefault="008D2F76" w:rsidP="00215544">
      <w:pPr>
        <w:pStyle w:val="Normalaftertitle0"/>
        <w:rPr>
          <w:lang w:val="fr-FR"/>
        </w:rPr>
      </w:pPr>
      <w:r w:rsidRPr="00B42483">
        <w:rPr>
          <w:lang w:val="fr-FR"/>
        </w:rPr>
        <w:t>La Conférence mondiale des radi</w:t>
      </w:r>
      <w:r>
        <w:rPr>
          <w:lang w:val="fr-FR"/>
        </w:rPr>
        <w:t>ocommunications (Genève, 2015),</w:t>
      </w:r>
    </w:p>
    <w:p w:rsidR="008A3563" w:rsidRPr="008A3563" w:rsidRDefault="008A3563" w:rsidP="00215544">
      <w:pPr>
        <w:pStyle w:val="Call"/>
      </w:pPr>
      <w:r>
        <w:t>considérant</w:t>
      </w:r>
    </w:p>
    <w:p w:rsidR="008A3563" w:rsidRPr="00B42483" w:rsidRDefault="008A3563" w:rsidP="00215544">
      <w:r w:rsidRPr="00B42483">
        <w:rPr>
          <w:i/>
          <w:iCs/>
        </w:rPr>
        <w:t>a)</w:t>
      </w:r>
      <w:r w:rsidRPr="00B42483">
        <w:tab/>
        <w:t>que, conformément au numéro 118 de la Convention de l'UIT, le cadre général de l'ordre du jour d'une conférence mondiale des radiocommunications devrait être fixé de quatre à six ans à l'avance et que l'ordre du jour définitif est fixé par le Conseil deux ans avant la conférence;</w:t>
      </w:r>
    </w:p>
    <w:p w:rsidR="008A3563" w:rsidRPr="00B42483" w:rsidRDefault="008A3563" w:rsidP="00215544">
      <w:pPr>
        <w:rPr>
          <w:i/>
          <w:iCs/>
        </w:rPr>
      </w:pPr>
      <w:r w:rsidRPr="00B42483">
        <w:rPr>
          <w:i/>
          <w:iCs/>
        </w:rPr>
        <w:t>b)</w:t>
      </w:r>
      <w:r w:rsidRPr="00B42483">
        <w:rPr>
          <w:i/>
          <w:iCs/>
        </w:rPr>
        <w:tab/>
      </w:r>
      <w:r w:rsidRPr="00B42483">
        <w:t>l'article 13 de la Constitution de l'UIT, concernant la compétence et la fréquence des conférences mondiales des radiocommunications, et l'article 7 de la Convention relatif à leur ordre du jour;</w:t>
      </w:r>
    </w:p>
    <w:p w:rsidR="008D2F76" w:rsidRPr="00F07CB0" w:rsidRDefault="008A3563" w:rsidP="00215544">
      <w:r w:rsidRPr="00B42483">
        <w:rPr>
          <w:i/>
          <w:iCs/>
        </w:rPr>
        <w:t>c)</w:t>
      </w:r>
      <w:r w:rsidRPr="00B42483">
        <w:tab/>
        <w:t>les résolutions et recommandations pertinentes des conférences administratives mondiales des radiocommunications (CAMR) et des conférences mondiales des radiocommunications (CMR) précédentes,</w:t>
      </w:r>
    </w:p>
    <w:p w:rsidR="008D2F76" w:rsidRPr="00F07CB0" w:rsidRDefault="00F07CB0" w:rsidP="00215544">
      <w:pPr>
        <w:pStyle w:val="Call"/>
      </w:pPr>
      <w:r w:rsidRPr="00F07CB0">
        <w:t>reconnaissant</w:t>
      </w:r>
    </w:p>
    <w:p w:rsidR="00F07CB0" w:rsidRPr="00B42483" w:rsidRDefault="00F07CB0" w:rsidP="00215544">
      <w:r w:rsidRPr="00B42483">
        <w:rPr>
          <w:i/>
          <w:iCs/>
        </w:rPr>
        <w:t>a)</w:t>
      </w:r>
      <w:r w:rsidRPr="00B42483">
        <w:tab/>
        <w:t xml:space="preserve">que la </w:t>
      </w:r>
      <w:r>
        <w:t>CMR-15</w:t>
      </w:r>
      <w:r w:rsidRPr="00B42483">
        <w:t xml:space="preserve"> a recensé un certain nombre de </w:t>
      </w:r>
      <w:r>
        <w:t>questions urgentes que la CMR</w:t>
      </w:r>
      <w:r>
        <w:noBreakHyphen/>
        <w:t>19</w:t>
      </w:r>
      <w:r w:rsidRPr="00B42483">
        <w:t xml:space="preserve"> devra examiner plus avant;</w:t>
      </w:r>
    </w:p>
    <w:p w:rsidR="00F07CB0" w:rsidRPr="00B42483" w:rsidRDefault="00F07CB0" w:rsidP="00215544">
      <w:r w:rsidRPr="00B42483">
        <w:rPr>
          <w:i/>
          <w:iCs/>
        </w:rPr>
        <w:t>b)</w:t>
      </w:r>
      <w:r w:rsidRPr="00B42483">
        <w:tab/>
        <w:t xml:space="preserve">que, lors de l'élaboration du présent ordre du jour, </w:t>
      </w:r>
      <w:r>
        <w:t>certains</w:t>
      </w:r>
      <w:r w:rsidRPr="00B42483">
        <w:t xml:space="preserve"> points proposés par des administrations n'ont pas pu être retenus et que leur inscription a dû être reportée à l'ordre du jour de conférences futures,</w:t>
      </w:r>
    </w:p>
    <w:p w:rsidR="008D2F76" w:rsidRPr="004F2366" w:rsidRDefault="00C6725C" w:rsidP="00215544">
      <w:pPr>
        <w:pStyle w:val="Call"/>
      </w:pPr>
      <w:r w:rsidRPr="004F2366">
        <w:t>décide</w:t>
      </w:r>
    </w:p>
    <w:p w:rsidR="004F2366" w:rsidRPr="00B42483" w:rsidRDefault="004F2366" w:rsidP="00215544">
      <w:pPr>
        <w:keepNext/>
        <w:keepLines/>
      </w:pPr>
      <w:r w:rsidRPr="00B42483">
        <w:t>de recomma</w:t>
      </w:r>
      <w:r>
        <w:t xml:space="preserve">nder au Conseil de convoquer en </w:t>
      </w:r>
      <w:r w:rsidRPr="00B42483">
        <w:t>201</w:t>
      </w:r>
      <w:r w:rsidR="00CD1F8C">
        <w:t xml:space="preserve">9 </w:t>
      </w:r>
      <w:r w:rsidRPr="00B42483">
        <w:t xml:space="preserve">une conférence mondiale des radiocommunications d'une durée </w:t>
      </w:r>
      <w:r>
        <w:t xml:space="preserve">maximale </w:t>
      </w:r>
      <w:r w:rsidRPr="00B42483">
        <w:t>de quatre semaines, dont l'ordre du jour sera le suivant:</w:t>
      </w:r>
    </w:p>
    <w:p w:rsidR="004F2366" w:rsidRPr="00B42483" w:rsidRDefault="004F2366" w:rsidP="00215544">
      <w:pPr>
        <w:keepNext/>
        <w:keepLines/>
      </w:pPr>
      <w:r w:rsidRPr="00B42483">
        <w:t>1</w:t>
      </w:r>
      <w:r w:rsidRPr="00B42483">
        <w:tab/>
        <w:t>sur la base des propositions des administrations, compte</w:t>
      </w:r>
      <w:r>
        <w:t xml:space="preserve"> tenu des résultats de la CMR</w:t>
      </w:r>
      <w:r>
        <w:noBreakHyphen/>
        <w:t>15</w:t>
      </w:r>
      <w:r w:rsidRPr="00B42483">
        <w:t xml:space="preserve"> ainsi que du </w:t>
      </w:r>
      <w:r>
        <w:t>r</w:t>
      </w:r>
      <w:r w:rsidRPr="00B42483">
        <w:t>apport de la Réunion de préparation à la Conférence et compte dûment tenu des besoins des services existants ou futurs dans les bandes considérées, examiner les points suivants et prendre les mesures appropriées:</w:t>
      </w:r>
    </w:p>
    <w:p w:rsidR="008D2F76" w:rsidRPr="00215544" w:rsidRDefault="00D77829" w:rsidP="00215544">
      <w:pPr>
        <w:rPr>
          <w:lang w:val="fr-CH"/>
        </w:rPr>
      </w:pPr>
      <w:r>
        <w:rPr>
          <w:bCs/>
          <w:lang w:val="fr-CH"/>
        </w:rPr>
        <w:t>1</w:t>
      </w:r>
      <w:r w:rsidR="008D2F76" w:rsidRPr="00215544">
        <w:rPr>
          <w:bCs/>
          <w:lang w:val="fr-CH"/>
        </w:rPr>
        <w:t>[HAPS]</w:t>
      </w:r>
      <w:r w:rsidR="008D2F76" w:rsidRPr="00215544">
        <w:rPr>
          <w:bCs/>
          <w:lang w:val="fr-CH"/>
        </w:rPr>
        <w:tab/>
      </w:r>
      <w:r w:rsidR="00CD1F8C" w:rsidRPr="00215544">
        <w:rPr>
          <w:bCs/>
          <w:lang w:val="fr-CH"/>
        </w:rPr>
        <w:t>examiner, sur la base des études de l</w:t>
      </w:r>
      <w:r>
        <w:rPr>
          <w:bCs/>
          <w:lang w:val="fr-CH"/>
        </w:rPr>
        <w:t>'</w:t>
      </w:r>
      <w:r w:rsidR="00CD1F8C" w:rsidRPr="00215544">
        <w:rPr>
          <w:bCs/>
          <w:lang w:val="fr-CH"/>
        </w:rPr>
        <w:t xml:space="preserve">UIT-R conformément à la Résolution </w:t>
      </w:r>
      <w:r w:rsidR="008D2F76" w:rsidRPr="00215544">
        <w:rPr>
          <w:b/>
          <w:lang w:val="fr-CH"/>
        </w:rPr>
        <w:t>[IAP</w:t>
      </w:r>
      <w:r w:rsidR="008D2F76" w:rsidRPr="00215544">
        <w:rPr>
          <w:b/>
          <w:lang w:val="fr-CH"/>
        </w:rPr>
        <w:noBreakHyphen/>
        <w:t>10F</w:t>
      </w:r>
      <w:r w:rsidR="008D2F76" w:rsidRPr="00215544">
        <w:rPr>
          <w:b/>
          <w:lang w:val="fr-CH"/>
        </w:rPr>
        <w:noBreakHyphen/>
        <w:t>HAPS] (</w:t>
      </w:r>
      <w:r w:rsidR="00CD1F8C" w:rsidRPr="00215544">
        <w:rPr>
          <w:b/>
          <w:lang w:val="fr-CH"/>
        </w:rPr>
        <w:t>CMR</w:t>
      </w:r>
      <w:r w:rsidR="008D2F76" w:rsidRPr="00215544">
        <w:rPr>
          <w:b/>
          <w:lang w:val="fr-CH"/>
        </w:rPr>
        <w:t>-15)</w:t>
      </w:r>
      <w:r w:rsidR="008D2F76" w:rsidRPr="00215544">
        <w:rPr>
          <w:lang w:val="fr-CH"/>
        </w:rPr>
        <w:t xml:space="preserve">, </w:t>
      </w:r>
      <w:r w:rsidR="00CD1F8C" w:rsidRPr="00215544">
        <w:rPr>
          <w:lang w:val="fr-CH"/>
        </w:rPr>
        <w:t xml:space="preserve">des mesures réglementaires appropriées, qui pourraient consister à étendre les bandes identifiées actuellement pour les liaisons HAPS, dans le cadre des attributions </w:t>
      </w:r>
      <w:r w:rsidR="00CD1F8C" w:rsidRPr="00215544">
        <w:rPr>
          <w:lang w:val="fr-CH"/>
        </w:rPr>
        <w:lastRenderedPageBreak/>
        <w:t>existantes au service fixe, en modifiant les restrictions géographiques, techniques et réglementaires associées aux bandes identifiées actuellement pour les stations HAPS, et identifier des bandes de fréquences additionnelles</w:t>
      </w:r>
      <w:r w:rsidR="00B91158" w:rsidRPr="00215544">
        <w:rPr>
          <w:lang w:val="fr-CH"/>
        </w:rPr>
        <w:t xml:space="preserve"> </w:t>
      </w:r>
      <w:r w:rsidR="008D2F76" w:rsidRPr="00215544">
        <w:rPr>
          <w:lang w:val="fr-CH"/>
        </w:rPr>
        <w:t>(</w:t>
      </w:r>
      <w:r w:rsidR="00B91158" w:rsidRPr="00215544">
        <w:rPr>
          <w:lang w:val="fr-CH"/>
        </w:rPr>
        <w:t>y compris les éventuelles conditions réglementaires et techniques appropriées</w:t>
      </w:r>
      <w:r w:rsidR="008D2F76" w:rsidRPr="00215544">
        <w:rPr>
          <w:lang w:val="fr-CH"/>
        </w:rPr>
        <w:t>)</w:t>
      </w:r>
      <w:r w:rsidR="00422615">
        <w:rPr>
          <w:lang w:val="fr-CH"/>
        </w:rPr>
        <w:t>,</w:t>
      </w:r>
      <w:r w:rsidR="00B91158">
        <w:rPr>
          <w:color w:val="000000"/>
        </w:rPr>
        <w:t xml:space="preserve"> en vue de leur utilisation par les stations HAPS</w:t>
      </w:r>
      <w:r w:rsidR="008D2F76" w:rsidRPr="00215544">
        <w:rPr>
          <w:lang w:val="fr-CH"/>
        </w:rPr>
        <w:t xml:space="preserve">, </w:t>
      </w:r>
      <w:r w:rsidR="00B91158" w:rsidRPr="00215544">
        <w:rPr>
          <w:lang w:val="fr-CH"/>
        </w:rPr>
        <w:t>dans le cadre des attributions existantes au service fixe</w:t>
      </w:r>
      <w:r w:rsidR="008D2F76" w:rsidRPr="00215544">
        <w:rPr>
          <w:lang w:val="fr-CH"/>
        </w:rPr>
        <w:t>;</w:t>
      </w:r>
    </w:p>
    <w:p w:rsidR="00271B12" w:rsidRPr="00B42483" w:rsidRDefault="008D2F76" w:rsidP="00215544">
      <w:pPr>
        <w:spacing w:before="80"/>
      </w:pPr>
      <w:r w:rsidRPr="00271B12">
        <w:rPr>
          <w:szCs w:val="24"/>
        </w:rPr>
        <w:t>2</w:t>
      </w:r>
      <w:r w:rsidRPr="00271B12">
        <w:rPr>
          <w:szCs w:val="24"/>
        </w:rPr>
        <w:tab/>
      </w:r>
      <w:r w:rsidR="00271B12" w:rsidRPr="00B42483">
        <w:t xml:space="preserve">examiner les Recommandations UIT-R révisées et incorporées par référence dans le Règlement des radiocommunications, communiquées par l'Assemblée des radiocommunications conformément à la Résolution </w:t>
      </w:r>
      <w:r w:rsidR="00271B12" w:rsidRPr="00B42483">
        <w:rPr>
          <w:b/>
          <w:bCs/>
        </w:rPr>
        <w:t>28</w:t>
      </w:r>
      <w:r w:rsidR="00271B12" w:rsidRPr="00B42483">
        <w:t xml:space="preserve"> </w:t>
      </w:r>
      <w:r w:rsidR="00271B12" w:rsidRPr="00B42483">
        <w:rPr>
          <w:b/>
          <w:bCs/>
        </w:rPr>
        <w:t>(Rév.CMR-03)</w:t>
      </w:r>
      <w:r w:rsidR="00271B12" w:rsidRPr="008A1A64">
        <w:t>,</w:t>
      </w:r>
      <w:r w:rsidR="00271B12" w:rsidRPr="00B42483">
        <w:rPr>
          <w:b/>
          <w:bCs/>
        </w:rPr>
        <w:t xml:space="preserve"> </w:t>
      </w:r>
      <w:r w:rsidR="00271B12" w:rsidRPr="00B42483">
        <w:t>et décider s'il convient ou non de mettre à jour les références correspondantes dans le Règlement des radiocommunications, conformément aux principes énoncés dans l'Annexe 1 de la Résolution </w:t>
      </w:r>
      <w:r w:rsidR="00271B12" w:rsidRPr="00B42483">
        <w:rPr>
          <w:b/>
          <w:bCs/>
        </w:rPr>
        <w:t>27</w:t>
      </w:r>
      <w:r w:rsidR="00271B12" w:rsidRPr="00B42483">
        <w:t xml:space="preserve"> </w:t>
      </w:r>
      <w:r w:rsidR="00271B12" w:rsidRPr="00B42483">
        <w:rPr>
          <w:b/>
          <w:bCs/>
        </w:rPr>
        <w:t>(Rév.CMR</w:t>
      </w:r>
      <w:r w:rsidR="00271B12" w:rsidRPr="00B42483">
        <w:rPr>
          <w:b/>
          <w:bCs/>
        </w:rPr>
        <w:noBreakHyphen/>
        <w:t>12)</w:t>
      </w:r>
      <w:r w:rsidR="00271B12" w:rsidRPr="00B42483">
        <w:t>;</w:t>
      </w:r>
    </w:p>
    <w:p w:rsidR="00271B12" w:rsidRPr="00B42483" w:rsidRDefault="00271B12" w:rsidP="00215544">
      <w:pPr>
        <w:spacing w:before="80"/>
      </w:pPr>
      <w:r w:rsidRPr="00B42483">
        <w:t>3</w:t>
      </w:r>
      <w:r w:rsidRPr="00B42483">
        <w:tab/>
        <w:t>examiner les modifications et amendements à apporter éventuellement au Règlement des radiocommunications à la suite des décisions prises par la Conférence;</w:t>
      </w:r>
    </w:p>
    <w:p w:rsidR="00271B12" w:rsidRPr="00B42483" w:rsidRDefault="00271B12" w:rsidP="00215544">
      <w:pPr>
        <w:spacing w:before="80"/>
      </w:pPr>
      <w:r w:rsidRPr="00B42483">
        <w:t>4</w:t>
      </w:r>
      <w:r w:rsidRPr="00B42483">
        <w:tab/>
        <w:t xml:space="preserve">conformément à la Résolution </w:t>
      </w:r>
      <w:r w:rsidRPr="00B42483">
        <w:rPr>
          <w:b/>
          <w:bCs/>
        </w:rPr>
        <w:t>95 (Rév.CMR-07)</w:t>
      </w:r>
      <w:r w:rsidRPr="00B42483">
        <w:t>, examiner les résolutions et recommandations des conférences précédentes en vue, le cas échéant, de les réviser, de les remplacer ou de les supprimer;</w:t>
      </w:r>
    </w:p>
    <w:p w:rsidR="00271B12" w:rsidRPr="00B42483" w:rsidRDefault="00271B12" w:rsidP="00215544">
      <w:pPr>
        <w:spacing w:before="80"/>
      </w:pPr>
      <w:r w:rsidRPr="00B42483">
        <w:t>5</w:t>
      </w:r>
      <w:r w:rsidRPr="00B42483">
        <w:tab/>
        <w:t>examiner le Rapport de l'Assemblée des radiocommunications soumis conformément aux numéros 135 et 136 de la Convention et lui donner la suite voulue;</w:t>
      </w:r>
    </w:p>
    <w:p w:rsidR="00271B12" w:rsidRPr="00B42483" w:rsidRDefault="00271B12" w:rsidP="00215544">
      <w:pPr>
        <w:spacing w:before="80"/>
      </w:pPr>
      <w:r w:rsidRPr="00B42483">
        <w:t>6</w:t>
      </w:r>
      <w:r w:rsidRPr="00B42483">
        <w:tab/>
        <w:t>identifier les points auxquels les commissions d'études des radiocommunications doivent d'urgence donner suite, en préparation de la conférence mondiale des radiocommunications suivante;</w:t>
      </w:r>
    </w:p>
    <w:p w:rsidR="00271B12" w:rsidRPr="00B42483" w:rsidRDefault="00271B12" w:rsidP="00215544">
      <w:pPr>
        <w:spacing w:before="80"/>
      </w:pPr>
      <w:r w:rsidRPr="00B42483">
        <w:t>7</w:t>
      </w:r>
      <w:r w:rsidRPr="00B42483">
        <w:tab/>
        <w:t xml:space="preserve">examiner d'éventuels changements à apporter, et d'autres options à mettre en </w:t>
      </w:r>
      <w:r w:rsidR="00534E46">
        <w:t>œu</w:t>
      </w:r>
      <w:r w:rsidR="00534E46" w:rsidRPr="00B42483">
        <w:t>vre</w:t>
      </w:r>
      <w:r w:rsidRPr="00B42483">
        <w:t>,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B42483">
        <w:rPr>
          <w:b/>
          <w:bCs/>
        </w:rPr>
        <w:t>86 (Rév.CMR</w:t>
      </w:r>
      <w:r>
        <w:rPr>
          <w:b/>
          <w:bCs/>
        </w:rPr>
        <w:t>-</w:t>
      </w:r>
      <w:r w:rsidRPr="00B42483">
        <w:rPr>
          <w:b/>
          <w:bCs/>
        </w:rPr>
        <w:t>07)</w:t>
      </w:r>
      <w:r w:rsidRPr="00B42483">
        <w:t>, afin de faciliter l'utilisation rationnelle, efficace et économique des fréquences radioélectriques et des orbites associées, y compris de l'orbite des satellites géostationnaires;</w:t>
      </w:r>
    </w:p>
    <w:p w:rsidR="00271B12" w:rsidRPr="00B42483" w:rsidRDefault="00271B12" w:rsidP="00215544">
      <w:pPr>
        <w:spacing w:before="80"/>
      </w:pPr>
      <w:r w:rsidRPr="00B42483">
        <w:t>8</w:t>
      </w:r>
      <w:r w:rsidRPr="00B42483">
        <w:tab/>
        <w:t xml:space="preserve">examiner les demandes des administrations qui souhaitent supprimer des renvois relatifs à leur pays ou le nom de leur pays de certains renvois, s'ils ne sont plus nécessaires, compte tenu de la Résolution </w:t>
      </w:r>
      <w:r w:rsidRPr="00B42483">
        <w:rPr>
          <w:b/>
          <w:bCs/>
        </w:rPr>
        <w:t>26 (Rév.CMR-07)</w:t>
      </w:r>
      <w:r w:rsidRPr="00B42483">
        <w:t>, et prendre les mesures voulues à ce sujet;</w:t>
      </w:r>
    </w:p>
    <w:p w:rsidR="00271B12" w:rsidRPr="00B42483" w:rsidRDefault="00271B12" w:rsidP="00215544">
      <w:pPr>
        <w:spacing w:before="80"/>
      </w:pPr>
      <w:r w:rsidRPr="00B42483">
        <w:t>9</w:t>
      </w:r>
      <w:r w:rsidRPr="00B42483">
        <w:tab/>
        <w:t>examiner et approuver le rapport du Directeur du Bureau des radiocommunications, conformément à l'article</w:t>
      </w:r>
      <w:r>
        <w:t> </w:t>
      </w:r>
      <w:r w:rsidRPr="00B42483">
        <w:t>7 de la Convention:</w:t>
      </w:r>
    </w:p>
    <w:p w:rsidR="00271B12" w:rsidRPr="00B42483" w:rsidRDefault="00271B12" w:rsidP="00215544">
      <w:pPr>
        <w:spacing w:before="80"/>
      </w:pPr>
      <w:r w:rsidRPr="00B42483">
        <w:t>9.1</w:t>
      </w:r>
      <w:r w:rsidRPr="00B42483">
        <w:tab/>
        <w:t>sur les activités du Secteur des radi</w:t>
      </w:r>
      <w:r w:rsidR="001F060A">
        <w:t>ocommunications depuis la CMR</w:t>
      </w:r>
      <w:r w:rsidR="001F060A">
        <w:noBreakHyphen/>
        <w:t>15</w:t>
      </w:r>
      <w:r w:rsidRPr="00B42483">
        <w:t xml:space="preserve">; </w:t>
      </w:r>
    </w:p>
    <w:p w:rsidR="00271B12" w:rsidRPr="00B42483" w:rsidRDefault="00271B12" w:rsidP="00215544">
      <w:pPr>
        <w:spacing w:before="80"/>
      </w:pPr>
      <w:r w:rsidRPr="00B42483">
        <w:t>9.2</w:t>
      </w:r>
      <w:r w:rsidRPr="00B42483">
        <w:tab/>
        <w:t>sur les difficultés rencontrées ou les incohérences constatées dans l'application du Règlement des radiocommunications; et</w:t>
      </w:r>
    </w:p>
    <w:p w:rsidR="00271B12" w:rsidRPr="00B42483" w:rsidRDefault="00271B12" w:rsidP="00215544">
      <w:pPr>
        <w:spacing w:before="80"/>
        <w:rPr>
          <w:i/>
          <w:iCs/>
        </w:rPr>
      </w:pPr>
      <w:r w:rsidRPr="00B42483">
        <w:t>9.3</w:t>
      </w:r>
      <w:r w:rsidRPr="00B42483">
        <w:tab/>
        <w:t>sur la suite donnée à la Résolution</w:t>
      </w:r>
      <w:r>
        <w:t> </w:t>
      </w:r>
      <w:r w:rsidRPr="00B42483">
        <w:rPr>
          <w:b/>
          <w:bCs/>
        </w:rPr>
        <w:t>80 (Rév.CMR-</w:t>
      </w:r>
      <w:r>
        <w:rPr>
          <w:b/>
          <w:bCs/>
        </w:rPr>
        <w:t>07</w:t>
      </w:r>
      <w:r w:rsidRPr="00B42483">
        <w:rPr>
          <w:b/>
          <w:bCs/>
        </w:rPr>
        <w:t>)</w:t>
      </w:r>
      <w:r w:rsidRPr="00B42483">
        <w:t>;</w:t>
      </w:r>
    </w:p>
    <w:p w:rsidR="008D2F76" w:rsidRPr="00215544" w:rsidRDefault="008D2F76" w:rsidP="00215544">
      <w:pPr>
        <w:rPr>
          <w:szCs w:val="24"/>
          <w:lang w:val="fr-CH"/>
        </w:rPr>
      </w:pPr>
      <w:r w:rsidRPr="00215544">
        <w:rPr>
          <w:szCs w:val="24"/>
          <w:lang w:val="fr-CH"/>
        </w:rPr>
        <w:t>10</w:t>
      </w:r>
      <w:r w:rsidRPr="00215544">
        <w:rPr>
          <w:b/>
          <w:bCs/>
          <w:szCs w:val="24"/>
          <w:lang w:val="fr-CH"/>
        </w:rPr>
        <w:tab/>
      </w:r>
      <w:r w:rsidR="00B91158">
        <w:rPr>
          <w:color w:val="000000"/>
        </w:rPr>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r w:rsidRPr="00215544">
        <w:rPr>
          <w:szCs w:val="24"/>
          <w:lang w:val="fr-CH"/>
        </w:rPr>
        <w:t>,</w:t>
      </w:r>
    </w:p>
    <w:p w:rsidR="00926F64" w:rsidRPr="00B42483" w:rsidRDefault="00926F64" w:rsidP="00215544">
      <w:pPr>
        <w:pStyle w:val="Call"/>
        <w:keepNext w:val="0"/>
        <w:keepLines w:val="0"/>
      </w:pPr>
      <w:r w:rsidRPr="00B42483">
        <w:t>décide en outre</w:t>
      </w:r>
    </w:p>
    <w:p w:rsidR="00926F64" w:rsidRPr="00B42483" w:rsidRDefault="00926F64" w:rsidP="00215544">
      <w:r w:rsidRPr="00B42483">
        <w:t>d'activer la Réunion de préparation à la Conférence,</w:t>
      </w:r>
    </w:p>
    <w:p w:rsidR="00926F64" w:rsidRPr="00B42483" w:rsidRDefault="00926F64" w:rsidP="00215544">
      <w:pPr>
        <w:pStyle w:val="Call"/>
        <w:keepNext w:val="0"/>
        <w:keepLines w:val="0"/>
      </w:pPr>
      <w:r w:rsidRPr="00B42483">
        <w:t>invite le Conseil</w:t>
      </w:r>
    </w:p>
    <w:p w:rsidR="00926F64" w:rsidRPr="00B42483" w:rsidRDefault="00926F64" w:rsidP="00215544">
      <w:r w:rsidRPr="00B42483">
        <w:t xml:space="preserve">à </w:t>
      </w:r>
      <w:r>
        <w:t>arrêter définitivement</w:t>
      </w:r>
      <w:r w:rsidRPr="00B42483">
        <w:t xml:space="preserve"> l'ordre du jour, à prendre les dispositions nécessaires </w:t>
      </w:r>
      <w:r>
        <w:t>en vue de</w:t>
      </w:r>
      <w:r w:rsidRPr="00B42483">
        <w:t xml:space="preserve"> la convocation de la CMR</w:t>
      </w:r>
      <w:r w:rsidRPr="00B42483">
        <w:noBreakHyphen/>
        <w:t>1</w:t>
      </w:r>
      <w:r w:rsidR="00F344DB">
        <w:t>9</w:t>
      </w:r>
      <w:r w:rsidRPr="00B42483">
        <w:t xml:space="preserve"> et à engager dès que possible les consultations nécessaires avec les Etats Membres,</w:t>
      </w:r>
    </w:p>
    <w:p w:rsidR="009D21D0" w:rsidRPr="00B42483" w:rsidRDefault="009D21D0" w:rsidP="00215544">
      <w:pPr>
        <w:pStyle w:val="Call"/>
        <w:keepNext w:val="0"/>
        <w:keepLines w:val="0"/>
      </w:pPr>
      <w:r w:rsidRPr="00B42483">
        <w:lastRenderedPageBreak/>
        <w:t>charge le Directeur du Bureau des radiocommunications</w:t>
      </w:r>
    </w:p>
    <w:p w:rsidR="009D21D0" w:rsidRPr="00B42483" w:rsidRDefault="009D21D0" w:rsidP="00215544">
      <w:r w:rsidRPr="00B42483">
        <w:t xml:space="preserve">de prendre les dispositions voulues pour la convocation des sessions de la Réunion de préparation à la Conférence et d'élaborer un </w:t>
      </w:r>
      <w:r>
        <w:t>R</w:t>
      </w:r>
      <w:r w:rsidRPr="00B42483">
        <w:t>apport à l'intention de la CMR</w:t>
      </w:r>
      <w:r w:rsidRPr="00B42483">
        <w:noBreakHyphen/>
        <w:t>1</w:t>
      </w:r>
      <w:r>
        <w:t>9</w:t>
      </w:r>
      <w:r w:rsidRPr="00B42483">
        <w:t>,</w:t>
      </w:r>
    </w:p>
    <w:p w:rsidR="009D21D0" w:rsidRPr="00B42483" w:rsidRDefault="009D21D0" w:rsidP="00215544">
      <w:pPr>
        <w:pStyle w:val="Call"/>
        <w:keepNext w:val="0"/>
        <w:keepLines w:val="0"/>
      </w:pPr>
      <w:r w:rsidRPr="00B42483">
        <w:t>charge le Secrétaire général</w:t>
      </w:r>
    </w:p>
    <w:p w:rsidR="009D21D0" w:rsidRDefault="009D21D0" w:rsidP="00215544">
      <w:r w:rsidRPr="00B42483">
        <w:t>de communiquer la présente Résolution aux organisations internationales ou régionales concernées.</w:t>
      </w:r>
    </w:p>
    <w:p w:rsidR="008D2F76" w:rsidRPr="00215544" w:rsidRDefault="00D77829" w:rsidP="00215544">
      <w:pPr>
        <w:pStyle w:val="Reasons"/>
        <w:rPr>
          <w:lang w:val="fr-CH"/>
        </w:rPr>
      </w:pPr>
      <w:r>
        <w:rPr>
          <w:b/>
          <w:lang w:val="fr-CH"/>
        </w:rPr>
        <w:t>Motifs</w:t>
      </w:r>
      <w:r w:rsidR="008D2F76" w:rsidRPr="00215544">
        <w:rPr>
          <w:b/>
          <w:lang w:val="fr-CH"/>
        </w:rPr>
        <w:t>:</w:t>
      </w:r>
      <w:r w:rsidR="008D2F76" w:rsidRPr="00215544">
        <w:rPr>
          <w:lang w:val="fr-CH"/>
        </w:rPr>
        <w:tab/>
      </w:r>
      <w:r w:rsidR="00B91158" w:rsidRPr="00215544">
        <w:rPr>
          <w:lang w:val="fr-CH"/>
        </w:rPr>
        <w:t>Faciliter l</w:t>
      </w:r>
      <w:r>
        <w:rPr>
          <w:lang w:val="fr-CH"/>
        </w:rPr>
        <w:t>'</w:t>
      </w:r>
      <w:r w:rsidR="00B91158" w:rsidRPr="00215544">
        <w:rPr>
          <w:lang w:val="fr-CH"/>
        </w:rPr>
        <w:t>accès des communautés mal desservies, ainsi que des habitants des zones rurales et isolées, à des services large bande financièrement abordables et fiables</w:t>
      </w:r>
      <w:r w:rsidR="008D2F76" w:rsidRPr="00215544">
        <w:rPr>
          <w:rFonts w:ascii="TimesNewRomanPSMT" w:hAnsi="TimesNewRomanPSMT" w:cs="TimesNewRomanPSMT"/>
          <w:szCs w:val="24"/>
          <w:lang w:val="fr-CH"/>
        </w:rPr>
        <w:t>.</w:t>
      </w:r>
    </w:p>
    <w:p w:rsidR="008D2F76" w:rsidRPr="00215544" w:rsidRDefault="008D2F76" w:rsidP="00215544">
      <w:pPr>
        <w:pStyle w:val="Proposal"/>
        <w:keepNext w:val="0"/>
        <w:rPr>
          <w:lang w:val="fr-CH"/>
        </w:rPr>
      </w:pPr>
      <w:r w:rsidRPr="00215544">
        <w:rPr>
          <w:lang w:val="fr-CH"/>
        </w:rPr>
        <w:t>ADD</w:t>
      </w:r>
      <w:r w:rsidRPr="00215544">
        <w:rPr>
          <w:lang w:val="fr-CH"/>
        </w:rPr>
        <w:tab/>
        <w:t>IAP/7A24A6/3</w:t>
      </w:r>
    </w:p>
    <w:p w:rsidR="008D2F76" w:rsidRPr="00664381" w:rsidRDefault="00E703B0" w:rsidP="00664381">
      <w:pPr>
        <w:pStyle w:val="ResNo"/>
      </w:pPr>
      <w:r w:rsidRPr="00664381">
        <w:t xml:space="preserve">Projet de nouvelle Résolution </w:t>
      </w:r>
      <w:r w:rsidR="008D2F76" w:rsidRPr="00664381">
        <w:t>[IAP-10F-HAPS] (</w:t>
      </w:r>
      <w:r w:rsidR="001F060A" w:rsidRPr="00664381">
        <w:t>CMR</w:t>
      </w:r>
      <w:r w:rsidR="008D2F76" w:rsidRPr="00664381">
        <w:t>-15)</w:t>
      </w:r>
    </w:p>
    <w:p w:rsidR="008D2F76" w:rsidRPr="00215544" w:rsidRDefault="002D39F4" w:rsidP="00331725">
      <w:pPr>
        <w:pStyle w:val="Restitle"/>
        <w:rPr>
          <w:lang w:val="fr-CH"/>
        </w:rPr>
      </w:pPr>
      <w:r w:rsidRPr="00215544">
        <w:rPr>
          <w:lang w:val="fr-CH"/>
        </w:rPr>
        <w:t>Faciliter l</w:t>
      </w:r>
      <w:r w:rsidR="00D77829">
        <w:rPr>
          <w:lang w:val="fr-CH"/>
        </w:rPr>
        <w:t>'</w:t>
      </w:r>
      <w:r w:rsidRPr="00215544">
        <w:rPr>
          <w:lang w:val="fr-CH"/>
        </w:rPr>
        <w:t xml:space="preserve">accès aux applications large bande fournies par les stations </w:t>
      </w:r>
      <w:r w:rsidR="008D2F76" w:rsidRPr="00215544">
        <w:rPr>
          <w:lang w:val="fr-CH"/>
        </w:rPr>
        <w:t>HAPS</w:t>
      </w:r>
    </w:p>
    <w:p w:rsidR="003F26AB" w:rsidRDefault="003F26AB" w:rsidP="00215544">
      <w:pPr>
        <w:pStyle w:val="Normalaftertitle0"/>
        <w:rPr>
          <w:lang w:val="fr-FR"/>
        </w:rPr>
      </w:pPr>
      <w:r w:rsidRPr="00B42483">
        <w:rPr>
          <w:lang w:val="fr-FR"/>
        </w:rPr>
        <w:t>La Conférence mondiale des radi</w:t>
      </w:r>
      <w:r>
        <w:rPr>
          <w:lang w:val="fr-FR"/>
        </w:rPr>
        <w:t>ocommunications (Genève, 2015),</w:t>
      </w:r>
    </w:p>
    <w:p w:rsidR="008D2F76" w:rsidRPr="00215544" w:rsidRDefault="008D2F76" w:rsidP="00215544">
      <w:pPr>
        <w:pStyle w:val="Call"/>
        <w:rPr>
          <w:lang w:val="fr-CH"/>
        </w:rPr>
      </w:pPr>
      <w:r w:rsidRPr="00215544">
        <w:rPr>
          <w:lang w:val="fr-CH"/>
        </w:rPr>
        <w:t>consid</w:t>
      </w:r>
      <w:r w:rsidR="003F26AB" w:rsidRPr="00215544">
        <w:rPr>
          <w:lang w:val="fr-CH"/>
        </w:rPr>
        <w:t>érant</w:t>
      </w:r>
    </w:p>
    <w:p w:rsidR="008D2F76" w:rsidRPr="00215544" w:rsidRDefault="008D2F76" w:rsidP="00331725">
      <w:pPr>
        <w:rPr>
          <w:lang w:val="fr-CH"/>
        </w:rPr>
      </w:pPr>
      <w:r w:rsidRPr="00215544">
        <w:rPr>
          <w:i/>
          <w:iCs/>
          <w:lang w:val="fr-CH"/>
        </w:rPr>
        <w:t>a)</w:t>
      </w:r>
      <w:r w:rsidRPr="00215544">
        <w:rPr>
          <w:lang w:val="fr-CH"/>
        </w:rPr>
        <w:tab/>
      </w:r>
      <w:r w:rsidR="002D39F4" w:rsidRPr="00215544">
        <w:rPr>
          <w:lang w:val="fr-CH"/>
        </w:rPr>
        <w:t xml:space="preserve">que les bandes identifiées actuellement pour les </w:t>
      </w:r>
      <w:r w:rsidR="002D39F4">
        <w:rPr>
          <w:color w:val="000000"/>
        </w:rPr>
        <w:t xml:space="preserve">stations placées sur </w:t>
      </w:r>
      <w:r w:rsidR="00422615">
        <w:rPr>
          <w:color w:val="000000"/>
        </w:rPr>
        <w:t xml:space="preserve">des </w:t>
      </w:r>
      <w:r w:rsidR="002D39F4">
        <w:rPr>
          <w:color w:val="000000"/>
        </w:rPr>
        <w:t>plates-formes à haute altitude</w:t>
      </w:r>
      <w:r w:rsidR="002D39F4" w:rsidRPr="00215544">
        <w:rPr>
          <w:lang w:val="fr-CH"/>
        </w:rPr>
        <w:t xml:space="preserve"> </w:t>
      </w:r>
      <w:r w:rsidRPr="00215544">
        <w:rPr>
          <w:lang w:val="fr-CH"/>
        </w:rPr>
        <w:t xml:space="preserve">(HAPS) </w:t>
      </w:r>
      <w:r w:rsidR="002D39F4" w:rsidRPr="00215544">
        <w:rPr>
          <w:lang w:val="fr-CH"/>
        </w:rPr>
        <w:t>concernent un nombre limité de pays</w:t>
      </w:r>
      <w:r w:rsidRPr="00215544">
        <w:rPr>
          <w:lang w:val="fr-CH"/>
        </w:rPr>
        <w:t>;</w:t>
      </w:r>
    </w:p>
    <w:p w:rsidR="008D2F76" w:rsidRPr="00215544" w:rsidRDefault="008D2F76" w:rsidP="00331725">
      <w:pPr>
        <w:tabs>
          <w:tab w:val="left" w:pos="1080"/>
          <w:tab w:val="left" w:pos="1170"/>
          <w:tab w:val="left" w:pos="1800"/>
        </w:tabs>
        <w:rPr>
          <w:szCs w:val="24"/>
          <w:lang w:val="fr-CH"/>
        </w:rPr>
      </w:pPr>
      <w:r w:rsidRPr="00215544">
        <w:rPr>
          <w:i/>
          <w:iCs/>
          <w:szCs w:val="24"/>
          <w:lang w:val="fr-CH"/>
        </w:rPr>
        <w:t>b)</w:t>
      </w:r>
      <w:r w:rsidRPr="00215544">
        <w:rPr>
          <w:szCs w:val="24"/>
          <w:lang w:val="fr-CH"/>
        </w:rPr>
        <w:tab/>
      </w:r>
      <w:r w:rsidR="002D39F4" w:rsidRPr="00215544">
        <w:rPr>
          <w:szCs w:val="24"/>
          <w:lang w:val="fr-CH"/>
        </w:rPr>
        <w:t>qu</w:t>
      </w:r>
      <w:r w:rsidR="00D77829">
        <w:rPr>
          <w:szCs w:val="24"/>
          <w:lang w:val="fr-CH"/>
        </w:rPr>
        <w:t>'</w:t>
      </w:r>
      <w:r w:rsidR="002D39F4" w:rsidRPr="00215544">
        <w:rPr>
          <w:szCs w:val="24"/>
          <w:lang w:val="fr-CH"/>
        </w:rPr>
        <w:t xml:space="preserve">il faut de toute urgence développer la connectivité </w:t>
      </w:r>
      <w:r w:rsidR="00236A9B" w:rsidRPr="00215544">
        <w:rPr>
          <w:szCs w:val="24"/>
          <w:lang w:val="fr-CH"/>
        </w:rPr>
        <w:t>et les</w:t>
      </w:r>
      <w:r w:rsidR="002D39F4" w:rsidRPr="00215544">
        <w:rPr>
          <w:szCs w:val="24"/>
          <w:lang w:val="fr-CH"/>
        </w:rPr>
        <w:t xml:space="preserve"> services de télécommunication large bande dans les communautés mal desservies ainsi que dans les zones rurales </w:t>
      </w:r>
      <w:r w:rsidR="00331725">
        <w:rPr>
          <w:szCs w:val="24"/>
          <w:lang w:val="fr-CH"/>
        </w:rPr>
        <w:t>et isolées</w:t>
      </w:r>
      <w:r w:rsidRPr="00215544">
        <w:rPr>
          <w:szCs w:val="24"/>
          <w:lang w:val="fr-CH"/>
        </w:rPr>
        <w:t>;</w:t>
      </w:r>
    </w:p>
    <w:p w:rsidR="008D2F76" w:rsidRPr="00215544" w:rsidRDefault="008D2F76" w:rsidP="00422615">
      <w:pPr>
        <w:tabs>
          <w:tab w:val="left" w:pos="1080"/>
          <w:tab w:val="left" w:pos="1170"/>
          <w:tab w:val="left" w:pos="1800"/>
        </w:tabs>
        <w:rPr>
          <w:szCs w:val="24"/>
          <w:lang w:val="fr-CH"/>
        </w:rPr>
      </w:pPr>
      <w:r w:rsidRPr="00215544">
        <w:rPr>
          <w:i/>
          <w:iCs/>
          <w:szCs w:val="24"/>
          <w:lang w:val="fr-CH"/>
        </w:rPr>
        <w:t>c)</w:t>
      </w:r>
      <w:r w:rsidRPr="00215544">
        <w:rPr>
          <w:szCs w:val="24"/>
          <w:lang w:val="fr-CH"/>
        </w:rPr>
        <w:tab/>
      </w:r>
      <w:r w:rsidR="00236A9B" w:rsidRPr="00215544">
        <w:rPr>
          <w:szCs w:val="24"/>
          <w:lang w:val="fr-CH"/>
        </w:rPr>
        <w:t>qu</w:t>
      </w:r>
      <w:r w:rsidR="00D77829">
        <w:rPr>
          <w:szCs w:val="24"/>
          <w:lang w:val="fr-CH"/>
        </w:rPr>
        <w:t>'</w:t>
      </w:r>
      <w:r w:rsidR="00236A9B" w:rsidRPr="00215544">
        <w:rPr>
          <w:szCs w:val="24"/>
          <w:lang w:val="fr-CH"/>
        </w:rPr>
        <w:t>actuellement, certaines entités procèdent à des essais de transmission large bande au moyen d</w:t>
      </w:r>
      <w:r w:rsidR="00D77829">
        <w:rPr>
          <w:szCs w:val="24"/>
          <w:lang w:val="fr-CH"/>
        </w:rPr>
        <w:t>'</w:t>
      </w:r>
      <w:r w:rsidR="00236A9B" w:rsidRPr="00215544">
        <w:rPr>
          <w:szCs w:val="24"/>
          <w:lang w:val="fr-CH"/>
        </w:rPr>
        <w:t>aéronef</w:t>
      </w:r>
      <w:r w:rsidR="00E466D7" w:rsidRPr="00215544">
        <w:rPr>
          <w:szCs w:val="24"/>
          <w:lang w:val="fr-CH"/>
        </w:rPr>
        <w:t>s</w:t>
      </w:r>
      <w:r w:rsidR="00236A9B" w:rsidRPr="00215544">
        <w:rPr>
          <w:szCs w:val="24"/>
          <w:lang w:val="fr-CH"/>
        </w:rPr>
        <w:t xml:space="preserve"> à alimentation solaire léger</w:t>
      </w:r>
      <w:r w:rsidR="00E466D7" w:rsidRPr="00215544">
        <w:rPr>
          <w:szCs w:val="24"/>
          <w:lang w:val="fr-CH"/>
        </w:rPr>
        <w:t>s</w:t>
      </w:r>
      <w:r w:rsidR="00236A9B" w:rsidRPr="00215544">
        <w:rPr>
          <w:szCs w:val="24"/>
          <w:lang w:val="fr-CH"/>
        </w:rPr>
        <w:t xml:space="preserve">, conçus pour évoluer </w:t>
      </w:r>
      <w:r w:rsidR="00E466D7" w:rsidRPr="00215544">
        <w:rPr>
          <w:szCs w:val="24"/>
          <w:lang w:val="fr-CH"/>
        </w:rPr>
        <w:t>à environ 20 km d</w:t>
      </w:r>
      <w:r w:rsidR="00D77829">
        <w:rPr>
          <w:szCs w:val="24"/>
          <w:lang w:val="fr-CH"/>
        </w:rPr>
        <w:t>'</w:t>
      </w:r>
      <w:r w:rsidR="00E466D7" w:rsidRPr="00215544">
        <w:rPr>
          <w:szCs w:val="24"/>
          <w:lang w:val="fr-CH"/>
        </w:rPr>
        <w:t>altitude pendant plusieurs mois en un point fixe nominal par rapport au sol</w:t>
      </w:r>
      <w:r w:rsidRPr="00215544">
        <w:rPr>
          <w:szCs w:val="24"/>
          <w:lang w:val="fr-CH"/>
        </w:rPr>
        <w:t>;</w:t>
      </w:r>
    </w:p>
    <w:p w:rsidR="008D2F76" w:rsidRPr="00215544" w:rsidRDefault="008D2F76" w:rsidP="00422615">
      <w:pPr>
        <w:tabs>
          <w:tab w:val="left" w:pos="1080"/>
          <w:tab w:val="left" w:pos="1170"/>
          <w:tab w:val="left" w:pos="1800"/>
        </w:tabs>
        <w:rPr>
          <w:szCs w:val="24"/>
          <w:lang w:val="fr-CH"/>
        </w:rPr>
      </w:pPr>
      <w:r w:rsidRPr="00215544">
        <w:rPr>
          <w:i/>
          <w:iCs/>
          <w:szCs w:val="24"/>
          <w:lang w:val="fr-CH"/>
        </w:rPr>
        <w:t>d)</w:t>
      </w:r>
      <w:r w:rsidRPr="00215544">
        <w:rPr>
          <w:szCs w:val="24"/>
          <w:lang w:val="fr-CH"/>
        </w:rPr>
        <w:tab/>
      </w:r>
      <w:r w:rsidR="00E466D7" w:rsidRPr="00215544">
        <w:rPr>
          <w:szCs w:val="24"/>
          <w:lang w:val="fr-CH"/>
        </w:rPr>
        <w:t xml:space="preserve">que les techniques actuelles peuvent être utilisées pour fournir des services larges bande à partir de stations de base fonctionnant </w:t>
      </w:r>
      <w:r w:rsidR="00E466D7">
        <w:rPr>
          <w:color w:val="000000"/>
        </w:rPr>
        <w:t>à des altitudes élevées</w:t>
      </w:r>
      <w:r w:rsidRPr="00215544">
        <w:rPr>
          <w:szCs w:val="24"/>
          <w:lang w:val="fr-CH"/>
        </w:rPr>
        <w:t>;</w:t>
      </w:r>
    </w:p>
    <w:p w:rsidR="008D2F76" w:rsidRPr="00215544" w:rsidRDefault="008D2F76" w:rsidP="00331725">
      <w:pPr>
        <w:tabs>
          <w:tab w:val="left" w:pos="1080"/>
          <w:tab w:val="left" w:pos="1170"/>
          <w:tab w:val="left" w:pos="1800"/>
        </w:tabs>
        <w:rPr>
          <w:szCs w:val="24"/>
          <w:lang w:val="fr-CH"/>
        </w:rPr>
      </w:pPr>
      <w:r w:rsidRPr="00215544">
        <w:rPr>
          <w:i/>
          <w:iCs/>
          <w:szCs w:val="24"/>
          <w:lang w:val="fr-CH"/>
        </w:rPr>
        <w:t>e)</w:t>
      </w:r>
      <w:r w:rsidRPr="00215544">
        <w:rPr>
          <w:szCs w:val="24"/>
          <w:lang w:val="fr-CH"/>
        </w:rPr>
        <w:tab/>
      </w:r>
      <w:r w:rsidR="00E466D7" w:rsidRPr="00215544">
        <w:rPr>
          <w:szCs w:val="24"/>
          <w:lang w:val="fr-CH"/>
        </w:rPr>
        <w:t xml:space="preserve">que les stations </w:t>
      </w:r>
      <w:r w:rsidRPr="00215544">
        <w:rPr>
          <w:szCs w:val="24"/>
          <w:lang w:val="fr-CH"/>
        </w:rPr>
        <w:t xml:space="preserve">HAPS </w:t>
      </w:r>
      <w:r w:rsidR="00E466D7" w:rsidRPr="00215544">
        <w:rPr>
          <w:szCs w:val="24"/>
          <w:lang w:val="fr-CH"/>
        </w:rPr>
        <w:t xml:space="preserve">constituent un moyen possible de faciliter la </w:t>
      </w:r>
      <w:r w:rsidR="00422615">
        <w:rPr>
          <w:szCs w:val="24"/>
          <w:lang w:val="fr-CH"/>
        </w:rPr>
        <w:t>fourniture de services large</w:t>
      </w:r>
      <w:r w:rsidR="00E466D7" w:rsidRPr="00215544">
        <w:rPr>
          <w:szCs w:val="24"/>
          <w:lang w:val="fr-CH"/>
        </w:rPr>
        <w:t xml:space="preserve"> bande</w:t>
      </w:r>
      <w:r w:rsidR="00331725">
        <w:rPr>
          <w:szCs w:val="24"/>
          <w:lang w:val="fr-CH"/>
        </w:rPr>
        <w:t>;</w:t>
      </w:r>
    </w:p>
    <w:p w:rsidR="008D2F76" w:rsidRPr="00215544" w:rsidRDefault="008D2F76" w:rsidP="00331725">
      <w:pPr>
        <w:tabs>
          <w:tab w:val="left" w:pos="1080"/>
          <w:tab w:val="left" w:pos="1170"/>
          <w:tab w:val="left" w:pos="1800"/>
        </w:tabs>
        <w:rPr>
          <w:szCs w:val="24"/>
          <w:lang w:val="fr-CH"/>
        </w:rPr>
      </w:pPr>
      <w:r w:rsidRPr="00215544">
        <w:rPr>
          <w:i/>
          <w:iCs/>
          <w:szCs w:val="24"/>
          <w:lang w:val="fr-CH"/>
        </w:rPr>
        <w:t>f)</w:t>
      </w:r>
      <w:r w:rsidRPr="00215544">
        <w:rPr>
          <w:szCs w:val="24"/>
          <w:lang w:val="fr-CH"/>
        </w:rPr>
        <w:tab/>
      </w:r>
      <w:r w:rsidR="00E466D7" w:rsidRPr="00215544">
        <w:rPr>
          <w:szCs w:val="24"/>
          <w:lang w:val="fr-CH"/>
        </w:rPr>
        <w:t xml:space="preserve">que les stations </w:t>
      </w:r>
      <w:r w:rsidRPr="00215544">
        <w:rPr>
          <w:szCs w:val="24"/>
          <w:lang w:val="fr-CH"/>
        </w:rPr>
        <w:t xml:space="preserve">HAPS </w:t>
      </w:r>
      <w:r w:rsidR="00E466D7" w:rsidRPr="00215544">
        <w:rPr>
          <w:szCs w:val="24"/>
          <w:lang w:val="fr-CH"/>
        </w:rPr>
        <w:t>pourraient assurer une connectivité large bande dans les</w:t>
      </w:r>
      <w:r w:rsidR="00A01747" w:rsidRPr="00215544">
        <w:rPr>
          <w:szCs w:val="24"/>
          <w:lang w:val="fr-CH"/>
        </w:rPr>
        <w:t xml:space="preserve"> zones </w:t>
      </w:r>
      <w:r w:rsidR="00E466D7" w:rsidRPr="00215544">
        <w:rPr>
          <w:szCs w:val="24"/>
          <w:lang w:val="fr-CH"/>
        </w:rPr>
        <w:t>isolées, notamment dans les zones montagneuses, côtières et</w:t>
      </w:r>
      <w:r w:rsidR="00E466D7" w:rsidRPr="00E466D7">
        <w:t xml:space="preserve"> </w:t>
      </w:r>
      <w:r w:rsidR="00E466D7" w:rsidRPr="00215544">
        <w:rPr>
          <w:szCs w:val="24"/>
          <w:lang w:val="fr-CH"/>
        </w:rPr>
        <w:t>désertiques</w:t>
      </w:r>
      <w:r w:rsidR="00A01747" w:rsidRPr="00215544">
        <w:rPr>
          <w:szCs w:val="24"/>
          <w:lang w:val="fr-CH"/>
        </w:rPr>
        <w:t xml:space="preserve"> sablonneuses</w:t>
      </w:r>
      <w:r w:rsidRPr="00215544">
        <w:rPr>
          <w:szCs w:val="24"/>
          <w:lang w:val="fr-CH"/>
        </w:rPr>
        <w:t>;</w:t>
      </w:r>
    </w:p>
    <w:p w:rsidR="008D2F76" w:rsidRPr="00215544" w:rsidRDefault="008D2F76" w:rsidP="00331725">
      <w:pPr>
        <w:tabs>
          <w:tab w:val="left" w:pos="1080"/>
          <w:tab w:val="left" w:pos="1170"/>
          <w:tab w:val="left" w:pos="1800"/>
        </w:tabs>
        <w:rPr>
          <w:szCs w:val="24"/>
          <w:lang w:val="fr-CH"/>
        </w:rPr>
      </w:pPr>
      <w:r w:rsidRPr="00215544">
        <w:rPr>
          <w:i/>
          <w:iCs/>
          <w:szCs w:val="24"/>
          <w:lang w:val="fr-CH"/>
        </w:rPr>
        <w:t>g)</w:t>
      </w:r>
      <w:r w:rsidRPr="00215544">
        <w:rPr>
          <w:szCs w:val="24"/>
          <w:lang w:val="fr-CH"/>
        </w:rPr>
        <w:tab/>
      </w:r>
      <w:r w:rsidR="00E466D7" w:rsidRPr="00215544">
        <w:rPr>
          <w:szCs w:val="24"/>
          <w:lang w:val="fr-CH"/>
        </w:rPr>
        <w:t>que les stations</w:t>
      </w:r>
      <w:r w:rsidRPr="00215544">
        <w:rPr>
          <w:szCs w:val="24"/>
          <w:lang w:val="fr-CH"/>
        </w:rPr>
        <w:t xml:space="preserve"> HAPS </w:t>
      </w:r>
      <w:r w:rsidR="00A01747" w:rsidRPr="00215544">
        <w:rPr>
          <w:szCs w:val="24"/>
          <w:lang w:val="fr-CH"/>
        </w:rPr>
        <w:t>permettent d</w:t>
      </w:r>
      <w:r w:rsidR="00D77829">
        <w:rPr>
          <w:szCs w:val="24"/>
          <w:lang w:val="fr-CH"/>
        </w:rPr>
        <w:t>'</w:t>
      </w:r>
      <w:r w:rsidR="00A01747" w:rsidRPr="00215544">
        <w:rPr>
          <w:szCs w:val="24"/>
          <w:lang w:val="fr-CH"/>
        </w:rPr>
        <w:t>assurer une connectivité large bande avec une infrastructure de réseau au sol minimale, et pourraient donc être efficaces pour le rétablissement des activités après une catastrophe</w:t>
      </w:r>
      <w:r w:rsidRPr="00215544">
        <w:rPr>
          <w:szCs w:val="24"/>
          <w:lang w:val="fr-CH"/>
        </w:rPr>
        <w:t>,</w:t>
      </w:r>
    </w:p>
    <w:p w:rsidR="008D2F76" w:rsidRPr="00215544" w:rsidRDefault="003F26AB" w:rsidP="00215544">
      <w:pPr>
        <w:pStyle w:val="Call"/>
        <w:rPr>
          <w:lang w:val="fr-CH"/>
        </w:rPr>
      </w:pPr>
      <w:r w:rsidRPr="00215544">
        <w:rPr>
          <w:lang w:val="fr-CH"/>
        </w:rPr>
        <w:t>reconnaissant</w:t>
      </w:r>
    </w:p>
    <w:p w:rsidR="008D2F76" w:rsidRPr="00215544" w:rsidRDefault="008D2F76" w:rsidP="00331725">
      <w:pPr>
        <w:tabs>
          <w:tab w:val="left" w:pos="1080"/>
          <w:tab w:val="left" w:pos="1170"/>
          <w:tab w:val="left" w:pos="1800"/>
        </w:tabs>
        <w:rPr>
          <w:szCs w:val="24"/>
          <w:lang w:val="fr-CH"/>
        </w:rPr>
      </w:pPr>
      <w:r w:rsidRPr="00215544">
        <w:rPr>
          <w:i/>
          <w:iCs/>
          <w:szCs w:val="24"/>
          <w:lang w:val="fr-CH"/>
        </w:rPr>
        <w:t>a)</w:t>
      </w:r>
      <w:r w:rsidRPr="00215544">
        <w:rPr>
          <w:szCs w:val="24"/>
          <w:lang w:val="fr-CH"/>
        </w:rPr>
        <w:tab/>
      </w:r>
      <w:r w:rsidR="00892062" w:rsidRPr="00215544">
        <w:rPr>
          <w:szCs w:val="24"/>
          <w:lang w:val="fr-CH"/>
        </w:rPr>
        <w:t>qu</w:t>
      </w:r>
      <w:r w:rsidR="00D77829">
        <w:rPr>
          <w:szCs w:val="24"/>
          <w:lang w:val="fr-CH"/>
        </w:rPr>
        <w:t>'</w:t>
      </w:r>
      <w:r w:rsidR="00892062" w:rsidRPr="00215544">
        <w:rPr>
          <w:szCs w:val="24"/>
          <w:lang w:val="fr-CH"/>
        </w:rPr>
        <w:t>il est important de protéger les services et les utilisateurs existants</w:t>
      </w:r>
      <w:r w:rsidRPr="00215544">
        <w:rPr>
          <w:szCs w:val="24"/>
          <w:lang w:val="fr-CH"/>
        </w:rPr>
        <w:t>;</w:t>
      </w:r>
    </w:p>
    <w:p w:rsidR="008D2F76" w:rsidRPr="00215544" w:rsidRDefault="008D2F76" w:rsidP="00331725">
      <w:pPr>
        <w:tabs>
          <w:tab w:val="left" w:pos="1080"/>
          <w:tab w:val="left" w:pos="1170"/>
          <w:tab w:val="left" w:pos="1800"/>
        </w:tabs>
        <w:rPr>
          <w:szCs w:val="24"/>
          <w:lang w:val="fr-CH"/>
        </w:rPr>
      </w:pPr>
      <w:r w:rsidRPr="00215544">
        <w:rPr>
          <w:i/>
          <w:iCs/>
          <w:szCs w:val="24"/>
          <w:lang w:val="fr-CH"/>
        </w:rPr>
        <w:t>b)</w:t>
      </w:r>
      <w:r w:rsidRPr="00215544">
        <w:rPr>
          <w:szCs w:val="24"/>
          <w:lang w:val="fr-CH"/>
        </w:rPr>
        <w:tab/>
      </w:r>
      <w:r w:rsidR="00892062">
        <w:rPr>
          <w:color w:val="000000"/>
        </w:rPr>
        <w:t xml:space="preserve">qu'une station </w:t>
      </w:r>
      <w:r w:rsidR="00892062" w:rsidRPr="00215544">
        <w:rPr>
          <w:szCs w:val="24"/>
          <w:lang w:val="fr-CH"/>
        </w:rPr>
        <w:t>HAPS</w:t>
      </w:r>
      <w:r w:rsidR="00892062">
        <w:rPr>
          <w:color w:val="000000"/>
        </w:rPr>
        <w:t xml:space="preserve"> est définie au numéro </w:t>
      </w:r>
      <w:r w:rsidR="00892062" w:rsidRPr="00D77829">
        <w:rPr>
          <w:b/>
          <w:bCs/>
          <w:color w:val="000000"/>
        </w:rPr>
        <w:t>1.66A</w:t>
      </w:r>
      <w:r w:rsidR="00892062">
        <w:rPr>
          <w:color w:val="000000"/>
        </w:rPr>
        <w:t xml:space="preserve"> du Règlement des radiocommunications comme étant une «station installée sur un objet placé à une altitude comprise entre 20 et 50 km et en un point spécifié, nominal, fixe par rapport à la Terre»;</w:t>
      </w:r>
    </w:p>
    <w:p w:rsidR="008D2F76" w:rsidRPr="00215544" w:rsidRDefault="008D2F76" w:rsidP="00D77829">
      <w:pPr>
        <w:tabs>
          <w:tab w:val="left" w:pos="1080"/>
          <w:tab w:val="left" w:pos="1170"/>
          <w:tab w:val="left" w:pos="1800"/>
        </w:tabs>
        <w:rPr>
          <w:szCs w:val="24"/>
          <w:lang w:val="fr-CH"/>
        </w:rPr>
      </w:pPr>
      <w:r w:rsidRPr="00215544">
        <w:rPr>
          <w:i/>
          <w:iCs/>
          <w:szCs w:val="24"/>
          <w:lang w:val="fr-CH"/>
        </w:rPr>
        <w:t>c)</w:t>
      </w:r>
      <w:r w:rsidRPr="00215544">
        <w:rPr>
          <w:szCs w:val="24"/>
          <w:lang w:val="fr-CH"/>
        </w:rPr>
        <w:tab/>
      </w:r>
      <w:r w:rsidR="00331725">
        <w:rPr>
          <w:szCs w:val="24"/>
          <w:lang w:val="fr-CH"/>
        </w:rPr>
        <w:t>qu</w:t>
      </w:r>
      <w:r w:rsidR="00D77829">
        <w:rPr>
          <w:szCs w:val="24"/>
          <w:lang w:val="fr-CH"/>
        </w:rPr>
        <w:t>'</w:t>
      </w:r>
      <w:r w:rsidR="00331725">
        <w:rPr>
          <w:szCs w:val="24"/>
          <w:lang w:val="fr-CH"/>
        </w:rPr>
        <w:t>à l</w:t>
      </w:r>
      <w:r w:rsidR="00D77829">
        <w:rPr>
          <w:szCs w:val="24"/>
          <w:lang w:val="fr-CH"/>
        </w:rPr>
        <w:t>'</w:t>
      </w:r>
      <w:r w:rsidR="00331725">
        <w:rPr>
          <w:szCs w:val="24"/>
          <w:lang w:val="fr-CH"/>
        </w:rPr>
        <w:t xml:space="preserve">heure actuelle, </w:t>
      </w:r>
      <w:r w:rsidR="00892062" w:rsidRPr="00215544">
        <w:rPr>
          <w:szCs w:val="24"/>
          <w:lang w:val="fr-CH"/>
        </w:rPr>
        <w:t xml:space="preserve">certaines bandes sont identifiées pour être utilisées par des stations </w:t>
      </w:r>
      <w:r w:rsidRPr="00215544">
        <w:rPr>
          <w:szCs w:val="24"/>
          <w:lang w:val="fr-CH"/>
        </w:rPr>
        <w:t>HAPS</w:t>
      </w:r>
      <w:r w:rsidR="00892062" w:rsidRPr="00215544">
        <w:rPr>
          <w:szCs w:val="24"/>
          <w:lang w:val="fr-CH"/>
        </w:rPr>
        <w:t xml:space="preserve"> dans des régions limitées du monde, par exemple les bandes</w:t>
      </w:r>
      <w:r w:rsidRPr="00215544">
        <w:rPr>
          <w:szCs w:val="24"/>
          <w:lang w:val="fr-CH"/>
        </w:rPr>
        <w:t xml:space="preserve"> 1 885</w:t>
      </w:r>
      <w:r w:rsidR="00D77829">
        <w:rPr>
          <w:szCs w:val="24"/>
          <w:lang w:val="fr-CH"/>
        </w:rPr>
        <w:t>-1 980 MHz, 2 </w:t>
      </w:r>
      <w:r w:rsidR="00331725">
        <w:rPr>
          <w:szCs w:val="24"/>
          <w:lang w:val="fr-CH"/>
        </w:rPr>
        <w:t>010</w:t>
      </w:r>
      <w:r w:rsidR="00D77829">
        <w:rPr>
          <w:szCs w:val="24"/>
          <w:lang w:val="fr-CH"/>
        </w:rPr>
        <w:t>-2 </w:t>
      </w:r>
      <w:r w:rsidRPr="00215544">
        <w:rPr>
          <w:szCs w:val="24"/>
          <w:lang w:val="fr-CH"/>
        </w:rPr>
        <w:t>025</w:t>
      </w:r>
      <w:r w:rsidR="00D77829">
        <w:rPr>
          <w:szCs w:val="24"/>
          <w:lang w:val="fr-CH"/>
        </w:rPr>
        <w:t> </w:t>
      </w:r>
      <w:r w:rsidRPr="00215544">
        <w:rPr>
          <w:szCs w:val="24"/>
          <w:lang w:val="fr-CH"/>
        </w:rPr>
        <w:t>MHz,</w:t>
      </w:r>
      <w:r w:rsidR="00331725">
        <w:rPr>
          <w:szCs w:val="24"/>
          <w:lang w:val="fr-CH"/>
        </w:rPr>
        <w:t xml:space="preserve"> </w:t>
      </w:r>
      <w:r w:rsidR="00892062" w:rsidRPr="00215544">
        <w:rPr>
          <w:szCs w:val="24"/>
          <w:lang w:val="fr-CH"/>
        </w:rPr>
        <w:t xml:space="preserve">et </w:t>
      </w:r>
      <w:r w:rsidR="00331725">
        <w:rPr>
          <w:szCs w:val="24"/>
          <w:lang w:val="fr-CH"/>
        </w:rPr>
        <w:t>2 110</w:t>
      </w:r>
      <w:r w:rsidR="00D77829">
        <w:rPr>
          <w:szCs w:val="24"/>
          <w:lang w:val="fr-CH"/>
        </w:rPr>
        <w:t>-</w:t>
      </w:r>
      <w:r w:rsidRPr="00215544">
        <w:rPr>
          <w:szCs w:val="24"/>
          <w:lang w:val="fr-CH"/>
        </w:rPr>
        <w:t>2 170 MHz</w:t>
      </w:r>
      <w:r w:rsidR="00422615">
        <w:rPr>
          <w:szCs w:val="24"/>
          <w:lang w:val="fr-CH"/>
        </w:rPr>
        <w:t>,</w:t>
      </w:r>
      <w:r w:rsidRPr="00215544">
        <w:rPr>
          <w:szCs w:val="24"/>
          <w:lang w:val="fr-CH"/>
        </w:rPr>
        <w:t xml:space="preserve"> </w:t>
      </w:r>
      <w:r w:rsidR="00892062" w:rsidRPr="00215544">
        <w:rPr>
          <w:szCs w:val="24"/>
          <w:lang w:val="fr-CH"/>
        </w:rPr>
        <w:t>attribuées au service mobile</w:t>
      </w:r>
      <w:r w:rsidR="00422615">
        <w:rPr>
          <w:szCs w:val="24"/>
          <w:lang w:val="fr-CH"/>
        </w:rPr>
        <w:t>,</w:t>
      </w:r>
      <w:r w:rsidR="00892062" w:rsidRPr="00215544">
        <w:rPr>
          <w:szCs w:val="24"/>
          <w:lang w:val="fr-CH"/>
        </w:rPr>
        <w:t xml:space="preserve"> ainsi que la bande </w:t>
      </w:r>
      <w:r w:rsidRPr="00215544">
        <w:rPr>
          <w:szCs w:val="24"/>
          <w:lang w:val="fr-CH"/>
        </w:rPr>
        <w:t>6 440</w:t>
      </w:r>
      <w:r w:rsidR="00D77829">
        <w:rPr>
          <w:szCs w:val="24"/>
          <w:lang w:val="fr-CH"/>
        </w:rPr>
        <w:t>-6 </w:t>
      </w:r>
      <w:r w:rsidRPr="00215544">
        <w:rPr>
          <w:szCs w:val="24"/>
          <w:lang w:val="fr-CH"/>
        </w:rPr>
        <w:t>520</w:t>
      </w:r>
      <w:r w:rsidR="00D77829">
        <w:rPr>
          <w:szCs w:val="24"/>
          <w:lang w:val="fr-CH"/>
        </w:rPr>
        <w:t> </w:t>
      </w:r>
      <w:r w:rsidRPr="00215544">
        <w:rPr>
          <w:szCs w:val="24"/>
          <w:lang w:val="fr-CH"/>
        </w:rPr>
        <w:t>MHz (</w:t>
      </w:r>
      <w:r w:rsidR="00892062" w:rsidRPr="00215544">
        <w:rPr>
          <w:szCs w:val="24"/>
          <w:lang w:val="fr-CH"/>
        </w:rPr>
        <w:t xml:space="preserve">station </w:t>
      </w:r>
      <w:r w:rsidRPr="00215544">
        <w:rPr>
          <w:szCs w:val="24"/>
          <w:lang w:val="fr-CH"/>
        </w:rPr>
        <w:t>HAPS-</w:t>
      </w:r>
      <w:r w:rsidR="00331725">
        <w:rPr>
          <w:szCs w:val="24"/>
          <w:lang w:val="fr-CH"/>
        </w:rPr>
        <w:t>station au sol</w:t>
      </w:r>
      <w:r w:rsidRPr="00215544">
        <w:rPr>
          <w:szCs w:val="24"/>
          <w:lang w:val="fr-CH"/>
        </w:rPr>
        <w:t>)</w:t>
      </w:r>
      <w:r w:rsidR="00892062" w:rsidRPr="00215544">
        <w:rPr>
          <w:szCs w:val="24"/>
          <w:lang w:val="fr-CH"/>
        </w:rPr>
        <w:t>,</w:t>
      </w:r>
      <w:r w:rsidRPr="00215544">
        <w:rPr>
          <w:szCs w:val="24"/>
          <w:lang w:val="fr-CH"/>
        </w:rPr>
        <w:t xml:space="preserve"> </w:t>
      </w:r>
      <w:r w:rsidR="00331725">
        <w:rPr>
          <w:szCs w:val="24"/>
          <w:lang w:val="fr-CH"/>
        </w:rPr>
        <w:t>appariée</w:t>
      </w:r>
      <w:r w:rsidR="00892062" w:rsidRPr="00215544">
        <w:rPr>
          <w:szCs w:val="24"/>
          <w:lang w:val="fr-CH"/>
        </w:rPr>
        <w:t xml:space="preserve"> à la bande </w:t>
      </w:r>
      <w:r w:rsidRPr="00215544">
        <w:rPr>
          <w:szCs w:val="24"/>
          <w:lang w:val="fr-CH"/>
        </w:rPr>
        <w:t>6 560</w:t>
      </w:r>
      <w:r w:rsidR="00D77829">
        <w:rPr>
          <w:szCs w:val="24"/>
          <w:lang w:val="fr-CH"/>
        </w:rPr>
        <w:t>-</w:t>
      </w:r>
      <w:r w:rsidRPr="00215544">
        <w:rPr>
          <w:szCs w:val="24"/>
          <w:lang w:val="fr-CH"/>
        </w:rPr>
        <w:t>6</w:t>
      </w:r>
      <w:r w:rsidR="00D77829">
        <w:rPr>
          <w:szCs w:val="24"/>
          <w:lang w:val="fr-CH"/>
        </w:rPr>
        <w:t> </w:t>
      </w:r>
      <w:r w:rsidRPr="00215544">
        <w:rPr>
          <w:szCs w:val="24"/>
          <w:lang w:val="fr-CH"/>
        </w:rPr>
        <w:t>640</w:t>
      </w:r>
      <w:r w:rsidR="00D77829">
        <w:rPr>
          <w:szCs w:val="24"/>
          <w:lang w:val="fr-CH"/>
        </w:rPr>
        <w:t> </w:t>
      </w:r>
      <w:r w:rsidRPr="00215544">
        <w:rPr>
          <w:szCs w:val="24"/>
          <w:lang w:val="fr-CH"/>
        </w:rPr>
        <w:t>MHz (</w:t>
      </w:r>
      <w:r w:rsidR="00892062" w:rsidRPr="00215544">
        <w:rPr>
          <w:szCs w:val="24"/>
          <w:lang w:val="fr-CH"/>
        </w:rPr>
        <w:t>station au sol</w:t>
      </w:r>
      <w:r w:rsidR="00D77829">
        <w:rPr>
          <w:szCs w:val="24"/>
          <w:lang w:val="fr-CH"/>
        </w:rPr>
        <w:t>-</w:t>
      </w:r>
      <w:r w:rsidR="00892062" w:rsidRPr="00215544">
        <w:rPr>
          <w:szCs w:val="24"/>
          <w:lang w:val="fr-CH"/>
        </w:rPr>
        <w:t>station HAPS</w:t>
      </w:r>
      <w:r w:rsidRPr="00215544">
        <w:rPr>
          <w:szCs w:val="24"/>
          <w:lang w:val="fr-CH"/>
        </w:rPr>
        <w:t>)</w:t>
      </w:r>
      <w:r w:rsidR="00892062" w:rsidRPr="00215544">
        <w:rPr>
          <w:szCs w:val="24"/>
          <w:lang w:val="fr-CH"/>
        </w:rPr>
        <w:t xml:space="preserve">, </w:t>
      </w:r>
      <w:r w:rsidR="00892062" w:rsidRPr="00215544">
        <w:rPr>
          <w:szCs w:val="24"/>
          <w:lang w:val="fr-CH"/>
        </w:rPr>
        <w:lastRenderedPageBreak/>
        <w:t xml:space="preserve">et la bande </w:t>
      </w:r>
      <w:r w:rsidR="00331725">
        <w:rPr>
          <w:szCs w:val="24"/>
          <w:lang w:val="fr-CH"/>
        </w:rPr>
        <w:t>27,9</w:t>
      </w:r>
      <w:r w:rsidR="00D77829">
        <w:rPr>
          <w:szCs w:val="24"/>
          <w:lang w:val="fr-CH"/>
        </w:rPr>
        <w:t>-</w:t>
      </w:r>
      <w:r w:rsidR="00331725">
        <w:rPr>
          <w:szCs w:val="24"/>
          <w:lang w:val="fr-CH"/>
        </w:rPr>
        <w:t>28,</w:t>
      </w:r>
      <w:r w:rsidRPr="00215544">
        <w:rPr>
          <w:szCs w:val="24"/>
          <w:lang w:val="fr-CH"/>
        </w:rPr>
        <w:t>2 GHz (</w:t>
      </w:r>
      <w:r w:rsidR="00892062" w:rsidRPr="00215544">
        <w:rPr>
          <w:szCs w:val="24"/>
          <w:lang w:val="fr-CH"/>
        </w:rPr>
        <w:t>station HAPS-station au sol</w:t>
      </w:r>
      <w:r w:rsidRPr="00215544">
        <w:rPr>
          <w:szCs w:val="24"/>
          <w:lang w:val="fr-CH"/>
        </w:rPr>
        <w:t xml:space="preserve">), </w:t>
      </w:r>
      <w:r w:rsidR="00892062" w:rsidRPr="00215544">
        <w:rPr>
          <w:szCs w:val="24"/>
          <w:lang w:val="fr-CH"/>
        </w:rPr>
        <w:t xml:space="preserve">appariée à la bande </w:t>
      </w:r>
      <w:r w:rsidRPr="00215544">
        <w:rPr>
          <w:szCs w:val="24"/>
          <w:lang w:val="fr-CH"/>
        </w:rPr>
        <w:t>31</w:t>
      </w:r>
      <w:r w:rsidR="00331725">
        <w:rPr>
          <w:szCs w:val="24"/>
          <w:lang w:val="fr-CH"/>
        </w:rPr>
        <w:t>,</w:t>
      </w:r>
      <w:r w:rsidRPr="00215544">
        <w:rPr>
          <w:szCs w:val="24"/>
          <w:lang w:val="fr-CH"/>
        </w:rPr>
        <w:t>0</w:t>
      </w:r>
      <w:r w:rsidR="00D77829">
        <w:rPr>
          <w:szCs w:val="24"/>
          <w:lang w:val="fr-CH"/>
        </w:rPr>
        <w:t>-</w:t>
      </w:r>
      <w:r w:rsidRPr="00215544">
        <w:rPr>
          <w:szCs w:val="24"/>
          <w:lang w:val="fr-CH"/>
        </w:rPr>
        <w:t>31</w:t>
      </w:r>
      <w:r w:rsidR="00331725">
        <w:rPr>
          <w:szCs w:val="24"/>
          <w:lang w:val="fr-CH"/>
        </w:rPr>
        <w:t>,</w:t>
      </w:r>
      <w:r w:rsidRPr="00215544">
        <w:rPr>
          <w:szCs w:val="24"/>
          <w:lang w:val="fr-CH"/>
        </w:rPr>
        <w:t>3 GHz (</w:t>
      </w:r>
      <w:r w:rsidR="00892062" w:rsidRPr="00215544">
        <w:rPr>
          <w:szCs w:val="24"/>
          <w:lang w:val="fr-CH"/>
        </w:rPr>
        <w:t>station au sol</w:t>
      </w:r>
      <w:r w:rsidR="00D77829">
        <w:rPr>
          <w:szCs w:val="24"/>
          <w:lang w:val="fr-CH"/>
        </w:rPr>
        <w:t>-</w:t>
      </w:r>
      <w:r w:rsidR="00892062" w:rsidRPr="00215544">
        <w:rPr>
          <w:szCs w:val="24"/>
          <w:lang w:val="fr-CH"/>
        </w:rPr>
        <w:t xml:space="preserve">station </w:t>
      </w:r>
      <w:r w:rsidRPr="00215544">
        <w:rPr>
          <w:szCs w:val="24"/>
          <w:lang w:val="fr-CH"/>
        </w:rPr>
        <w:t>HAPS)</w:t>
      </w:r>
      <w:r w:rsidR="00892062" w:rsidRPr="00215544">
        <w:rPr>
          <w:szCs w:val="24"/>
          <w:lang w:val="fr-CH"/>
        </w:rPr>
        <w:t>,</w:t>
      </w:r>
      <w:r w:rsidRPr="00215544">
        <w:rPr>
          <w:szCs w:val="24"/>
          <w:lang w:val="fr-CH"/>
        </w:rPr>
        <w:t xml:space="preserve"> </w:t>
      </w:r>
      <w:r w:rsidR="00D77829">
        <w:rPr>
          <w:szCs w:val="24"/>
          <w:lang w:val="fr-CH"/>
        </w:rPr>
        <w:t>attribuées au service fixe;</w:t>
      </w:r>
    </w:p>
    <w:p w:rsidR="008D2F76" w:rsidRPr="00215544" w:rsidRDefault="008D2F76" w:rsidP="00331725">
      <w:pPr>
        <w:tabs>
          <w:tab w:val="left" w:pos="1080"/>
          <w:tab w:val="left" w:pos="1170"/>
          <w:tab w:val="left" w:pos="1800"/>
        </w:tabs>
        <w:rPr>
          <w:szCs w:val="24"/>
          <w:lang w:val="fr-CH"/>
        </w:rPr>
      </w:pPr>
      <w:r w:rsidRPr="00215544">
        <w:rPr>
          <w:i/>
          <w:iCs/>
          <w:szCs w:val="24"/>
          <w:lang w:val="fr-CH"/>
        </w:rPr>
        <w:t>d)</w:t>
      </w:r>
      <w:r w:rsidRPr="00215544">
        <w:rPr>
          <w:szCs w:val="24"/>
          <w:lang w:val="fr-CH"/>
        </w:rPr>
        <w:tab/>
      </w:r>
      <w:r w:rsidR="00892062" w:rsidRPr="00215544">
        <w:rPr>
          <w:szCs w:val="24"/>
          <w:lang w:val="fr-CH"/>
        </w:rPr>
        <w:t xml:space="preserve">que les bandes </w:t>
      </w:r>
      <w:r w:rsidR="00520F0C" w:rsidRPr="00215544">
        <w:rPr>
          <w:szCs w:val="24"/>
          <w:lang w:val="fr-CH"/>
        </w:rPr>
        <w:t>identifiées actuellement pour les stations HAPS ont été définies sans faire mention des fonctionnalités large bande actuelles</w:t>
      </w:r>
      <w:r w:rsidRPr="00215544">
        <w:rPr>
          <w:szCs w:val="24"/>
          <w:lang w:val="fr-CH"/>
        </w:rPr>
        <w:t>;</w:t>
      </w:r>
    </w:p>
    <w:p w:rsidR="003F26AB" w:rsidRPr="004373ED" w:rsidRDefault="003F26AB" w:rsidP="00331725">
      <w:pPr>
        <w:spacing w:before="40"/>
        <w:rPr>
          <w:lang w:val="fr-CH"/>
        </w:rPr>
      </w:pPr>
      <w:r w:rsidRPr="004373ED">
        <w:rPr>
          <w:i/>
          <w:lang w:val="fr-CH"/>
        </w:rPr>
        <w:t>e)</w:t>
      </w:r>
      <w:r w:rsidRPr="00E910EF">
        <w:tab/>
      </w:r>
      <w:r w:rsidR="00520F0C">
        <w:rPr>
          <w:szCs w:val="24"/>
        </w:rPr>
        <w:t>qu</w:t>
      </w:r>
      <w:r w:rsidR="00D77829">
        <w:rPr>
          <w:szCs w:val="24"/>
        </w:rPr>
        <w:t>'</w:t>
      </w:r>
      <w:r w:rsidR="00520F0C">
        <w:rPr>
          <w:szCs w:val="24"/>
        </w:rPr>
        <w:t xml:space="preserve">il est noté dans la Résolution </w:t>
      </w:r>
      <w:r w:rsidR="00520F0C" w:rsidRPr="008F599A">
        <w:rPr>
          <w:b/>
          <w:bCs/>
          <w:szCs w:val="24"/>
        </w:rPr>
        <w:t>233 (</w:t>
      </w:r>
      <w:r w:rsidR="00520F0C">
        <w:rPr>
          <w:b/>
          <w:bCs/>
          <w:szCs w:val="24"/>
        </w:rPr>
        <w:t>CMR</w:t>
      </w:r>
      <w:r w:rsidR="00520F0C" w:rsidRPr="008F599A">
        <w:rPr>
          <w:b/>
          <w:bCs/>
          <w:szCs w:val="24"/>
        </w:rPr>
        <w:t>-12)</w:t>
      </w:r>
      <w:r w:rsidR="00520F0C">
        <w:rPr>
          <w:szCs w:val="24"/>
        </w:rPr>
        <w:t xml:space="preserve"> que les</w:t>
      </w:r>
      <w:r w:rsidR="00520F0C" w:rsidRPr="0017066B">
        <w:rPr>
          <w:szCs w:val="24"/>
        </w:rPr>
        <w:t xml:space="preserve"> </w:t>
      </w:r>
      <w:r w:rsidRPr="00E910EF">
        <w:t xml:space="preserve">systèmes mobiles à large bande </w:t>
      </w:r>
      <w:r w:rsidR="00520F0C">
        <w:t>peuvent</w:t>
      </w:r>
      <w:r w:rsidRPr="00E910EF">
        <w:t xml:space="preserve"> contribuer à réduire la fracture numérique entre les zones urbaines et les zones rurales, y compris les communautés mal desservies;</w:t>
      </w:r>
    </w:p>
    <w:p w:rsidR="0057601C" w:rsidRPr="00377ADD" w:rsidRDefault="0057601C" w:rsidP="00215544">
      <w:pPr>
        <w:spacing w:before="40"/>
        <w:rPr>
          <w:color w:val="000000" w:themeColor="text1"/>
          <w:lang w:val="fr-CH"/>
        </w:rPr>
      </w:pPr>
      <w:r>
        <w:rPr>
          <w:i/>
          <w:lang w:val="fr-CH"/>
        </w:rPr>
        <w:t>f</w:t>
      </w:r>
      <w:r w:rsidRPr="00377ADD">
        <w:rPr>
          <w:i/>
          <w:lang w:val="fr-CH"/>
        </w:rPr>
        <w:t>)</w:t>
      </w:r>
      <w:r w:rsidRPr="00377ADD">
        <w:rPr>
          <w:lang w:val="fr-CH"/>
        </w:rPr>
        <w:tab/>
      </w:r>
      <w:r w:rsidR="00520F0C">
        <w:rPr>
          <w:szCs w:val="24"/>
        </w:rPr>
        <w:t>qu</w:t>
      </w:r>
      <w:r w:rsidR="00D77829">
        <w:rPr>
          <w:szCs w:val="24"/>
        </w:rPr>
        <w:t>'</w:t>
      </w:r>
      <w:r w:rsidR="00520F0C">
        <w:rPr>
          <w:szCs w:val="24"/>
        </w:rPr>
        <w:t xml:space="preserve">il est également noté dans la Résolution </w:t>
      </w:r>
      <w:r w:rsidR="00520F0C" w:rsidRPr="008F599A">
        <w:rPr>
          <w:b/>
          <w:bCs/>
          <w:szCs w:val="24"/>
        </w:rPr>
        <w:t>233 (</w:t>
      </w:r>
      <w:r w:rsidR="00520F0C">
        <w:rPr>
          <w:b/>
          <w:bCs/>
          <w:szCs w:val="24"/>
        </w:rPr>
        <w:t>CMR</w:t>
      </w:r>
      <w:r w:rsidR="00520F0C" w:rsidRPr="008F599A">
        <w:rPr>
          <w:b/>
          <w:bCs/>
          <w:szCs w:val="24"/>
        </w:rPr>
        <w:t>-12)</w:t>
      </w:r>
      <w:r w:rsidR="00520F0C">
        <w:rPr>
          <w:szCs w:val="24"/>
        </w:rPr>
        <w:t xml:space="preserve"> </w:t>
      </w:r>
      <w:r w:rsidRPr="00377ADD">
        <w:rPr>
          <w:lang w:val="fr-CH"/>
        </w:rPr>
        <w:t>qu</w:t>
      </w:r>
      <w:r>
        <w:rPr>
          <w:lang w:val="fr-CH"/>
        </w:rPr>
        <w:t>'</w:t>
      </w:r>
      <w:r w:rsidRPr="00377ADD">
        <w:rPr>
          <w:lang w:val="fr-CH"/>
        </w:rPr>
        <w:t>il est nécessaire de tirer parti en permanence des progrès technologique</w:t>
      </w:r>
      <w:r>
        <w:rPr>
          <w:lang w:val="fr-CH"/>
        </w:rPr>
        <w:t>s,</w:t>
      </w:r>
      <w:r w:rsidRPr="00377ADD">
        <w:rPr>
          <w:lang w:val="fr-CH"/>
        </w:rPr>
        <w:t xml:space="preserve"> pour accro</w:t>
      </w:r>
      <w:r>
        <w:rPr>
          <w:lang w:val="fr-CH"/>
        </w:rPr>
        <w:t>ître l'efficacité d'utilisation du spectre et faciliter l'accès au spectre</w:t>
      </w:r>
      <w:r w:rsidRPr="00377ADD">
        <w:rPr>
          <w:color w:val="000000" w:themeColor="text1"/>
          <w:lang w:val="fr-CH"/>
        </w:rPr>
        <w:t>;</w:t>
      </w:r>
    </w:p>
    <w:p w:rsidR="008D2F76" w:rsidRPr="00FF7E24" w:rsidRDefault="008D2F76" w:rsidP="00331725">
      <w:pPr>
        <w:tabs>
          <w:tab w:val="left" w:pos="1080"/>
          <w:tab w:val="left" w:pos="1170"/>
          <w:tab w:val="left" w:pos="1800"/>
        </w:tabs>
        <w:rPr>
          <w:szCs w:val="24"/>
          <w:lang w:val="fr-CH"/>
        </w:rPr>
      </w:pPr>
      <w:r w:rsidRPr="00FF7E24">
        <w:rPr>
          <w:i/>
          <w:iCs/>
          <w:szCs w:val="24"/>
          <w:lang w:val="fr-CH"/>
        </w:rPr>
        <w:t>g)</w:t>
      </w:r>
      <w:r w:rsidRPr="00FF7E24">
        <w:rPr>
          <w:szCs w:val="24"/>
          <w:lang w:val="fr-CH"/>
        </w:rPr>
        <w:tab/>
      </w:r>
      <w:r w:rsidR="00520F0C">
        <w:rPr>
          <w:szCs w:val="24"/>
        </w:rPr>
        <w:t>qu</w:t>
      </w:r>
      <w:r w:rsidR="00D77829">
        <w:rPr>
          <w:szCs w:val="24"/>
        </w:rPr>
        <w:t>'</w:t>
      </w:r>
      <w:r w:rsidR="00520F0C">
        <w:rPr>
          <w:szCs w:val="24"/>
        </w:rPr>
        <w:t xml:space="preserve">il est noté dans la Résolution </w:t>
      </w:r>
      <w:r w:rsidR="00520F0C">
        <w:rPr>
          <w:b/>
          <w:bCs/>
          <w:szCs w:val="24"/>
        </w:rPr>
        <w:t>34</w:t>
      </w:r>
      <w:r w:rsidR="00520F0C" w:rsidRPr="008F599A">
        <w:rPr>
          <w:b/>
          <w:bCs/>
          <w:szCs w:val="24"/>
        </w:rPr>
        <w:t xml:space="preserve"> (</w:t>
      </w:r>
      <w:r w:rsidR="00520F0C">
        <w:rPr>
          <w:b/>
          <w:bCs/>
          <w:szCs w:val="24"/>
        </w:rPr>
        <w:t>Rév.CMR</w:t>
      </w:r>
      <w:r w:rsidR="00520F0C" w:rsidRPr="008F599A">
        <w:rPr>
          <w:b/>
          <w:bCs/>
          <w:szCs w:val="24"/>
        </w:rPr>
        <w:t>-12)</w:t>
      </w:r>
      <w:r w:rsidR="00520F0C">
        <w:rPr>
          <w:szCs w:val="24"/>
        </w:rPr>
        <w:t xml:space="preserve"> </w:t>
      </w:r>
      <w:r w:rsidR="00FF7E24" w:rsidRPr="004A3B29">
        <w:t xml:space="preserve">que l'établissement d'attributions communes à l'échelle mondiale est souhaitable afin d'améliorer et d'harmoniser l'utilisation du spectre </w:t>
      </w:r>
      <w:r w:rsidR="00D77829">
        <w:t>des fréquences radioélectriques,</w:t>
      </w:r>
    </w:p>
    <w:p w:rsidR="00B67CB2" w:rsidRPr="00A7306B" w:rsidRDefault="00B67CB2" w:rsidP="00215544">
      <w:pPr>
        <w:pStyle w:val="Call"/>
        <w:rPr>
          <w:sz w:val="32"/>
          <w:szCs w:val="32"/>
        </w:rPr>
      </w:pPr>
      <w:r w:rsidRPr="00A7306B">
        <w:rPr>
          <w:szCs w:val="24"/>
        </w:rPr>
        <w:t>décide</w:t>
      </w:r>
      <w:r>
        <w:rPr>
          <w:szCs w:val="24"/>
        </w:rPr>
        <w:t xml:space="preserve"> d'inviter l'UIT-R</w:t>
      </w:r>
    </w:p>
    <w:p w:rsidR="00B67CB2" w:rsidRPr="00A7306B" w:rsidRDefault="00B67CB2" w:rsidP="008D1FD5">
      <w:r w:rsidRPr="00A7306B">
        <w:t>1</w:t>
      </w:r>
      <w:r w:rsidRPr="00A7306B">
        <w:tab/>
        <w:t xml:space="preserve">à étudier les besoins de </w:t>
      </w:r>
      <w:r w:rsidR="008D1FD5">
        <w:t>fréquences</w:t>
      </w:r>
      <w:r>
        <w:t xml:space="preserve"> </w:t>
      </w:r>
      <w:r w:rsidRPr="00A7306B">
        <w:t xml:space="preserve">additionnels </w:t>
      </w:r>
      <w:r w:rsidR="008D1FD5">
        <w:t xml:space="preserve">des systèmes HAPS </w:t>
      </w:r>
      <w:r w:rsidRPr="00A7306B">
        <w:t>en tenant compte:</w:t>
      </w:r>
    </w:p>
    <w:p w:rsidR="00B67CB2" w:rsidRPr="00A7306B" w:rsidRDefault="00B67CB2" w:rsidP="008D1FD5">
      <w:pPr>
        <w:pStyle w:val="enumlev1"/>
      </w:pPr>
      <w:r>
        <w:t>–</w:t>
      </w:r>
      <w:r w:rsidRPr="00A7306B">
        <w:tab/>
      </w:r>
      <w:r>
        <w:t>d</w:t>
      </w:r>
      <w:r w:rsidRPr="00A7306B">
        <w:t xml:space="preserve">es caractéristiques techniques et opérationnelles des systèmes </w:t>
      </w:r>
      <w:r w:rsidR="008D1FD5">
        <w:t>HAPS</w:t>
      </w:r>
      <w:r w:rsidRPr="00A7306B">
        <w:t xml:space="preserve">, y compris </w:t>
      </w:r>
      <w:r>
        <w:t xml:space="preserve">de </w:t>
      </w:r>
      <w:r w:rsidRPr="00A7306B">
        <w:t>l</w:t>
      </w:r>
      <w:r w:rsidR="008D1FD5">
        <w:t xml:space="preserve">eur évolution </w:t>
      </w:r>
      <w:r w:rsidRPr="00A7306B">
        <w:t>grâce aux progrès technologiques et aux techniques à grande efficacité spectr</w:t>
      </w:r>
      <w:r>
        <w:t>ale, ainsi que du</w:t>
      </w:r>
      <w:r w:rsidRPr="00A7306B">
        <w:t xml:space="preserve"> déploiement de ces systèmes;</w:t>
      </w:r>
    </w:p>
    <w:p w:rsidR="008D2F76" w:rsidRPr="00215544" w:rsidRDefault="008D2F76" w:rsidP="008C6A3C">
      <w:pPr>
        <w:pStyle w:val="enumlev1"/>
        <w:rPr>
          <w:lang w:val="fr-CH"/>
        </w:rPr>
      </w:pPr>
      <w:r w:rsidRPr="00215544">
        <w:rPr>
          <w:lang w:val="fr-CH"/>
        </w:rPr>
        <w:t>–</w:t>
      </w:r>
      <w:r w:rsidRPr="00215544">
        <w:rPr>
          <w:lang w:val="fr-CH"/>
        </w:rPr>
        <w:tab/>
      </w:r>
      <w:r w:rsidR="00520F0C" w:rsidRPr="00215544">
        <w:rPr>
          <w:lang w:val="fr-CH"/>
        </w:rPr>
        <w:t>de la possibilité de modifier les restrictions géographiques, techniques et réglementaires associées aux bandes actuellement identifiées dans des renvois pour les stations HAPS</w:t>
      </w:r>
      <w:r w:rsidR="00B86554" w:rsidRPr="00215544">
        <w:rPr>
          <w:lang w:val="fr-CH"/>
        </w:rPr>
        <w:t xml:space="preserve">, énumérées au point </w:t>
      </w:r>
      <w:r w:rsidR="00B86554" w:rsidRPr="009A1673">
        <w:rPr>
          <w:i/>
          <w:iCs/>
          <w:lang w:val="fr-CH"/>
        </w:rPr>
        <w:t>c)</w:t>
      </w:r>
      <w:r w:rsidR="00B86554" w:rsidRPr="00215544">
        <w:rPr>
          <w:lang w:val="fr-CH"/>
        </w:rPr>
        <w:t xml:space="preserve"> du </w:t>
      </w:r>
      <w:r w:rsidR="00B86554" w:rsidRPr="009A1673">
        <w:rPr>
          <w:i/>
          <w:iCs/>
          <w:lang w:val="fr-CH"/>
        </w:rPr>
        <w:t>reconnaissant</w:t>
      </w:r>
      <w:r w:rsidR="00B86554" w:rsidRPr="00215544">
        <w:rPr>
          <w:lang w:val="fr-CH"/>
        </w:rPr>
        <w:t>, pour faciliter l</w:t>
      </w:r>
      <w:r w:rsidR="00D77829">
        <w:rPr>
          <w:lang w:val="fr-CH"/>
        </w:rPr>
        <w:t>'</w:t>
      </w:r>
      <w:r w:rsidR="00B86554" w:rsidRPr="00215544">
        <w:rPr>
          <w:lang w:val="fr-CH"/>
        </w:rPr>
        <w:t>accès au large bande, compte tenu des caractéristiques techniques des nouvelles configurations de systèmes large bande stratosphériques et de l</w:t>
      </w:r>
      <w:r w:rsidR="00D77829">
        <w:rPr>
          <w:lang w:val="fr-CH"/>
        </w:rPr>
        <w:t>'</w:t>
      </w:r>
      <w:r w:rsidR="00B86554" w:rsidRPr="00215544">
        <w:rPr>
          <w:lang w:val="fr-CH"/>
        </w:rPr>
        <w:t>évolution des besoins des utilisateurs, en particulier dans les zones mal desservies, les zones rurales et isolées ainsi que les zones</w:t>
      </w:r>
      <w:r w:rsidR="00B86554" w:rsidRPr="00B86554">
        <w:rPr>
          <w:color w:val="000000"/>
        </w:rPr>
        <w:t xml:space="preserve"> </w:t>
      </w:r>
      <w:r w:rsidR="00B86554">
        <w:rPr>
          <w:color w:val="000000"/>
        </w:rPr>
        <w:t>touchées par des</w:t>
      </w:r>
      <w:r w:rsidR="00B86554" w:rsidRPr="00215544">
        <w:rPr>
          <w:lang w:val="fr-CH"/>
        </w:rPr>
        <w:t xml:space="preserve"> catastrophes</w:t>
      </w:r>
      <w:r w:rsidR="008C6A3C">
        <w:rPr>
          <w:lang w:val="fr-CH"/>
        </w:rPr>
        <w:t>;</w:t>
      </w:r>
    </w:p>
    <w:p w:rsidR="008D2F76" w:rsidRPr="00215544" w:rsidRDefault="00664381" w:rsidP="00664381">
      <w:pPr>
        <w:tabs>
          <w:tab w:val="clear" w:pos="1871"/>
          <w:tab w:val="clear" w:pos="2268"/>
        </w:tabs>
        <w:rPr>
          <w:rFonts w:ascii="TimesNewRomanPSMT" w:hAnsi="TimesNewRomanPSMT" w:cs="TimesNewRomanPSMT"/>
          <w:szCs w:val="24"/>
          <w:lang w:val="fr-CH"/>
        </w:rPr>
      </w:pPr>
      <w:r>
        <w:rPr>
          <w:rFonts w:ascii="TimesNewRomanPSMT" w:hAnsi="TimesNewRomanPSMT" w:cs="TimesNewRomanPSMT"/>
          <w:szCs w:val="24"/>
          <w:lang w:val="fr-CH"/>
        </w:rPr>
        <w:t>2</w:t>
      </w:r>
      <w:r>
        <w:rPr>
          <w:rFonts w:ascii="TimesNewRomanPSMT" w:hAnsi="TimesNewRomanPSMT" w:cs="TimesNewRomanPSMT"/>
          <w:szCs w:val="24"/>
          <w:lang w:val="fr-CH"/>
        </w:rPr>
        <w:tab/>
      </w:r>
      <w:r w:rsidR="00B86554" w:rsidRPr="00215544">
        <w:rPr>
          <w:rFonts w:ascii="TimesNewRomanPSMT" w:hAnsi="TimesNewRomanPSMT" w:cs="TimesNewRomanPSMT"/>
          <w:szCs w:val="24"/>
          <w:lang w:val="fr-CH"/>
        </w:rPr>
        <w:t xml:space="preserve">à étudier en outre, sur la base des études visées </w:t>
      </w:r>
      <w:r w:rsidR="00B86554" w:rsidRPr="00215544">
        <w:rPr>
          <w:lang w:val="fr-CH"/>
        </w:rPr>
        <w:t xml:space="preserve">au point 1 du </w:t>
      </w:r>
      <w:r w:rsidR="00B86554" w:rsidRPr="009A1673">
        <w:rPr>
          <w:i/>
          <w:iCs/>
          <w:lang w:val="fr-CH"/>
        </w:rPr>
        <w:t>décide d</w:t>
      </w:r>
      <w:r w:rsidR="00D77829" w:rsidRPr="009A1673">
        <w:rPr>
          <w:i/>
          <w:iCs/>
          <w:lang w:val="fr-CH"/>
        </w:rPr>
        <w:t>'</w:t>
      </w:r>
      <w:r w:rsidR="00B86554" w:rsidRPr="009A1673">
        <w:rPr>
          <w:i/>
          <w:iCs/>
          <w:lang w:val="fr-CH"/>
        </w:rPr>
        <w:t>inviter l</w:t>
      </w:r>
      <w:r w:rsidR="00D77829" w:rsidRPr="009A1673">
        <w:rPr>
          <w:i/>
          <w:iCs/>
          <w:lang w:val="fr-CH"/>
        </w:rPr>
        <w:t>'</w:t>
      </w:r>
      <w:r w:rsidR="00B86554" w:rsidRPr="009A1673">
        <w:rPr>
          <w:i/>
          <w:iCs/>
          <w:lang w:val="fr-CH"/>
        </w:rPr>
        <w:t>UIT-R</w:t>
      </w:r>
      <w:r w:rsidR="00422615">
        <w:rPr>
          <w:lang w:val="fr-CH"/>
        </w:rPr>
        <w:t>,</w:t>
      </w:r>
      <w:r w:rsidR="008D2F76" w:rsidRPr="00215544">
        <w:rPr>
          <w:rFonts w:ascii="TimesNewRomanPSMT" w:hAnsi="TimesNewRomanPSMT" w:cs="TimesNewRomanPSMT"/>
          <w:szCs w:val="24"/>
          <w:lang w:val="fr-CH"/>
        </w:rPr>
        <w:t xml:space="preserve"> </w:t>
      </w:r>
      <w:r w:rsidR="00B86554" w:rsidRPr="00215544">
        <w:rPr>
          <w:rFonts w:ascii="TimesNewRomanPSMT" w:hAnsi="TimesNewRomanPSMT" w:cs="TimesNewRomanPSMT"/>
          <w:szCs w:val="24"/>
          <w:lang w:val="fr-CH"/>
        </w:rPr>
        <w:t>la possibilité d</w:t>
      </w:r>
      <w:r w:rsidR="00D77829">
        <w:rPr>
          <w:rFonts w:ascii="TimesNewRomanPSMT" w:hAnsi="TimesNewRomanPSMT" w:cs="TimesNewRomanPSMT"/>
          <w:szCs w:val="24"/>
          <w:lang w:val="fr-CH"/>
        </w:rPr>
        <w:t>'</w:t>
      </w:r>
      <w:r w:rsidR="00B86554" w:rsidRPr="00215544">
        <w:rPr>
          <w:rFonts w:ascii="TimesNewRomanPSMT" w:hAnsi="TimesNewRomanPSMT" w:cs="TimesNewRomanPSMT"/>
          <w:szCs w:val="24"/>
          <w:lang w:val="fr-CH"/>
        </w:rPr>
        <w:t xml:space="preserve">identifier des parties des gammes de fréquences ci-après utilisées actuellement par le service fixe, ne relevant pas des </w:t>
      </w:r>
      <w:r w:rsidR="008D2F76" w:rsidRPr="00215544">
        <w:rPr>
          <w:rFonts w:ascii="TimesNewRomanPSMT" w:hAnsi="TimesNewRomanPSMT" w:cs="TimesNewRomanPSMT"/>
          <w:szCs w:val="24"/>
          <w:lang w:val="fr-CH"/>
        </w:rPr>
        <w:t xml:space="preserve">Appendices </w:t>
      </w:r>
      <w:r w:rsidR="008D2F76" w:rsidRPr="00215544">
        <w:rPr>
          <w:rFonts w:ascii="TimesNewRomanPSMT" w:hAnsi="TimesNewRomanPSMT" w:cs="TimesNewRomanPSMT"/>
          <w:b/>
          <w:szCs w:val="24"/>
          <w:lang w:val="fr-CH"/>
        </w:rPr>
        <w:t>30</w:t>
      </w:r>
      <w:r w:rsidR="008D2F76" w:rsidRPr="00215544">
        <w:rPr>
          <w:rFonts w:ascii="TimesNewRomanPSMT" w:hAnsi="TimesNewRomanPSMT" w:cs="TimesNewRomanPSMT"/>
          <w:szCs w:val="24"/>
          <w:lang w:val="fr-CH"/>
        </w:rPr>
        <w:t xml:space="preserve">, </w:t>
      </w:r>
      <w:r w:rsidR="008D2F76" w:rsidRPr="00215544">
        <w:rPr>
          <w:rFonts w:ascii="TimesNewRomanPSMT" w:hAnsi="TimesNewRomanPSMT" w:cs="TimesNewRomanPSMT"/>
          <w:b/>
          <w:szCs w:val="24"/>
          <w:lang w:val="fr-CH"/>
        </w:rPr>
        <w:t>30A</w:t>
      </w:r>
      <w:r w:rsidR="00B86554" w:rsidRPr="00215544">
        <w:rPr>
          <w:rFonts w:ascii="TimesNewRomanPSMT" w:hAnsi="TimesNewRomanPSMT" w:cs="TimesNewRomanPSMT"/>
          <w:szCs w:val="24"/>
          <w:lang w:val="fr-CH"/>
        </w:rPr>
        <w:t xml:space="preserve"> et </w:t>
      </w:r>
      <w:r w:rsidR="008D2F76" w:rsidRPr="00215544">
        <w:rPr>
          <w:rFonts w:ascii="TimesNewRomanPSMT" w:hAnsi="TimesNewRomanPSMT" w:cs="TimesNewRomanPSMT"/>
          <w:b/>
          <w:szCs w:val="24"/>
          <w:lang w:val="fr-CH"/>
        </w:rPr>
        <w:t>30B</w:t>
      </w:r>
      <w:r w:rsidR="008D2F76" w:rsidRPr="00215544">
        <w:rPr>
          <w:rFonts w:ascii="TimesNewRomanPSMT" w:hAnsi="TimesNewRomanPSMT" w:cs="TimesNewRomanPSMT"/>
          <w:szCs w:val="24"/>
          <w:lang w:val="fr-CH"/>
        </w:rPr>
        <w:t xml:space="preserve"> </w:t>
      </w:r>
      <w:r w:rsidR="00B86554" w:rsidRPr="00215544">
        <w:rPr>
          <w:rFonts w:ascii="TimesNewRomanPSMT" w:hAnsi="TimesNewRomanPSMT" w:cs="TimesNewRomanPSMT"/>
          <w:szCs w:val="24"/>
          <w:lang w:val="fr-CH"/>
        </w:rPr>
        <w:t xml:space="preserve">dans une région, en vue de leur utilisation par les stations </w:t>
      </w:r>
      <w:r w:rsidR="008C6A3C">
        <w:rPr>
          <w:rFonts w:ascii="TimesNewRomanPSMT" w:hAnsi="TimesNewRomanPSMT" w:cs="TimesNewRomanPSMT"/>
          <w:szCs w:val="24"/>
          <w:lang w:val="fr-CH"/>
        </w:rPr>
        <w:t>HAPS: 10,95-11,2 GHz, 11,45-11,</w:t>
      </w:r>
      <w:r w:rsidR="008D2F76" w:rsidRPr="00215544">
        <w:rPr>
          <w:rFonts w:ascii="TimesNewRomanPSMT" w:hAnsi="TimesNewRomanPSMT" w:cs="TimesNewRomanPSMT"/>
          <w:szCs w:val="24"/>
          <w:lang w:val="fr-CH"/>
        </w:rPr>
        <w:t>7 GHz, 21</w:t>
      </w:r>
      <w:r w:rsidR="008C6A3C">
        <w:rPr>
          <w:rFonts w:ascii="TimesNewRomanPSMT" w:hAnsi="TimesNewRomanPSMT" w:cs="TimesNewRomanPSMT"/>
          <w:szCs w:val="24"/>
          <w:lang w:val="fr-CH"/>
        </w:rPr>
        <w:t>,</w:t>
      </w:r>
      <w:r w:rsidR="008D2F76" w:rsidRPr="00215544">
        <w:rPr>
          <w:rFonts w:ascii="TimesNewRomanPSMT" w:hAnsi="TimesNewRomanPSMT" w:cs="TimesNewRomanPSMT"/>
          <w:szCs w:val="24"/>
          <w:lang w:val="fr-CH"/>
        </w:rPr>
        <w:t>4-22 GHz,</w:t>
      </w:r>
      <w:r w:rsidR="008C6A3C">
        <w:rPr>
          <w:rFonts w:ascii="TimesNewRomanPSMT" w:hAnsi="TimesNewRomanPSMT" w:cs="TimesNewRomanPSMT"/>
          <w:szCs w:val="24"/>
          <w:lang w:val="fr-CH"/>
        </w:rPr>
        <w:t xml:space="preserve"> </w:t>
      </w:r>
      <w:r w:rsidR="00B86554" w:rsidRPr="00215544">
        <w:rPr>
          <w:rFonts w:ascii="TimesNewRomanPSMT" w:hAnsi="TimesNewRomanPSMT" w:cs="TimesNewRomanPSMT"/>
          <w:szCs w:val="24"/>
          <w:lang w:val="fr-CH"/>
        </w:rPr>
        <w:t>et</w:t>
      </w:r>
      <w:r w:rsidR="008D2F76" w:rsidRPr="00215544">
        <w:rPr>
          <w:rFonts w:ascii="TimesNewRomanPSMT" w:hAnsi="TimesNewRomanPSMT" w:cs="TimesNewRomanPSMT"/>
          <w:szCs w:val="24"/>
          <w:lang w:val="fr-CH"/>
        </w:rPr>
        <w:t xml:space="preserve"> 24</w:t>
      </w:r>
      <w:r w:rsidR="008C6A3C">
        <w:rPr>
          <w:rFonts w:ascii="TimesNewRomanPSMT" w:hAnsi="TimesNewRomanPSMT" w:cs="TimesNewRomanPSMT"/>
          <w:szCs w:val="24"/>
          <w:lang w:val="fr-CH"/>
        </w:rPr>
        <w:t>,</w:t>
      </w:r>
      <w:r w:rsidR="008D2F76" w:rsidRPr="00215544">
        <w:rPr>
          <w:rFonts w:ascii="TimesNewRomanPSMT" w:hAnsi="TimesNewRomanPSMT" w:cs="TimesNewRomanPSMT"/>
          <w:szCs w:val="24"/>
          <w:lang w:val="fr-CH"/>
        </w:rPr>
        <w:t>25-28</w:t>
      </w:r>
      <w:r w:rsidR="008C6A3C">
        <w:rPr>
          <w:rFonts w:ascii="TimesNewRomanPSMT" w:hAnsi="TimesNewRomanPSMT" w:cs="TimesNewRomanPSMT"/>
          <w:szCs w:val="24"/>
          <w:lang w:val="fr-CH"/>
        </w:rPr>
        <w:t>,</w:t>
      </w:r>
      <w:r w:rsidR="00E963FE">
        <w:rPr>
          <w:rFonts w:ascii="TimesNewRomanPSMT" w:hAnsi="TimesNewRomanPSMT" w:cs="TimesNewRomanPSMT"/>
          <w:szCs w:val="24"/>
          <w:lang w:val="fr-CH"/>
        </w:rPr>
        <w:t>35 </w:t>
      </w:r>
      <w:r w:rsidR="008D2F76" w:rsidRPr="00215544">
        <w:rPr>
          <w:rFonts w:ascii="TimesNewRomanPSMT" w:hAnsi="TimesNewRomanPSMT" w:cs="TimesNewRomanPSMT"/>
          <w:szCs w:val="24"/>
          <w:lang w:val="fr-CH"/>
        </w:rPr>
        <w:t>GHz;</w:t>
      </w:r>
    </w:p>
    <w:p w:rsidR="008D2F76" w:rsidRPr="00215544" w:rsidRDefault="008D2F76" w:rsidP="009A1673">
      <w:pPr>
        <w:tabs>
          <w:tab w:val="clear" w:pos="1134"/>
          <w:tab w:val="clear" w:pos="1871"/>
          <w:tab w:val="clear" w:pos="2268"/>
        </w:tabs>
        <w:rPr>
          <w:rFonts w:ascii="TimesNewRomanPSMT" w:hAnsi="TimesNewRomanPSMT" w:cs="TimesNewRomanPSMT"/>
          <w:szCs w:val="24"/>
          <w:lang w:val="fr-CH"/>
        </w:rPr>
      </w:pPr>
      <w:r w:rsidRPr="00215544">
        <w:rPr>
          <w:rFonts w:ascii="TimesNewRomanPSMT" w:hAnsi="TimesNewRomanPSMT" w:cs="TimesNewRomanPSMT"/>
          <w:szCs w:val="24"/>
          <w:lang w:val="fr-CH"/>
        </w:rPr>
        <w:t>3</w:t>
      </w:r>
      <w:r w:rsidRPr="00215544">
        <w:rPr>
          <w:rFonts w:ascii="TimesNewRomanPSMT" w:hAnsi="TimesNewRomanPSMT" w:cs="TimesNewRomanPSMT"/>
          <w:szCs w:val="24"/>
          <w:lang w:val="fr-CH"/>
        </w:rPr>
        <w:tab/>
      </w:r>
      <w:r w:rsidR="00046A8B" w:rsidRPr="00215544">
        <w:rPr>
          <w:rFonts w:ascii="TimesNewRomanPSMT" w:hAnsi="TimesNewRomanPSMT" w:cs="TimesNewRomanPSMT"/>
          <w:szCs w:val="24"/>
          <w:lang w:val="fr-CH"/>
        </w:rPr>
        <w:t xml:space="preserve">à procéder à des études de partage et de compatibilité avec les services existants ayant des attributions dans les gammes de fréquences identifiées aux points 1 et 2 du </w:t>
      </w:r>
      <w:r w:rsidR="00046A8B" w:rsidRPr="009A1673">
        <w:rPr>
          <w:rFonts w:ascii="TimesNewRomanPSMT" w:hAnsi="TimesNewRomanPSMT" w:cs="TimesNewRomanPSMT"/>
          <w:i/>
          <w:iCs/>
          <w:szCs w:val="24"/>
          <w:lang w:val="fr-CH"/>
        </w:rPr>
        <w:t>décide d</w:t>
      </w:r>
      <w:r w:rsidR="00D77829" w:rsidRPr="009A1673">
        <w:rPr>
          <w:rFonts w:ascii="TimesNewRomanPSMT" w:hAnsi="TimesNewRomanPSMT" w:cs="TimesNewRomanPSMT"/>
          <w:i/>
          <w:iCs/>
          <w:szCs w:val="24"/>
          <w:lang w:val="fr-CH"/>
        </w:rPr>
        <w:t>'</w:t>
      </w:r>
      <w:r w:rsidR="00046A8B" w:rsidRPr="009A1673">
        <w:rPr>
          <w:rFonts w:ascii="TimesNewRomanPSMT" w:hAnsi="TimesNewRomanPSMT" w:cs="TimesNewRomanPSMT"/>
          <w:i/>
          <w:iCs/>
          <w:szCs w:val="24"/>
          <w:lang w:val="fr-CH"/>
        </w:rPr>
        <w:t>inviter l</w:t>
      </w:r>
      <w:r w:rsidR="00D77829" w:rsidRPr="009A1673">
        <w:rPr>
          <w:rFonts w:ascii="TimesNewRomanPSMT" w:hAnsi="TimesNewRomanPSMT" w:cs="TimesNewRomanPSMT"/>
          <w:i/>
          <w:iCs/>
          <w:szCs w:val="24"/>
          <w:lang w:val="fr-CH"/>
        </w:rPr>
        <w:t>'</w:t>
      </w:r>
      <w:r w:rsidR="00046A8B" w:rsidRPr="009A1673">
        <w:rPr>
          <w:rFonts w:ascii="TimesNewRomanPSMT" w:hAnsi="TimesNewRomanPSMT" w:cs="TimesNewRomanPSMT"/>
          <w:i/>
          <w:iCs/>
          <w:szCs w:val="24"/>
          <w:lang w:val="fr-CH"/>
        </w:rPr>
        <w:t>UIT-R</w:t>
      </w:r>
      <w:r w:rsidR="00046A8B" w:rsidRPr="00215544">
        <w:rPr>
          <w:rFonts w:ascii="TimesNewRomanPSMT" w:hAnsi="TimesNewRomanPSMT" w:cs="TimesNewRomanPSMT"/>
          <w:szCs w:val="24"/>
          <w:lang w:val="fr-CH"/>
        </w:rPr>
        <w:t>, selon le cas, ainsi qu</w:t>
      </w:r>
      <w:r w:rsidR="00D77829">
        <w:rPr>
          <w:rFonts w:ascii="TimesNewRomanPSMT" w:hAnsi="TimesNewRomanPSMT" w:cs="TimesNewRomanPSMT"/>
          <w:szCs w:val="24"/>
          <w:lang w:val="fr-CH"/>
        </w:rPr>
        <w:t>'</w:t>
      </w:r>
      <w:r w:rsidR="00046A8B" w:rsidRPr="00215544">
        <w:rPr>
          <w:rFonts w:ascii="TimesNewRomanPSMT" w:hAnsi="TimesNewRomanPSMT" w:cs="TimesNewRomanPSMT"/>
          <w:szCs w:val="24"/>
          <w:lang w:val="fr-CH"/>
        </w:rPr>
        <w:t>à des études de la bande adjacente, compte tenu des études déjà effectuées par l</w:t>
      </w:r>
      <w:r w:rsidR="00D77829">
        <w:rPr>
          <w:rFonts w:ascii="TimesNewRomanPSMT" w:hAnsi="TimesNewRomanPSMT" w:cs="TimesNewRomanPSMT"/>
          <w:szCs w:val="24"/>
          <w:lang w:val="fr-CH"/>
        </w:rPr>
        <w:t>'</w:t>
      </w:r>
      <w:r w:rsidR="00046A8B" w:rsidRPr="00215544">
        <w:rPr>
          <w:rFonts w:ascii="TimesNewRomanPSMT" w:hAnsi="TimesNewRomanPSMT" w:cs="TimesNewRomanPSMT"/>
          <w:szCs w:val="24"/>
          <w:lang w:val="fr-CH"/>
        </w:rPr>
        <w:t>UIT-R</w:t>
      </w:r>
      <w:r w:rsidRPr="00215544">
        <w:rPr>
          <w:rFonts w:ascii="TimesNewRomanPSMT" w:hAnsi="TimesNewRomanPSMT" w:cs="TimesNewRomanPSMT"/>
          <w:szCs w:val="24"/>
          <w:lang w:val="fr-CH"/>
        </w:rPr>
        <w:t>;</w:t>
      </w:r>
    </w:p>
    <w:p w:rsidR="008D2F76" w:rsidRPr="00215544" w:rsidRDefault="008D2F76" w:rsidP="009A1673">
      <w:pPr>
        <w:tabs>
          <w:tab w:val="clear" w:pos="1134"/>
          <w:tab w:val="clear" w:pos="1871"/>
          <w:tab w:val="clear" w:pos="2268"/>
        </w:tabs>
        <w:rPr>
          <w:rFonts w:ascii="TimesNewRomanPSMT" w:hAnsi="TimesNewRomanPSMT" w:cs="TimesNewRomanPSMT"/>
          <w:szCs w:val="24"/>
          <w:lang w:val="fr-CH"/>
        </w:rPr>
      </w:pPr>
      <w:r w:rsidRPr="00215544">
        <w:rPr>
          <w:rFonts w:ascii="TimesNewRomanPSMT" w:hAnsi="TimesNewRomanPSMT" w:cs="TimesNewRomanPSMT"/>
          <w:szCs w:val="24"/>
          <w:lang w:val="fr-CH"/>
        </w:rPr>
        <w:t>4</w:t>
      </w:r>
      <w:r w:rsidRPr="00215544">
        <w:rPr>
          <w:rFonts w:ascii="TimesNewRomanPSMT" w:hAnsi="TimesNewRomanPSMT" w:cs="TimesNewRomanPSMT"/>
          <w:szCs w:val="24"/>
          <w:lang w:val="fr-CH"/>
        </w:rPr>
        <w:tab/>
      </w:r>
      <w:r w:rsidR="00046A8B" w:rsidRPr="00215544">
        <w:rPr>
          <w:rFonts w:ascii="TimesNewRomanPSMT" w:hAnsi="TimesNewRomanPSMT" w:cs="TimesNewRomanPSMT"/>
          <w:szCs w:val="24"/>
          <w:lang w:val="fr-CH"/>
        </w:rPr>
        <w:t>à élaborer des Recommandations et des rapports UIT</w:t>
      </w:r>
      <w:r w:rsidR="008C6A3C">
        <w:rPr>
          <w:rFonts w:ascii="TimesNewRomanPSMT" w:hAnsi="TimesNewRomanPSMT" w:cs="TimesNewRomanPSMT"/>
          <w:szCs w:val="24"/>
          <w:lang w:val="fr-CH"/>
        </w:rPr>
        <w:t>-</w:t>
      </w:r>
      <w:r w:rsidR="00046A8B" w:rsidRPr="00215544">
        <w:rPr>
          <w:rFonts w:ascii="TimesNewRomanPSMT" w:hAnsi="TimesNewRomanPSMT" w:cs="TimesNewRomanPSMT"/>
          <w:szCs w:val="24"/>
          <w:lang w:val="fr-CH"/>
        </w:rPr>
        <w:t>R, selon</w:t>
      </w:r>
      <w:r w:rsidR="009A1673">
        <w:rPr>
          <w:rFonts w:ascii="TimesNewRomanPSMT" w:hAnsi="TimesNewRomanPSMT" w:cs="TimesNewRomanPSMT"/>
          <w:szCs w:val="24"/>
          <w:lang w:val="fr-CH"/>
        </w:rPr>
        <w:t xml:space="preserve"> le cas, compte tenu des points </w:t>
      </w:r>
      <w:r w:rsidR="00046A8B" w:rsidRPr="00215544">
        <w:rPr>
          <w:rFonts w:ascii="TimesNewRomanPSMT" w:hAnsi="TimesNewRomanPSMT" w:cs="TimesNewRomanPSMT"/>
          <w:szCs w:val="24"/>
          <w:lang w:val="fr-CH"/>
        </w:rPr>
        <w:t xml:space="preserve">1, 2 et 3 du </w:t>
      </w:r>
      <w:r w:rsidR="00046A8B" w:rsidRPr="009A1673">
        <w:rPr>
          <w:rFonts w:ascii="TimesNewRomanPSMT" w:hAnsi="TimesNewRomanPSMT" w:cs="TimesNewRomanPSMT"/>
          <w:i/>
          <w:iCs/>
          <w:szCs w:val="24"/>
          <w:lang w:val="fr-CH"/>
        </w:rPr>
        <w:t>décide d</w:t>
      </w:r>
      <w:r w:rsidR="00D77829" w:rsidRPr="009A1673">
        <w:rPr>
          <w:rFonts w:ascii="TimesNewRomanPSMT" w:hAnsi="TimesNewRomanPSMT" w:cs="TimesNewRomanPSMT"/>
          <w:i/>
          <w:iCs/>
          <w:szCs w:val="24"/>
          <w:lang w:val="fr-CH"/>
        </w:rPr>
        <w:t>'</w:t>
      </w:r>
      <w:r w:rsidR="00046A8B" w:rsidRPr="009A1673">
        <w:rPr>
          <w:rFonts w:ascii="TimesNewRomanPSMT" w:hAnsi="TimesNewRomanPSMT" w:cs="TimesNewRomanPSMT"/>
          <w:i/>
          <w:iCs/>
          <w:szCs w:val="24"/>
          <w:lang w:val="fr-CH"/>
        </w:rPr>
        <w:t>inviter l</w:t>
      </w:r>
      <w:r w:rsidR="00D77829" w:rsidRPr="009A1673">
        <w:rPr>
          <w:rFonts w:ascii="TimesNewRomanPSMT" w:hAnsi="TimesNewRomanPSMT" w:cs="TimesNewRomanPSMT"/>
          <w:i/>
          <w:iCs/>
          <w:szCs w:val="24"/>
          <w:lang w:val="fr-CH"/>
        </w:rPr>
        <w:t>'</w:t>
      </w:r>
      <w:r w:rsidR="00046A8B" w:rsidRPr="009A1673">
        <w:rPr>
          <w:rFonts w:ascii="TimesNewRomanPSMT" w:hAnsi="TimesNewRomanPSMT" w:cs="TimesNewRomanPSMT"/>
          <w:i/>
          <w:iCs/>
          <w:szCs w:val="24"/>
          <w:lang w:val="fr-CH"/>
        </w:rPr>
        <w:t>UIT-R</w:t>
      </w:r>
      <w:r w:rsidR="009A1673">
        <w:rPr>
          <w:rFonts w:ascii="TimesNewRomanPSMT" w:hAnsi="TimesNewRomanPSMT" w:cs="TimesNewRomanPSMT"/>
          <w:szCs w:val="24"/>
          <w:lang w:val="fr-CH"/>
        </w:rPr>
        <w:t xml:space="preserve"> ci-dessus,</w:t>
      </w:r>
    </w:p>
    <w:p w:rsidR="008D2F76" w:rsidRPr="00215544" w:rsidRDefault="00046A8B" w:rsidP="008C6A3C">
      <w:pPr>
        <w:pStyle w:val="Call"/>
        <w:rPr>
          <w:lang w:val="fr-CH"/>
        </w:rPr>
      </w:pPr>
      <w:r w:rsidRPr="00215544">
        <w:rPr>
          <w:lang w:val="fr-CH"/>
        </w:rPr>
        <w:t>décide en outre d</w:t>
      </w:r>
      <w:r w:rsidR="00D77829">
        <w:rPr>
          <w:lang w:val="fr-CH"/>
        </w:rPr>
        <w:t>'</w:t>
      </w:r>
      <w:r w:rsidRPr="00215544">
        <w:rPr>
          <w:lang w:val="fr-CH"/>
        </w:rPr>
        <w:t>inviter la</w:t>
      </w:r>
      <w:r w:rsidR="008D2F76" w:rsidRPr="00215544">
        <w:rPr>
          <w:lang w:val="fr-CH"/>
        </w:rPr>
        <w:t xml:space="preserve"> </w:t>
      </w:r>
      <w:r w:rsidR="00CD1F8C" w:rsidRPr="00215544">
        <w:rPr>
          <w:lang w:val="fr-CH"/>
        </w:rPr>
        <w:t>CMR</w:t>
      </w:r>
      <w:r w:rsidR="008D2F76" w:rsidRPr="00215544">
        <w:rPr>
          <w:lang w:val="fr-CH"/>
        </w:rPr>
        <w:t>-19</w:t>
      </w:r>
    </w:p>
    <w:p w:rsidR="008D2F76" w:rsidRPr="00215544" w:rsidRDefault="00046A8B" w:rsidP="008C6A3C">
      <w:pPr>
        <w:tabs>
          <w:tab w:val="left" w:pos="1170"/>
        </w:tabs>
        <w:rPr>
          <w:rFonts w:ascii="TimesNewRomanPS-ItalicMT" w:hAnsi="TimesNewRomanPS-ItalicMT" w:cs="TimesNewRomanPS-ItalicMT"/>
          <w:i/>
          <w:iCs/>
          <w:szCs w:val="24"/>
          <w:lang w:val="fr-CH"/>
        </w:rPr>
      </w:pPr>
      <w:r w:rsidRPr="00215544">
        <w:rPr>
          <w:rFonts w:ascii="TimesNewRomanPSMT" w:hAnsi="TimesNewRomanPSMT" w:cs="TimesNewRomanPSMT"/>
          <w:szCs w:val="24"/>
          <w:lang w:val="fr-CH"/>
        </w:rPr>
        <w:t xml:space="preserve">à examiner, sur la base des études effectuées conformément au </w:t>
      </w:r>
      <w:r w:rsidRPr="009A1673">
        <w:rPr>
          <w:rFonts w:ascii="TimesNewRomanPSMT" w:hAnsi="TimesNewRomanPSMT" w:cs="TimesNewRomanPSMT"/>
          <w:i/>
          <w:iCs/>
          <w:szCs w:val="24"/>
          <w:lang w:val="fr-CH"/>
        </w:rPr>
        <w:t>décide d</w:t>
      </w:r>
      <w:r w:rsidR="00D77829" w:rsidRPr="009A1673">
        <w:rPr>
          <w:rFonts w:ascii="TimesNewRomanPSMT" w:hAnsi="TimesNewRomanPSMT" w:cs="TimesNewRomanPSMT"/>
          <w:i/>
          <w:iCs/>
          <w:szCs w:val="24"/>
          <w:lang w:val="fr-CH"/>
        </w:rPr>
        <w:t>'</w:t>
      </w:r>
      <w:r w:rsidRPr="009A1673">
        <w:rPr>
          <w:rFonts w:ascii="TimesNewRomanPSMT" w:hAnsi="TimesNewRomanPSMT" w:cs="TimesNewRomanPSMT"/>
          <w:i/>
          <w:iCs/>
          <w:szCs w:val="24"/>
          <w:lang w:val="fr-CH"/>
        </w:rPr>
        <w:t>inviter l</w:t>
      </w:r>
      <w:r w:rsidR="00D77829" w:rsidRPr="009A1673">
        <w:rPr>
          <w:rFonts w:ascii="TimesNewRomanPSMT" w:hAnsi="TimesNewRomanPSMT" w:cs="TimesNewRomanPSMT"/>
          <w:i/>
          <w:iCs/>
          <w:szCs w:val="24"/>
          <w:lang w:val="fr-CH"/>
        </w:rPr>
        <w:t>'</w:t>
      </w:r>
      <w:r w:rsidRPr="009A1673">
        <w:rPr>
          <w:rFonts w:ascii="TimesNewRomanPSMT" w:hAnsi="TimesNewRomanPSMT" w:cs="TimesNewRomanPSMT"/>
          <w:i/>
          <w:iCs/>
          <w:szCs w:val="24"/>
          <w:lang w:val="fr-CH"/>
        </w:rPr>
        <w:t>UIT-R</w:t>
      </w:r>
      <w:r w:rsidRPr="00215544">
        <w:rPr>
          <w:rFonts w:ascii="TimesNewRomanPSMT" w:hAnsi="TimesNewRomanPSMT" w:cs="TimesNewRomanPSMT"/>
          <w:szCs w:val="24"/>
          <w:lang w:val="fr-CH"/>
        </w:rPr>
        <w:t xml:space="preserve"> ci-dessus, des </w:t>
      </w:r>
      <w:r>
        <w:rPr>
          <w:color w:val="000000"/>
        </w:rPr>
        <w:t>mesures réglementaires appropriées</w:t>
      </w:r>
      <w:r w:rsidR="008D2F76" w:rsidRPr="00215544">
        <w:rPr>
          <w:rFonts w:ascii="TimesNewRomanPSMT" w:hAnsi="TimesNewRomanPSMT" w:cs="TimesNewRomanPSMT"/>
          <w:szCs w:val="24"/>
          <w:lang w:val="fr-CH"/>
        </w:rPr>
        <w:t xml:space="preserve">, </w:t>
      </w:r>
      <w:r w:rsidRPr="00215544">
        <w:rPr>
          <w:rFonts w:ascii="TimesNewRomanPSMT" w:hAnsi="TimesNewRomanPSMT" w:cs="TimesNewRomanPSMT"/>
          <w:szCs w:val="24"/>
          <w:lang w:val="fr-CH"/>
        </w:rPr>
        <w:t>notamment la possibilité d</w:t>
      </w:r>
      <w:r w:rsidR="00D77829">
        <w:rPr>
          <w:rFonts w:ascii="TimesNewRomanPSMT" w:hAnsi="TimesNewRomanPSMT" w:cs="TimesNewRomanPSMT"/>
          <w:szCs w:val="24"/>
          <w:lang w:val="fr-CH"/>
        </w:rPr>
        <w:t>'</w:t>
      </w:r>
      <w:r w:rsidRPr="00215544">
        <w:rPr>
          <w:rFonts w:ascii="TimesNewRomanPSMT" w:hAnsi="TimesNewRomanPSMT" w:cs="TimesNewRomanPSMT"/>
          <w:szCs w:val="24"/>
          <w:lang w:val="fr-CH"/>
        </w:rPr>
        <w:t xml:space="preserve">étendre les bandes identifiées actuellement pour les stations HAPS dans le cadre des attributions actuelles du service fixe pour les liaisons </w:t>
      </w:r>
      <w:r w:rsidR="008D2F76" w:rsidRPr="00215544">
        <w:rPr>
          <w:rFonts w:ascii="TimesNewRomanPSMT" w:hAnsi="TimesNewRomanPSMT" w:cs="TimesNewRomanPSMT"/>
          <w:szCs w:val="24"/>
          <w:lang w:val="fr-CH"/>
        </w:rPr>
        <w:t>HAPS</w:t>
      </w:r>
      <w:r w:rsidRPr="00215544">
        <w:rPr>
          <w:rFonts w:ascii="TimesNewRomanPSMT" w:hAnsi="TimesNewRomanPSMT" w:cs="TimesNewRomanPSMT"/>
          <w:szCs w:val="24"/>
          <w:lang w:val="fr-CH"/>
        </w:rPr>
        <w:t xml:space="preserve">, en modifiant les restrictions géographiques, techniques et réglementaires associées aux bandes identifiées actuellement pour les stations </w:t>
      </w:r>
      <w:r w:rsidR="008D2F76" w:rsidRPr="00215544">
        <w:rPr>
          <w:rFonts w:ascii="TimesNewRomanPSMT" w:hAnsi="TimesNewRomanPSMT" w:cs="TimesNewRomanPSMT"/>
          <w:szCs w:val="24"/>
          <w:lang w:val="fr-CH"/>
        </w:rPr>
        <w:t>HAPS</w:t>
      </w:r>
      <w:r w:rsidR="00ED6447" w:rsidRPr="00215544">
        <w:rPr>
          <w:rFonts w:ascii="TimesNewRomanPSMT" w:hAnsi="TimesNewRomanPSMT" w:cs="TimesNewRomanPSMT"/>
          <w:szCs w:val="24"/>
          <w:lang w:val="fr-CH"/>
        </w:rPr>
        <w:t>, ainsi que la possibilité d</w:t>
      </w:r>
      <w:r w:rsidR="00D77829">
        <w:rPr>
          <w:rFonts w:ascii="TimesNewRomanPSMT" w:hAnsi="TimesNewRomanPSMT" w:cs="TimesNewRomanPSMT"/>
          <w:szCs w:val="24"/>
          <w:lang w:val="fr-CH"/>
        </w:rPr>
        <w:t>'</w:t>
      </w:r>
      <w:r w:rsidR="00ED6447" w:rsidRPr="00215544">
        <w:rPr>
          <w:rFonts w:ascii="TimesNewRomanPSMT" w:hAnsi="TimesNewRomanPSMT" w:cs="TimesNewRomanPSMT"/>
          <w:szCs w:val="24"/>
          <w:lang w:val="fr-CH"/>
        </w:rPr>
        <w:t>identifier des gammes de fréquences additionnelles, dans le cadre des attribu</w:t>
      </w:r>
      <w:r w:rsidR="00D77829">
        <w:rPr>
          <w:rFonts w:ascii="TimesNewRomanPSMT" w:hAnsi="TimesNewRomanPSMT" w:cs="TimesNewRomanPSMT"/>
          <w:szCs w:val="24"/>
          <w:lang w:val="fr-CH"/>
        </w:rPr>
        <w:t>tions actuelles au service fixe</w:t>
      </w:r>
      <w:r w:rsidR="00ED6447" w:rsidRPr="00215544">
        <w:rPr>
          <w:rFonts w:ascii="TimesNewRomanPSMT" w:hAnsi="TimesNewRomanPSMT" w:cs="TimesNewRomanPSMT"/>
          <w:szCs w:val="24"/>
          <w:lang w:val="fr-CH"/>
        </w:rPr>
        <w:t xml:space="preserve">, pour les liaisons HAPS, conformément aux points 2 et 3 du </w:t>
      </w:r>
      <w:r w:rsidR="00ED6447" w:rsidRPr="009A1673">
        <w:rPr>
          <w:rFonts w:ascii="TimesNewRomanPSMT" w:hAnsi="TimesNewRomanPSMT" w:cs="TimesNewRomanPSMT"/>
          <w:i/>
          <w:iCs/>
          <w:szCs w:val="24"/>
          <w:lang w:val="fr-CH"/>
        </w:rPr>
        <w:t>décide d</w:t>
      </w:r>
      <w:r w:rsidR="00D77829" w:rsidRPr="009A1673">
        <w:rPr>
          <w:rFonts w:ascii="TimesNewRomanPSMT" w:hAnsi="TimesNewRomanPSMT" w:cs="TimesNewRomanPSMT"/>
          <w:i/>
          <w:iCs/>
          <w:szCs w:val="24"/>
          <w:lang w:val="fr-CH"/>
        </w:rPr>
        <w:t>'</w:t>
      </w:r>
      <w:r w:rsidR="00ED6447" w:rsidRPr="009A1673">
        <w:rPr>
          <w:rFonts w:ascii="TimesNewRomanPSMT" w:hAnsi="TimesNewRomanPSMT" w:cs="TimesNewRomanPSMT"/>
          <w:i/>
          <w:iCs/>
          <w:szCs w:val="24"/>
          <w:lang w:val="fr-CH"/>
        </w:rPr>
        <w:t>inviter l</w:t>
      </w:r>
      <w:r w:rsidR="00D77829" w:rsidRPr="009A1673">
        <w:rPr>
          <w:rFonts w:ascii="TimesNewRomanPSMT" w:hAnsi="TimesNewRomanPSMT" w:cs="TimesNewRomanPSMT"/>
          <w:i/>
          <w:iCs/>
          <w:szCs w:val="24"/>
          <w:lang w:val="fr-CH"/>
        </w:rPr>
        <w:t>'</w:t>
      </w:r>
      <w:r w:rsidR="00ED6447" w:rsidRPr="009A1673">
        <w:rPr>
          <w:rFonts w:ascii="TimesNewRomanPSMT" w:hAnsi="TimesNewRomanPSMT" w:cs="TimesNewRomanPSMT"/>
          <w:i/>
          <w:iCs/>
          <w:szCs w:val="24"/>
          <w:lang w:val="fr-CH"/>
        </w:rPr>
        <w:t>UIT-R</w:t>
      </w:r>
      <w:r w:rsidR="008D2F76" w:rsidRPr="00215544">
        <w:rPr>
          <w:rFonts w:ascii="TimesNewRomanPSMT" w:hAnsi="TimesNewRomanPSMT" w:cs="TimesNewRomanPSMT"/>
          <w:szCs w:val="24"/>
          <w:lang w:val="fr-CH"/>
        </w:rPr>
        <w:t>.</w:t>
      </w:r>
    </w:p>
    <w:p w:rsidR="00ED6447" w:rsidRPr="00215544" w:rsidRDefault="00E703B0" w:rsidP="00983864">
      <w:pPr>
        <w:pStyle w:val="Reasons"/>
        <w:rPr>
          <w:lang w:val="fr-CH"/>
        </w:rPr>
      </w:pPr>
      <w:r w:rsidRPr="00215544">
        <w:rPr>
          <w:b/>
          <w:lang w:val="fr-CH"/>
        </w:rPr>
        <w:lastRenderedPageBreak/>
        <w:t>Motifs:</w:t>
      </w:r>
      <w:r w:rsidRPr="00215544">
        <w:rPr>
          <w:lang w:val="fr-CH"/>
        </w:rPr>
        <w:tab/>
      </w:r>
      <w:r w:rsidR="00ED6447" w:rsidRPr="00215544">
        <w:rPr>
          <w:lang w:val="fr-CH"/>
        </w:rPr>
        <w:t>Favoriser la fourniture de services large bande aux communautés mal desservies au moyen d</w:t>
      </w:r>
      <w:r w:rsidR="00D77829">
        <w:rPr>
          <w:lang w:val="fr-CH"/>
        </w:rPr>
        <w:t>'</w:t>
      </w:r>
      <w:r w:rsidR="00ED6447" w:rsidRPr="00215544">
        <w:rPr>
          <w:lang w:val="fr-CH"/>
        </w:rPr>
        <w:t>infrastructures financièrement abordables et fiables.</w:t>
      </w:r>
    </w:p>
    <w:p w:rsidR="00B67CB2" w:rsidRPr="00215544" w:rsidRDefault="00B67CB2" w:rsidP="00215544">
      <w:pPr>
        <w:rPr>
          <w:lang w:val="fr-CH"/>
        </w:rPr>
      </w:pPr>
      <w:r w:rsidRPr="00215544">
        <w:rPr>
          <w:lang w:val="fr-CH"/>
        </w:rPr>
        <w:br w:type="page"/>
      </w:r>
    </w:p>
    <w:p w:rsidR="00B67CB2" w:rsidRPr="00215544" w:rsidRDefault="009A1673" w:rsidP="00215544">
      <w:pPr>
        <w:pStyle w:val="AnnexNo"/>
        <w:rPr>
          <w:lang w:val="fr-CH"/>
        </w:rPr>
      </w:pPr>
      <w:r>
        <w:rPr>
          <w:lang w:val="fr-CH"/>
        </w:rPr>
        <w:lastRenderedPageBreak/>
        <w:t>PIÈ</w:t>
      </w:r>
      <w:r w:rsidR="002F475E" w:rsidRPr="00215544">
        <w:rPr>
          <w:lang w:val="fr-CH"/>
        </w:rPr>
        <w:t>CE JOINTE</w:t>
      </w:r>
    </w:p>
    <w:p w:rsidR="00B67CB2" w:rsidRPr="005E4B77" w:rsidRDefault="00F344DB" w:rsidP="008C6A3C">
      <w:pPr>
        <w:spacing w:before="360"/>
        <w:jc w:val="center"/>
        <w:rPr>
          <w:rFonts w:ascii="Times New Roman Bold" w:hAnsi="Times New Roman Bold"/>
          <w:b/>
          <w:sz w:val="28"/>
          <w:lang w:val="fr-CH"/>
        </w:rPr>
      </w:pPr>
      <w:r w:rsidRPr="005E4B77">
        <w:rPr>
          <w:rFonts w:ascii="Times New Roman Bold" w:hAnsi="Times New Roman Bold"/>
          <w:b/>
          <w:sz w:val="28"/>
          <w:lang w:val="fr-CH"/>
        </w:rPr>
        <w:t>Proposition de futur point de l'ordre du jour concernant le large bande fourni par des st</w:t>
      </w:r>
      <w:r w:rsidR="009A1673" w:rsidRPr="005E4B77">
        <w:rPr>
          <w:rFonts w:ascii="Times New Roman Bold" w:hAnsi="Times New Roman Bold"/>
          <w:b/>
          <w:sz w:val="28"/>
          <w:lang w:val="fr-CH"/>
        </w:rPr>
        <w:t>ations de base à haute altitude</w:t>
      </w:r>
    </w:p>
    <w:p w:rsidR="009A1673" w:rsidRPr="00215544" w:rsidRDefault="009A1673" w:rsidP="009A1673">
      <w:pPr>
        <w:rPr>
          <w:lang w:val="fr-CH"/>
        </w:rPr>
      </w:pPr>
      <w:r w:rsidRPr="009A1673">
        <w:rPr>
          <w:b/>
          <w:bCs/>
          <w:i/>
          <w:iCs/>
          <w:lang w:val="fr-CH"/>
        </w:rPr>
        <w:t>Objet:</w:t>
      </w:r>
      <w:r w:rsidRPr="00215544">
        <w:rPr>
          <w:lang w:val="fr-CH"/>
        </w:rPr>
        <w:t xml:space="preserve"> Il est proposé d</w:t>
      </w:r>
      <w:r>
        <w:rPr>
          <w:lang w:val="fr-CH"/>
        </w:rPr>
        <w:t>'</w:t>
      </w:r>
      <w:r w:rsidRPr="00215544">
        <w:rPr>
          <w:lang w:val="fr-CH"/>
        </w:rPr>
        <w:t>inscrire à l</w:t>
      </w:r>
      <w:r>
        <w:rPr>
          <w:lang w:val="fr-CH"/>
        </w:rPr>
        <w:t>'</w:t>
      </w:r>
      <w:r w:rsidRPr="00215544">
        <w:rPr>
          <w:lang w:val="fr-CH"/>
        </w:rPr>
        <w:t>ordre du jour de la CMR</w:t>
      </w:r>
      <w:r>
        <w:rPr>
          <w:lang w:val="fr-CH"/>
        </w:rPr>
        <w:t>-</w:t>
      </w:r>
      <w:r w:rsidRPr="00215544">
        <w:rPr>
          <w:lang w:val="fr-CH"/>
        </w:rPr>
        <w:t>19 un point visant à examiner les résultats des études relatives à la fourniture d</w:t>
      </w:r>
      <w:r>
        <w:rPr>
          <w:lang w:val="fr-CH"/>
        </w:rPr>
        <w:t>'</w:t>
      </w:r>
      <w:r w:rsidRPr="00215544">
        <w:rPr>
          <w:lang w:val="fr-CH"/>
        </w:rPr>
        <w:t>applications large bande par les stations HAPS, et à déterminer s</w:t>
      </w:r>
      <w:r>
        <w:rPr>
          <w:lang w:val="fr-CH"/>
        </w:rPr>
        <w:t>'</w:t>
      </w:r>
      <w:r w:rsidRPr="00215544">
        <w:rPr>
          <w:lang w:val="fr-CH"/>
        </w:rPr>
        <w:t>il y a lieu d</w:t>
      </w:r>
      <w:r>
        <w:rPr>
          <w:lang w:val="fr-CH"/>
        </w:rPr>
        <w:t>'</w:t>
      </w:r>
      <w:r w:rsidRPr="00215544">
        <w:rPr>
          <w:lang w:val="fr-CH"/>
        </w:rPr>
        <w:t>apporter des modifications à l</w:t>
      </w:r>
      <w:r>
        <w:rPr>
          <w:lang w:val="fr-CH"/>
        </w:rPr>
        <w:t>'</w:t>
      </w:r>
      <w:r w:rsidRPr="00215544">
        <w:rPr>
          <w:lang w:val="fr-CH"/>
        </w:rPr>
        <w:t>ensemble de bandes existantes identifiées en vue de leur utilisation par les stations HAPS et aux Rec</w:t>
      </w:r>
      <w:r>
        <w:rPr>
          <w:lang w:val="fr-CH"/>
        </w:rPr>
        <w:t>ommandations et Résolutions UIT-</w:t>
      </w:r>
      <w:r w:rsidRPr="00215544">
        <w:rPr>
          <w:lang w:val="fr-CH"/>
        </w:rPr>
        <w:t>R</w:t>
      </w:r>
      <w:r>
        <w:rPr>
          <w:lang w:val="fr-CH"/>
        </w:rPr>
        <w:t>,</w:t>
      </w:r>
      <w:r w:rsidRPr="00215544">
        <w:rPr>
          <w:lang w:val="fr-CH"/>
        </w:rPr>
        <w:t xml:space="preserve"> pour faciliter la fourniture du large bande aux communautés mal desservies, en prenant au besoin des mesures.</w:t>
      </w:r>
    </w:p>
    <w:p w:rsidR="009A1673" w:rsidRPr="009A1673" w:rsidRDefault="009A1673" w:rsidP="009A1673">
      <w:pPr>
        <w:pBdr>
          <w:bottom w:val="single" w:sz="12" w:space="1" w:color="auto"/>
        </w:pBdr>
        <w:tabs>
          <w:tab w:val="left" w:pos="794"/>
          <w:tab w:val="left" w:pos="1191"/>
          <w:tab w:val="left" w:pos="1588"/>
          <w:tab w:val="left" w:pos="1985"/>
        </w:tabs>
        <w:rPr>
          <w:color w:val="000000"/>
          <w:szCs w:val="24"/>
          <w:lang w:val="fr-CH"/>
        </w:rPr>
      </w:pPr>
    </w:p>
    <w:p w:rsidR="009A1673" w:rsidRPr="009A1673" w:rsidRDefault="009A1673" w:rsidP="009A1673">
      <w:pPr>
        <w:rPr>
          <w:rFonts w:ascii="TimesNewRomanPSMT" w:hAnsi="TimesNewRomanPSMT" w:cs="TimesNewRomanPSMT"/>
          <w:szCs w:val="24"/>
          <w:lang w:val="fr-CH"/>
        </w:rPr>
      </w:pPr>
      <w:r w:rsidRPr="009A1673">
        <w:rPr>
          <w:b/>
          <w:bCs/>
          <w:i/>
          <w:iCs/>
          <w:lang w:val="fr-CH"/>
        </w:rPr>
        <w:t>Origine:</w:t>
      </w:r>
      <w:r>
        <w:rPr>
          <w:lang w:val="fr-CH"/>
        </w:rPr>
        <w:t xml:space="preserve"> E</w:t>
      </w:r>
      <w:r w:rsidRPr="00215544">
        <w:rPr>
          <w:lang w:val="fr-CH"/>
        </w:rPr>
        <w:t>tats Membres de la Commission interaméricaine des télécommunications (CITEL)</w:t>
      </w:r>
    </w:p>
    <w:p w:rsidR="009A1673" w:rsidRPr="009A1673" w:rsidRDefault="009A1673" w:rsidP="009A1673">
      <w:pPr>
        <w:pBdr>
          <w:bottom w:val="single" w:sz="12" w:space="1" w:color="auto"/>
        </w:pBdr>
        <w:tabs>
          <w:tab w:val="left" w:pos="794"/>
          <w:tab w:val="left" w:pos="1191"/>
          <w:tab w:val="left" w:pos="1588"/>
          <w:tab w:val="left" w:pos="1985"/>
        </w:tabs>
        <w:rPr>
          <w:color w:val="000000"/>
          <w:szCs w:val="24"/>
          <w:lang w:val="fr-CH"/>
        </w:rPr>
      </w:pPr>
    </w:p>
    <w:p w:rsidR="009A1673" w:rsidRPr="00215544" w:rsidRDefault="009A1673" w:rsidP="009A1673">
      <w:pPr>
        <w:rPr>
          <w:rFonts w:ascii="TimesNewRomanPS-ItalicMT" w:hAnsi="TimesNewRomanPS-ItalicMT" w:cs="TimesNewRomanPS-ItalicMT"/>
          <w:i/>
          <w:iCs/>
          <w:szCs w:val="24"/>
          <w:lang w:val="fr-CH"/>
        </w:rPr>
      </w:pPr>
      <w:r w:rsidRPr="00215544">
        <w:rPr>
          <w:b/>
          <w:bCs/>
          <w:i/>
          <w:iCs/>
          <w:lang w:val="fr-CH"/>
        </w:rPr>
        <w:t>Proposition</w:t>
      </w:r>
      <w:r w:rsidRPr="00215544">
        <w:rPr>
          <w:b/>
          <w:i/>
          <w:color w:val="000000"/>
          <w:lang w:val="fr-CH"/>
        </w:rPr>
        <w:t>:</w:t>
      </w:r>
      <w:r w:rsidRPr="00215544">
        <w:rPr>
          <w:lang w:val="fr-CH"/>
        </w:rPr>
        <w:t xml:space="preserve"> </w:t>
      </w:r>
      <w:r w:rsidRPr="00D77829">
        <w:rPr>
          <w:i/>
          <w:iCs/>
          <w:lang w:val="fr-CH"/>
        </w:rPr>
        <w:t>E</w:t>
      </w:r>
      <w:r w:rsidRPr="00215544">
        <w:rPr>
          <w:rFonts w:ascii="TimesNewRomanPS-ItalicMT" w:hAnsi="TimesNewRomanPS-ItalicMT" w:cs="TimesNewRomanPS-ItalicMT"/>
          <w:i/>
          <w:iCs/>
          <w:szCs w:val="24"/>
          <w:lang w:val="fr-CH"/>
        </w:rPr>
        <w:t>tudier l</w:t>
      </w:r>
      <w:r>
        <w:rPr>
          <w:rFonts w:ascii="TimesNewRomanPS-ItalicMT" w:hAnsi="TimesNewRomanPS-ItalicMT" w:cs="TimesNewRomanPS-ItalicMT"/>
          <w:i/>
          <w:iCs/>
          <w:szCs w:val="24"/>
          <w:lang w:val="fr-CH"/>
        </w:rPr>
        <w:t>'</w:t>
      </w:r>
      <w:r w:rsidRPr="00215544">
        <w:rPr>
          <w:rFonts w:ascii="TimesNewRomanPS-ItalicMT" w:hAnsi="TimesNewRomanPS-ItalicMT" w:cs="TimesNewRomanPS-ItalicMT"/>
          <w:i/>
          <w:iCs/>
          <w:szCs w:val="24"/>
          <w:lang w:val="fr-CH"/>
        </w:rPr>
        <w:t>exploitation des stations placées sur des plates-formes à haute altitude pour le large bande</w:t>
      </w:r>
    </w:p>
    <w:p w:rsidR="009A1673" w:rsidRPr="009A1673" w:rsidRDefault="009A1673" w:rsidP="009A1673">
      <w:pPr>
        <w:pBdr>
          <w:bottom w:val="single" w:sz="12" w:space="1" w:color="auto"/>
        </w:pBdr>
        <w:tabs>
          <w:tab w:val="left" w:pos="794"/>
          <w:tab w:val="left" w:pos="1191"/>
          <w:tab w:val="left" w:pos="1588"/>
          <w:tab w:val="left" w:pos="1985"/>
        </w:tabs>
        <w:rPr>
          <w:color w:val="000000"/>
          <w:szCs w:val="24"/>
          <w:lang w:val="fr-CH"/>
        </w:rPr>
      </w:pPr>
    </w:p>
    <w:p w:rsidR="009A1673" w:rsidRDefault="009A1673" w:rsidP="009A1673">
      <w:pPr>
        <w:rPr>
          <w:lang w:val="fr-CH"/>
        </w:rPr>
      </w:pPr>
      <w:r w:rsidRPr="00215544">
        <w:rPr>
          <w:b/>
          <w:bCs/>
          <w:i/>
          <w:iCs/>
          <w:lang w:val="fr-CH"/>
        </w:rPr>
        <w:t>Contexte/motif</w:t>
      </w:r>
      <w:r w:rsidRPr="00215544">
        <w:rPr>
          <w:b/>
          <w:i/>
          <w:iCs/>
          <w:color w:val="000000"/>
          <w:lang w:val="fr-CH"/>
        </w:rPr>
        <w:t>:</w:t>
      </w:r>
      <w:r w:rsidRPr="00215544">
        <w:rPr>
          <w:lang w:val="fr-CH"/>
        </w:rPr>
        <w:t xml:space="preserve"> </w:t>
      </w:r>
    </w:p>
    <w:p w:rsidR="009A1673" w:rsidRPr="009A1673" w:rsidRDefault="009A1673" w:rsidP="009A1673">
      <w:pPr>
        <w:rPr>
          <w:b/>
          <w:bCs/>
          <w:i/>
          <w:iCs/>
          <w:szCs w:val="24"/>
          <w:lang w:val="fr-CH"/>
        </w:rPr>
      </w:pPr>
      <w:r w:rsidRPr="00215544">
        <w:rPr>
          <w:lang w:val="fr-CH"/>
        </w:rPr>
        <w:t xml:space="preserve">Des tests effectués </w:t>
      </w:r>
      <w:r>
        <w:rPr>
          <w:lang w:val="fr-CH"/>
        </w:rPr>
        <w:t>en vue du</w:t>
      </w:r>
      <w:r w:rsidRPr="00215544">
        <w:rPr>
          <w:lang w:val="fr-CH"/>
        </w:rPr>
        <w:t xml:space="preserve"> déploiement de systèmes large bande </w:t>
      </w:r>
      <w:r>
        <w:rPr>
          <w:lang w:val="fr-CH"/>
        </w:rPr>
        <w:t>au moyen de</w:t>
      </w:r>
      <w:r w:rsidRPr="00215544">
        <w:rPr>
          <w:lang w:val="fr-CH"/>
        </w:rPr>
        <w:t xml:space="preserve"> stations fonctionnant à environ 20 km d</w:t>
      </w:r>
      <w:r>
        <w:rPr>
          <w:lang w:val="fr-CH"/>
        </w:rPr>
        <w:t>'</w:t>
      </w:r>
      <w:r w:rsidRPr="00215544">
        <w:rPr>
          <w:lang w:val="fr-CH"/>
        </w:rPr>
        <w:t>altitude dans la stratosphère ont démontré qu</w:t>
      </w:r>
      <w:r>
        <w:rPr>
          <w:lang w:val="fr-CH"/>
        </w:rPr>
        <w:t>'</w:t>
      </w:r>
      <w:r w:rsidRPr="00215544">
        <w:rPr>
          <w:lang w:val="fr-CH"/>
        </w:rPr>
        <w:t>il était possible de fournir une connectivité au</w:t>
      </w:r>
      <w:r>
        <w:rPr>
          <w:lang w:val="fr-CH"/>
        </w:rPr>
        <w:t>x</w:t>
      </w:r>
      <w:r w:rsidRPr="00215544">
        <w:rPr>
          <w:lang w:val="fr-CH"/>
        </w:rPr>
        <w:t xml:space="preserve"> communautés mal desservies </w:t>
      </w:r>
      <w:r>
        <w:rPr>
          <w:color w:val="000000"/>
        </w:rPr>
        <w:t>avec une infrastructure</w:t>
      </w:r>
      <w:r w:rsidRPr="00215544">
        <w:rPr>
          <w:lang w:val="fr-CH"/>
        </w:rPr>
        <w:t xml:space="preserve"> </w:t>
      </w:r>
      <w:r>
        <w:rPr>
          <w:color w:val="000000"/>
        </w:rPr>
        <w:t xml:space="preserve">au sol </w:t>
      </w:r>
      <w:r w:rsidRPr="00215544">
        <w:rPr>
          <w:lang w:val="fr-CH"/>
        </w:rPr>
        <w:t>et une maintenance</w:t>
      </w:r>
      <w:r>
        <w:rPr>
          <w:color w:val="000000"/>
        </w:rPr>
        <w:t xml:space="preserve"> minimes. Les stations fonctionnant à 20 km d'altitude évoluent à une altitude suffisamment élevée pour desservir des zones étendues</w:t>
      </w:r>
      <w:r w:rsidRPr="00215544">
        <w:rPr>
          <w:lang w:val="fr-CH"/>
        </w:rPr>
        <w:t>, mais</w:t>
      </w:r>
      <w:r>
        <w:rPr>
          <w:lang w:val="fr-CH"/>
        </w:rPr>
        <w:t xml:space="preserve"> à une altitude</w:t>
      </w:r>
      <w:r w:rsidRPr="00215544">
        <w:rPr>
          <w:lang w:val="fr-CH"/>
        </w:rPr>
        <w:t xml:space="preserve"> suffisamment basse pour </w:t>
      </w:r>
      <w:r>
        <w:rPr>
          <w:color w:val="000000"/>
        </w:rPr>
        <w:t>assurer une couverture dense</w:t>
      </w:r>
      <w:r w:rsidRPr="00215544">
        <w:rPr>
          <w:lang w:val="fr-CH"/>
        </w:rPr>
        <w:t xml:space="preserve"> avec un faible temps de latence. En conséquence, ces stations pourraient offrir des services de haute qualité aux communautés mal desservies à un coût raisonnable. En outre, ces stations sont très résistantes en cas de catastrophe naturelle et pourraient donc devenir un outil efficace lors des opérations de rétablissement après </w:t>
      </w:r>
      <w:r>
        <w:rPr>
          <w:color w:val="000000"/>
        </w:rPr>
        <w:t xml:space="preserve">une catastrophe. </w:t>
      </w:r>
      <w:r w:rsidRPr="00215544">
        <w:rPr>
          <w:lang w:val="fr-CH"/>
        </w:rPr>
        <w:t>Depuis 1997, la demande de services large bande a considérablement augmenté. Il est nécessaire de procéder à des études pour veiller à ce que les bandes actuellement identifiées par l</w:t>
      </w:r>
      <w:r>
        <w:rPr>
          <w:lang w:val="fr-CH"/>
        </w:rPr>
        <w:t>'</w:t>
      </w:r>
      <w:r w:rsidRPr="00215544">
        <w:rPr>
          <w:lang w:val="fr-CH"/>
        </w:rPr>
        <w:t>UIT-R pour les stations HAPS soient en nombre suffisant pour permettre l</w:t>
      </w:r>
      <w:r>
        <w:rPr>
          <w:lang w:val="fr-CH"/>
        </w:rPr>
        <w:t>'</w:t>
      </w:r>
      <w:r w:rsidRPr="00215544">
        <w:rPr>
          <w:lang w:val="fr-CH"/>
        </w:rPr>
        <w:t>utilisation des technologies large bande de la génération actuelle sur des stations HAPS et, éventuellement, pour identifier des gammes de fréquences additionnelles</w:t>
      </w:r>
      <w:r w:rsidRPr="009A1673">
        <w:t>.</w:t>
      </w:r>
    </w:p>
    <w:p w:rsidR="009A1673" w:rsidRPr="009A1673" w:rsidRDefault="009A1673" w:rsidP="009A1673">
      <w:pPr>
        <w:pBdr>
          <w:bottom w:val="single" w:sz="12" w:space="1" w:color="auto"/>
        </w:pBdr>
        <w:tabs>
          <w:tab w:val="left" w:pos="794"/>
          <w:tab w:val="left" w:pos="1191"/>
          <w:tab w:val="left" w:pos="1588"/>
          <w:tab w:val="left" w:pos="1985"/>
        </w:tabs>
        <w:rPr>
          <w:color w:val="000000"/>
          <w:szCs w:val="24"/>
          <w:lang w:val="fr-CH"/>
        </w:rPr>
      </w:pPr>
    </w:p>
    <w:p w:rsidR="009661B2" w:rsidRPr="00B949D9" w:rsidRDefault="009661B2" w:rsidP="009661B2">
      <w:pPr>
        <w:rPr>
          <w:rFonts w:ascii="TimesNewRomanPSMT" w:hAnsi="TimesNewRomanPSMT" w:cs="TimesNewRomanPSMT"/>
          <w:szCs w:val="24"/>
        </w:rPr>
      </w:pPr>
      <w:r w:rsidRPr="0014454C">
        <w:rPr>
          <w:b/>
          <w:bCs/>
          <w:i/>
          <w:iCs/>
          <w:lang w:val="fr-CH"/>
        </w:rPr>
        <w:t>Services de radiocommunication concernés</w:t>
      </w:r>
      <w:r w:rsidRPr="00714540">
        <w:rPr>
          <w:b/>
          <w:i/>
        </w:rPr>
        <w:t>:</w:t>
      </w:r>
      <w:r w:rsidRPr="00B949D9">
        <w:rPr>
          <w:rFonts w:ascii="TimesNewRomanPSMT" w:hAnsi="TimesNewRomanPSMT" w:cs="TimesNewRomanPSMT"/>
          <w:szCs w:val="24"/>
        </w:rPr>
        <w:t xml:space="preserve"> </w:t>
      </w:r>
      <w:r>
        <w:t>Amateur, a</w:t>
      </w:r>
      <w:r w:rsidRPr="00A216BA">
        <w:t>mateur</w:t>
      </w:r>
      <w:r>
        <w:t xml:space="preserve"> par </w:t>
      </w:r>
      <w:r w:rsidRPr="00A216BA">
        <w:t>satellite,</w:t>
      </w:r>
      <w:r>
        <w:t xml:space="preserve"> radiodiffusion par satellite, exploration de la Terre par satellite, fixe, fixe par satellite, inter-satellites, météorologie par satellite, mobile, mobile par satellite, radioastronomie, radiolocalisation, radiolocalisation par satellite, radionavigation, radionavigation par satellite, recherche spatiale, </w:t>
      </w:r>
      <w:r>
        <w:rPr>
          <w:color w:val="000000"/>
        </w:rPr>
        <w:t>fréquences étalon et signaux horaires par satellite.</w:t>
      </w:r>
    </w:p>
    <w:p w:rsidR="009A1673" w:rsidRPr="005E4B77" w:rsidRDefault="009A1673" w:rsidP="009A1673">
      <w:pPr>
        <w:pBdr>
          <w:bottom w:val="single" w:sz="12" w:space="1" w:color="auto"/>
        </w:pBdr>
        <w:tabs>
          <w:tab w:val="left" w:pos="794"/>
          <w:tab w:val="left" w:pos="1191"/>
          <w:tab w:val="left" w:pos="1588"/>
          <w:tab w:val="left" w:pos="1985"/>
        </w:tabs>
        <w:rPr>
          <w:color w:val="000000"/>
          <w:szCs w:val="24"/>
          <w:lang w:val="fr-CH"/>
        </w:rPr>
      </w:pPr>
    </w:p>
    <w:p w:rsidR="009661B2" w:rsidRPr="00A216BA" w:rsidRDefault="009661B2" w:rsidP="009661B2">
      <w:r w:rsidRPr="0014454C">
        <w:rPr>
          <w:b/>
          <w:bCs/>
          <w:i/>
          <w:iCs/>
          <w:lang w:val="fr-CH"/>
        </w:rPr>
        <w:t>Indication des difficultés éventuelles</w:t>
      </w:r>
      <w:r w:rsidRPr="0014454C">
        <w:rPr>
          <w:b/>
          <w:bCs/>
          <w:i/>
          <w:iCs/>
        </w:rPr>
        <w:t>:</w:t>
      </w:r>
      <w:r w:rsidRPr="00B949D9">
        <w:rPr>
          <w:rFonts w:ascii="TimesNewRomanPSMT" w:hAnsi="TimesNewRomanPSMT" w:cs="TimesNewRomanPSMT"/>
          <w:szCs w:val="24"/>
        </w:rPr>
        <w:t xml:space="preserve"> </w:t>
      </w:r>
      <w:r>
        <w:rPr>
          <w:rFonts w:ascii="TimesNewRomanPSMT" w:hAnsi="TimesNewRomanPSMT" w:cs="TimesNewRomanPSMT"/>
          <w:szCs w:val="24"/>
        </w:rPr>
        <w:t>Aucune difficulté n'est prévue.</w:t>
      </w:r>
    </w:p>
    <w:p w:rsidR="009A1673" w:rsidRPr="009661B2" w:rsidRDefault="009A1673" w:rsidP="009A1673">
      <w:pPr>
        <w:pBdr>
          <w:bottom w:val="single" w:sz="12" w:space="1" w:color="auto"/>
        </w:pBdr>
        <w:tabs>
          <w:tab w:val="left" w:pos="794"/>
          <w:tab w:val="left" w:pos="1191"/>
          <w:tab w:val="left" w:pos="1588"/>
          <w:tab w:val="left" w:pos="1985"/>
        </w:tabs>
        <w:rPr>
          <w:color w:val="000000"/>
          <w:szCs w:val="24"/>
          <w:lang w:val="fr-CH"/>
        </w:rPr>
      </w:pPr>
    </w:p>
    <w:p w:rsidR="009661B2" w:rsidRPr="000A6C48" w:rsidRDefault="009661B2" w:rsidP="009661B2">
      <w:pPr>
        <w:rPr>
          <w:rFonts w:ascii="TimesNewRomanPSMT" w:hAnsi="TimesNewRomanPSMT" w:cs="TimesNewRomanPSMT"/>
          <w:szCs w:val="24"/>
          <w:lang w:val="fr-CH"/>
        </w:rPr>
      </w:pPr>
      <w:r w:rsidRPr="003A2ED4">
        <w:rPr>
          <w:b/>
          <w:bCs/>
          <w:i/>
          <w:iCs/>
          <w:lang w:val="fr-CH"/>
        </w:rPr>
        <w:t>Etudes précédentes ou en cours sur la question</w:t>
      </w:r>
      <w:r w:rsidRPr="003A2ED4">
        <w:rPr>
          <w:b/>
          <w:bCs/>
          <w:i/>
          <w:iCs/>
        </w:rPr>
        <w:t>:</w:t>
      </w:r>
      <w:r>
        <w:rPr>
          <w:rFonts w:ascii="TimesNewRomanPSMT" w:hAnsi="TimesNewRomanPSMT" w:cs="TimesNewRomanPSMT"/>
          <w:szCs w:val="24"/>
        </w:rPr>
        <w:t xml:space="preserve"> Recommandations </w:t>
      </w:r>
      <w:r>
        <w:rPr>
          <w:rFonts w:ascii="TimesNewRomanPSMT" w:hAnsi="TimesNewRomanPSMT" w:cs="TimesNewRomanPSMT"/>
          <w:szCs w:val="24"/>
          <w:lang w:val="fr-CH"/>
        </w:rPr>
        <w:t>UIT</w:t>
      </w:r>
      <w:r w:rsidRPr="000A6C48">
        <w:rPr>
          <w:rFonts w:ascii="TimesNewRomanPSMT" w:hAnsi="TimesNewRomanPSMT" w:cs="TimesNewRomanPSMT"/>
          <w:szCs w:val="24"/>
          <w:lang w:val="fr-CH"/>
        </w:rPr>
        <w:t>-R F.1569,</w:t>
      </w:r>
      <w:r>
        <w:rPr>
          <w:rFonts w:ascii="TimesNewRomanPSMT" w:hAnsi="TimesNewRomanPSMT" w:cs="TimesNewRomanPSMT"/>
          <w:szCs w:val="24"/>
          <w:lang w:val="fr-CH"/>
        </w:rPr>
        <w:t xml:space="preserve"> F.1570, F.1607, F.1609, F.1612.</w:t>
      </w:r>
    </w:p>
    <w:p w:rsidR="009661B2" w:rsidRPr="00215544" w:rsidRDefault="009661B2" w:rsidP="009661B2">
      <w:pPr>
        <w:rPr>
          <w:rFonts w:ascii="TimesNewRomanPSMT" w:hAnsi="TimesNewRomanPSMT" w:cs="TimesNewRomanPSMT"/>
          <w:szCs w:val="24"/>
          <w:lang w:val="fr-CH"/>
        </w:rPr>
      </w:pPr>
      <w:r>
        <w:rPr>
          <w:rFonts w:ascii="TimesNewRomanPSMT" w:hAnsi="TimesNewRomanPSMT" w:cs="TimesNewRomanPSMT"/>
          <w:szCs w:val="24"/>
        </w:rPr>
        <w:lastRenderedPageBreak/>
        <w:t>Les Recommandations</w:t>
      </w:r>
      <w:r w:rsidRPr="00215544">
        <w:rPr>
          <w:rFonts w:ascii="TimesNewRomanPSMT" w:hAnsi="TimesNewRomanPSMT" w:cs="TimesNewRomanPSMT"/>
          <w:szCs w:val="24"/>
          <w:lang w:val="fr-CH"/>
        </w:rPr>
        <w:t xml:space="preserve"> UIT-R F.1764, F.1891 et F.2011 traitent des besoins et des études concernant la fourniture de stations HAPS fonctionnant dans le service fixe</w:t>
      </w:r>
      <w:r>
        <w:rPr>
          <w:rFonts w:ascii="TimesNewRomanPSMT" w:hAnsi="TimesNewRomanPSMT" w:cs="TimesNewRomanPSMT"/>
          <w:szCs w:val="24"/>
          <w:lang w:val="fr-CH"/>
        </w:rPr>
        <w:t>.</w:t>
      </w:r>
      <w:r>
        <w:rPr>
          <w:rFonts w:ascii="TimesNewRomanPSMT" w:hAnsi="TimesNewRomanPSMT" w:cs="TimesNewRomanPSMT"/>
          <w:szCs w:val="24"/>
        </w:rPr>
        <w:t xml:space="preserve"> Les Recommandations</w:t>
      </w:r>
      <w:r w:rsidRPr="00215544">
        <w:rPr>
          <w:rFonts w:ascii="TimesNewRomanPSMT" w:hAnsi="TimesNewRomanPSMT" w:cs="TimesNewRomanPSMT"/>
          <w:szCs w:val="24"/>
          <w:lang w:val="fr-CH"/>
        </w:rPr>
        <w:t xml:space="preserve"> UIT-R M.1456 et M.1641 traitent des besoins et des études concernant la fourniture de services mobiles au moyen de stations HAPS utilisant certaines bandes au voisinage de 1</w:t>
      </w:r>
      <w:r>
        <w:rPr>
          <w:rFonts w:ascii="TimesNewRomanPSMT" w:hAnsi="TimesNewRomanPSMT" w:cs="TimesNewRomanPSMT"/>
          <w:szCs w:val="24"/>
          <w:lang w:val="fr-CH"/>
        </w:rPr>
        <w:t>,</w:t>
      </w:r>
      <w:r w:rsidRPr="00215544">
        <w:rPr>
          <w:rFonts w:ascii="TimesNewRomanPSMT" w:hAnsi="TimesNewRomanPSMT" w:cs="TimesNewRomanPSMT"/>
          <w:szCs w:val="24"/>
          <w:lang w:val="fr-CH"/>
        </w:rPr>
        <w:t>9/2</w:t>
      </w:r>
      <w:r>
        <w:rPr>
          <w:rFonts w:ascii="TimesNewRomanPSMT" w:hAnsi="TimesNewRomanPSMT" w:cs="TimesNewRomanPSMT"/>
          <w:szCs w:val="24"/>
          <w:lang w:val="fr-CH"/>
        </w:rPr>
        <w:t>,</w:t>
      </w:r>
      <w:r w:rsidRPr="00215544">
        <w:rPr>
          <w:rFonts w:ascii="TimesNewRomanPSMT" w:hAnsi="TimesNewRomanPSMT" w:cs="TimesNewRomanPSMT"/>
          <w:szCs w:val="24"/>
          <w:lang w:val="fr-CH"/>
        </w:rPr>
        <w:t>1 GHz.</w:t>
      </w:r>
    </w:p>
    <w:p w:rsidR="009661B2" w:rsidRPr="00215544" w:rsidRDefault="009661B2" w:rsidP="009661B2">
      <w:pPr>
        <w:rPr>
          <w:rFonts w:ascii="TimesNewRomanPSMT" w:hAnsi="TimesNewRomanPSMT" w:cs="TimesNewRomanPSMT"/>
          <w:szCs w:val="24"/>
          <w:lang w:val="fr-CH"/>
        </w:rPr>
      </w:pPr>
      <w:r>
        <w:rPr>
          <w:rFonts w:ascii="TimesNewRomanPSMT" w:hAnsi="TimesNewRomanPSMT" w:cs="TimesNewRomanPSMT"/>
          <w:szCs w:val="24"/>
        </w:rPr>
        <w:t>Les Recommandations</w:t>
      </w:r>
      <w:r w:rsidRPr="00215544">
        <w:rPr>
          <w:rFonts w:ascii="TimesNewRomanPSMT" w:hAnsi="TimesNewRomanPSMT" w:cs="TimesNewRomanPSMT"/>
          <w:szCs w:val="24"/>
          <w:lang w:val="fr-CH"/>
        </w:rPr>
        <w:t>. UIT-R SF.1601 et SM.1633 contiennent des analyses de propagation, des brouillages, de l</w:t>
      </w:r>
      <w:r>
        <w:rPr>
          <w:rFonts w:ascii="TimesNewRomanPSMT" w:hAnsi="TimesNewRomanPSMT" w:cs="TimesNewRomanPSMT"/>
          <w:szCs w:val="24"/>
          <w:lang w:val="fr-CH"/>
        </w:rPr>
        <w:t>'</w:t>
      </w:r>
      <w:r w:rsidRPr="00215544">
        <w:rPr>
          <w:rFonts w:ascii="TimesNewRomanPSMT" w:hAnsi="TimesNewRomanPSMT" w:cs="TimesNewRomanPSMT"/>
          <w:szCs w:val="24"/>
          <w:lang w:val="fr-CH"/>
        </w:rPr>
        <w:t>atténuation des brouillages, de compatibilité et d</w:t>
      </w:r>
      <w:r>
        <w:rPr>
          <w:rFonts w:ascii="TimesNewRomanPSMT" w:hAnsi="TimesNewRomanPSMT" w:cs="TimesNewRomanPSMT"/>
          <w:szCs w:val="24"/>
          <w:lang w:val="fr-CH"/>
        </w:rPr>
        <w:t>'</w:t>
      </w:r>
      <w:r w:rsidRPr="00215544">
        <w:rPr>
          <w:rFonts w:ascii="TimesNewRomanPSMT" w:hAnsi="TimesNewRomanPSMT" w:cs="TimesNewRomanPSMT"/>
          <w:szCs w:val="24"/>
          <w:lang w:val="fr-CH"/>
        </w:rPr>
        <w:t>autres analyses techniques concernant l</w:t>
      </w:r>
      <w:r>
        <w:rPr>
          <w:rFonts w:ascii="TimesNewRomanPSMT" w:hAnsi="TimesNewRomanPSMT" w:cs="TimesNewRomanPSMT"/>
          <w:szCs w:val="24"/>
          <w:lang w:val="fr-CH"/>
        </w:rPr>
        <w:t>'</w:t>
      </w:r>
      <w:r w:rsidRPr="00215544">
        <w:rPr>
          <w:rFonts w:ascii="TimesNewRomanPSMT" w:hAnsi="TimesNewRomanPSMT" w:cs="TimesNewRomanPSMT"/>
          <w:szCs w:val="24"/>
          <w:lang w:val="fr-CH"/>
        </w:rPr>
        <w:t>exploitation des stations HAPS.</w:t>
      </w:r>
    </w:p>
    <w:p w:rsidR="009A1673" w:rsidRPr="005E4B77" w:rsidRDefault="009A1673" w:rsidP="009A1673">
      <w:pPr>
        <w:pBdr>
          <w:bottom w:val="single" w:sz="12" w:space="1" w:color="auto"/>
        </w:pBdr>
        <w:tabs>
          <w:tab w:val="left" w:pos="794"/>
          <w:tab w:val="left" w:pos="1191"/>
          <w:tab w:val="left" w:pos="1588"/>
          <w:tab w:val="left" w:pos="1985"/>
        </w:tabs>
        <w:rPr>
          <w:color w:val="000000"/>
          <w:szCs w:val="24"/>
          <w:lang w:val="fr-CH"/>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0A0" w:firstRow="1" w:lastRow="0" w:firstColumn="1" w:lastColumn="0" w:noHBand="0" w:noVBand="0"/>
      </w:tblPr>
      <w:tblGrid>
        <w:gridCol w:w="3979"/>
        <w:gridCol w:w="5357"/>
      </w:tblGrid>
      <w:tr w:rsidR="009A1673" w:rsidRPr="009661B2" w:rsidTr="00034966">
        <w:tc>
          <w:tcPr>
            <w:tcW w:w="3979" w:type="dxa"/>
            <w:tcBorders>
              <w:top w:val="nil"/>
              <w:left w:val="nil"/>
            </w:tcBorders>
          </w:tcPr>
          <w:p w:rsidR="009661B2" w:rsidRPr="00A216BA" w:rsidRDefault="009661B2" w:rsidP="009661B2">
            <w:pPr>
              <w:framePr w:hSpace="181" w:wrap="notBeside" w:vAnchor="text" w:hAnchor="text" w:xAlign="center" w:y="1"/>
            </w:pPr>
            <w:proofErr w:type="spellStart"/>
            <w:r w:rsidRPr="0014454C">
              <w:rPr>
                <w:b/>
                <w:bCs/>
                <w:i/>
                <w:iCs/>
                <w:lang w:val="fr-CH"/>
              </w:rPr>
              <w:t>Etudes</w:t>
            </w:r>
            <w:proofErr w:type="spellEnd"/>
            <w:r w:rsidRPr="0014454C">
              <w:rPr>
                <w:b/>
                <w:bCs/>
                <w:i/>
                <w:iCs/>
                <w:lang w:val="fr-CH"/>
              </w:rPr>
              <w:t xml:space="preserve"> devant être réalisées par</w:t>
            </w:r>
            <w:r w:rsidRPr="0014454C">
              <w:rPr>
                <w:b/>
                <w:bCs/>
                <w:i/>
                <w:iCs/>
              </w:rPr>
              <w:t>:</w:t>
            </w:r>
            <w:r w:rsidRPr="00B949D9">
              <w:rPr>
                <w:bCs/>
                <w:iCs/>
                <w:color w:val="000000"/>
                <w:szCs w:val="24"/>
              </w:rPr>
              <w:t xml:space="preserve"> </w:t>
            </w:r>
            <w:r>
              <w:t>Commission 5 de l'UIT-R</w:t>
            </w:r>
            <w:r w:rsidRPr="00A216BA">
              <w:t xml:space="preserve">, </w:t>
            </w:r>
            <w:r>
              <w:t>GT</w:t>
            </w:r>
            <w:r w:rsidRPr="00A216BA">
              <w:t xml:space="preserve"> 5C</w:t>
            </w:r>
          </w:p>
          <w:p w:rsidR="009A1673" w:rsidRPr="008B42AF" w:rsidRDefault="009A1673" w:rsidP="00034966">
            <w:pPr>
              <w:framePr w:hSpace="181" w:wrap="notBeside" w:vAnchor="text" w:hAnchor="text" w:xAlign="center" w:y="1"/>
              <w:tabs>
                <w:tab w:val="left" w:pos="4366"/>
              </w:tabs>
              <w:rPr>
                <w:b/>
                <w:bCs/>
                <w:i/>
                <w:iCs/>
                <w:color w:val="000000"/>
                <w:szCs w:val="24"/>
                <w:lang w:val="fr-CH"/>
              </w:rPr>
            </w:pPr>
          </w:p>
        </w:tc>
        <w:tc>
          <w:tcPr>
            <w:tcW w:w="5357" w:type="dxa"/>
            <w:tcBorders>
              <w:top w:val="nil"/>
              <w:right w:val="nil"/>
            </w:tcBorders>
          </w:tcPr>
          <w:p w:rsidR="009A1673" w:rsidRPr="009661B2" w:rsidRDefault="009661B2" w:rsidP="00E963FE">
            <w:pPr>
              <w:framePr w:hSpace="181" w:wrap="notBeside" w:vAnchor="text" w:hAnchor="text" w:xAlign="center" w:y="1"/>
              <w:tabs>
                <w:tab w:val="left" w:pos="4366"/>
              </w:tabs>
              <w:ind w:firstLine="132"/>
              <w:rPr>
                <w:b/>
                <w:bCs/>
                <w:i/>
                <w:iCs/>
                <w:color w:val="000000"/>
                <w:szCs w:val="24"/>
                <w:lang w:val="fr-CH"/>
              </w:rPr>
            </w:pPr>
            <w:r>
              <w:rPr>
                <w:b/>
                <w:bCs/>
                <w:i/>
                <w:iCs/>
              </w:rPr>
              <w:t>A</w:t>
            </w:r>
            <w:r w:rsidRPr="00504217">
              <w:rPr>
                <w:b/>
                <w:bCs/>
                <w:i/>
                <w:iCs/>
              </w:rPr>
              <w:t>vec la participation de</w:t>
            </w:r>
            <w:r w:rsidRPr="000309DF">
              <w:rPr>
                <w:b/>
                <w:bCs/>
                <w:i/>
                <w:iCs/>
              </w:rPr>
              <w:t>:</w:t>
            </w:r>
            <w:r w:rsidRPr="00B949D9">
              <w:rPr>
                <w:iCs/>
                <w:color w:val="000000"/>
                <w:szCs w:val="24"/>
              </w:rPr>
              <w:t xml:space="preserve"> </w:t>
            </w:r>
            <w:r>
              <w:t>CE</w:t>
            </w:r>
            <w:r w:rsidRPr="00A216BA">
              <w:t xml:space="preserve"> 4 </w:t>
            </w:r>
            <w:r>
              <w:t>et CE</w:t>
            </w:r>
            <w:r w:rsidRPr="00A216BA">
              <w:t xml:space="preserve"> 7</w:t>
            </w:r>
          </w:p>
        </w:tc>
      </w:tr>
    </w:tbl>
    <w:p w:rsidR="009A1673" w:rsidRPr="009661B2" w:rsidRDefault="009661B2" w:rsidP="009661B2">
      <w:pPr>
        <w:rPr>
          <w:rFonts w:ascii="TimesNewRomanPSMT" w:hAnsi="TimesNewRomanPSMT" w:cs="TimesNewRomanPSMT"/>
          <w:szCs w:val="24"/>
          <w:lang w:val="fr-CH"/>
        </w:rPr>
      </w:pPr>
      <w:r w:rsidRPr="0014454C">
        <w:rPr>
          <w:b/>
          <w:bCs/>
          <w:i/>
          <w:iCs/>
          <w:lang w:val="fr-CH"/>
        </w:rPr>
        <w:t>Commissions d'études de l'UIT-R concernées</w:t>
      </w:r>
      <w:r w:rsidRPr="009E4745">
        <w:rPr>
          <w:b/>
          <w:i/>
          <w:color w:val="000000"/>
          <w:lang w:val="fr-CH"/>
        </w:rPr>
        <w:t>:</w:t>
      </w:r>
      <w:r w:rsidR="009A1673" w:rsidRPr="009661B2">
        <w:rPr>
          <w:b/>
          <w:bCs/>
          <w:i/>
          <w:iCs/>
          <w:szCs w:val="24"/>
          <w:lang w:val="fr-CH"/>
        </w:rPr>
        <w:t xml:space="preserve"> </w:t>
      </w:r>
      <w:r w:rsidRPr="009661B2">
        <w:rPr>
          <w:szCs w:val="24"/>
          <w:lang w:val="fr-CH"/>
        </w:rPr>
        <w:t>CE 4, 5, 6 et 7</w:t>
      </w:r>
    </w:p>
    <w:p w:rsidR="009A1673" w:rsidRPr="009661B2" w:rsidRDefault="009A1673" w:rsidP="009A1673">
      <w:pPr>
        <w:pBdr>
          <w:bottom w:val="single" w:sz="12" w:space="1" w:color="auto"/>
        </w:pBdr>
        <w:tabs>
          <w:tab w:val="left" w:pos="794"/>
          <w:tab w:val="left" w:pos="1191"/>
          <w:tab w:val="left" w:pos="1588"/>
          <w:tab w:val="left" w:pos="1985"/>
        </w:tabs>
        <w:rPr>
          <w:color w:val="000000"/>
          <w:szCs w:val="24"/>
          <w:lang w:val="fr-CH"/>
        </w:rPr>
      </w:pPr>
    </w:p>
    <w:p w:rsidR="009661B2" w:rsidRPr="009E4745" w:rsidRDefault="009661B2" w:rsidP="009661B2">
      <w:pPr>
        <w:rPr>
          <w:b/>
          <w:i/>
          <w:lang w:val="fr-CH"/>
        </w:rPr>
      </w:pPr>
      <w:r w:rsidRPr="0014454C">
        <w:rPr>
          <w:b/>
          <w:bCs/>
          <w:i/>
          <w:iCs/>
        </w:rPr>
        <w:t>Répercussions au niveau des ressources de l'UIT, y compris incidences financières</w:t>
      </w:r>
      <w:r w:rsidRPr="0014454C">
        <w:rPr>
          <w:b/>
          <w:bCs/>
          <w:i/>
          <w:iCs/>
        </w:rPr>
        <w:br/>
        <w:t>(voir le numéro 126 de la Convention):</w:t>
      </w:r>
      <w:r w:rsidRPr="00B949D9">
        <w:rPr>
          <w:rFonts w:ascii="TimesNewRomanPSMT" w:hAnsi="TimesNewRomanPSMT" w:cs="TimesNewRomanPSMT"/>
          <w:szCs w:val="24"/>
        </w:rPr>
        <w:t xml:space="preserve"> </w:t>
      </w:r>
      <w:r w:rsidRPr="00A216BA">
        <w:t>Minim</w:t>
      </w:r>
      <w:r>
        <w:t>es</w:t>
      </w:r>
    </w:p>
    <w:p w:rsidR="009A1673" w:rsidRPr="005E4B77" w:rsidRDefault="009A1673" w:rsidP="009A1673">
      <w:pPr>
        <w:pBdr>
          <w:bottom w:val="single" w:sz="12" w:space="1" w:color="auto"/>
        </w:pBdr>
        <w:tabs>
          <w:tab w:val="left" w:pos="794"/>
          <w:tab w:val="left" w:pos="1191"/>
          <w:tab w:val="left" w:pos="1588"/>
          <w:tab w:val="left" w:pos="1985"/>
        </w:tabs>
        <w:rPr>
          <w:color w:val="000000"/>
          <w:szCs w:val="24"/>
          <w:lang w:val="fr-CH"/>
        </w:rPr>
      </w:pPr>
    </w:p>
    <w:p w:rsidR="009661B2" w:rsidRPr="009E4745" w:rsidRDefault="009661B2" w:rsidP="008B42AF">
      <w:pPr>
        <w:tabs>
          <w:tab w:val="left" w:pos="4678"/>
        </w:tabs>
        <w:rPr>
          <w:b/>
          <w:iCs/>
          <w:lang w:val="fr-CH"/>
        </w:rPr>
      </w:pPr>
      <w:r w:rsidRPr="00695ABE">
        <w:rPr>
          <w:b/>
          <w:bCs/>
          <w:i/>
          <w:iCs/>
        </w:rPr>
        <w:t>Proposition régionale commune:</w:t>
      </w:r>
      <w:r w:rsidRPr="009217A6">
        <w:rPr>
          <w:b/>
          <w:bCs/>
        </w:rPr>
        <w:t xml:space="preserve"> </w:t>
      </w:r>
      <w:r w:rsidRPr="009217A6">
        <w:t>Oui/Non</w:t>
      </w:r>
      <w:r w:rsidR="009A1673" w:rsidRPr="009661B2">
        <w:rPr>
          <w:rFonts w:ascii="TimesNewRomanPSMT" w:hAnsi="TimesNewRomanPSMT" w:cs="TimesNewRomanPSMT"/>
          <w:szCs w:val="24"/>
          <w:lang w:val="fr-CH"/>
        </w:rPr>
        <w:tab/>
      </w:r>
      <w:r w:rsidRPr="00695ABE">
        <w:rPr>
          <w:b/>
          <w:bCs/>
          <w:i/>
          <w:iCs/>
        </w:rPr>
        <w:t>Proposition soumise par plusieurs pays:</w:t>
      </w:r>
      <w:r w:rsidRPr="009217A6">
        <w:rPr>
          <w:b/>
          <w:bCs/>
        </w:rPr>
        <w:t xml:space="preserve"> </w:t>
      </w:r>
      <w:r w:rsidRPr="009217A6">
        <w:t>Oui/Non</w:t>
      </w:r>
    </w:p>
    <w:p w:rsidR="009A1673" w:rsidRPr="009661B2" w:rsidRDefault="009661B2" w:rsidP="009661B2">
      <w:pPr>
        <w:tabs>
          <w:tab w:val="clear" w:pos="1134"/>
          <w:tab w:val="left" w:pos="1276"/>
        </w:tabs>
        <w:rPr>
          <w:b/>
          <w:i/>
          <w:lang w:val="es-ES_tradnl"/>
        </w:rPr>
      </w:pPr>
      <w:r w:rsidRPr="005E4B77">
        <w:rPr>
          <w:b/>
          <w:bCs/>
          <w:i/>
          <w:iCs/>
          <w:lang w:val="fr-CH"/>
        </w:rPr>
        <w:tab/>
      </w:r>
      <w:r w:rsidRPr="009661B2">
        <w:rPr>
          <w:b/>
          <w:bCs/>
          <w:i/>
          <w:iCs/>
          <w:lang w:val="es-ES_tradnl"/>
        </w:rPr>
        <w:t xml:space="preserve">Nombre de </w:t>
      </w:r>
      <w:proofErr w:type="spellStart"/>
      <w:r w:rsidRPr="009661B2">
        <w:rPr>
          <w:b/>
          <w:bCs/>
          <w:i/>
          <w:iCs/>
          <w:lang w:val="es-ES_tradnl"/>
        </w:rPr>
        <w:t>pays</w:t>
      </w:r>
      <w:proofErr w:type="spellEnd"/>
      <w:r w:rsidRPr="009661B2">
        <w:rPr>
          <w:b/>
          <w:bCs/>
          <w:i/>
          <w:iCs/>
          <w:lang w:val="es-ES_tradnl"/>
        </w:rPr>
        <w:t>:</w:t>
      </w:r>
    </w:p>
    <w:p w:rsidR="009A1673" w:rsidRPr="009661B2" w:rsidRDefault="009A1673" w:rsidP="009A1673">
      <w:pPr>
        <w:pBdr>
          <w:bottom w:val="single" w:sz="12" w:space="1" w:color="auto"/>
        </w:pBdr>
        <w:tabs>
          <w:tab w:val="left" w:pos="794"/>
          <w:tab w:val="left" w:pos="1191"/>
          <w:tab w:val="left" w:pos="1588"/>
          <w:tab w:val="left" w:pos="1985"/>
        </w:tabs>
        <w:rPr>
          <w:color w:val="000000"/>
          <w:szCs w:val="24"/>
          <w:lang w:val="es-ES_tradnl"/>
        </w:rPr>
      </w:pPr>
    </w:p>
    <w:p w:rsidR="00B67CB2" w:rsidRPr="009661B2" w:rsidRDefault="009661B2" w:rsidP="009661B2">
      <w:pPr>
        <w:rPr>
          <w:b/>
          <w:i/>
        </w:rPr>
      </w:pPr>
      <w:r w:rsidRPr="003A2ED4">
        <w:rPr>
          <w:b/>
          <w:bCs/>
          <w:i/>
          <w:iCs/>
        </w:rPr>
        <w:t>Observations</w:t>
      </w:r>
    </w:p>
    <w:p w:rsidR="008C6A3C" w:rsidRDefault="008C6A3C" w:rsidP="0032202E">
      <w:pPr>
        <w:pStyle w:val="Reasons"/>
      </w:pPr>
    </w:p>
    <w:p w:rsidR="009661B2" w:rsidRDefault="009661B2" w:rsidP="0032202E">
      <w:pPr>
        <w:pStyle w:val="Reasons"/>
      </w:pPr>
    </w:p>
    <w:p w:rsidR="009661B2" w:rsidRDefault="009661B2" w:rsidP="0032202E">
      <w:pPr>
        <w:pStyle w:val="Reasons"/>
      </w:pPr>
    </w:p>
    <w:p w:rsidR="008C6A3C" w:rsidRDefault="008C6A3C">
      <w:pPr>
        <w:jc w:val="center"/>
      </w:pPr>
      <w:r>
        <w:t>______________</w:t>
      </w:r>
    </w:p>
    <w:p w:rsidR="00A216BA" w:rsidRDefault="00A216BA" w:rsidP="008C6A3C">
      <w:pPr>
        <w:jc w:val="center"/>
      </w:pPr>
    </w:p>
    <w:sectPr w:rsidR="00A216BA">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062" w:rsidRDefault="00892062">
      <w:r>
        <w:separator/>
      </w:r>
    </w:p>
  </w:endnote>
  <w:endnote w:type="continuationSeparator" w:id="0">
    <w:p w:rsidR="00892062" w:rsidRDefault="0089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62" w:rsidRDefault="00892062">
    <w:pPr>
      <w:rPr>
        <w:lang w:val="en-US"/>
      </w:rPr>
    </w:pPr>
    <w:r>
      <w:fldChar w:fldCharType="begin"/>
    </w:r>
    <w:r>
      <w:rPr>
        <w:lang w:val="en-US"/>
      </w:rPr>
      <w:instrText xml:space="preserve"> FILENAME \p  \* MERGEFORMAT </w:instrText>
    </w:r>
    <w:r>
      <w:fldChar w:fldCharType="separate"/>
    </w:r>
    <w:r w:rsidR="00E40572">
      <w:rPr>
        <w:noProof/>
        <w:lang w:val="en-US"/>
      </w:rPr>
      <w:t>P:\FRA\ITU-R\CONF-R\CMR15\000\007ADD24ADD06F.docx</w:t>
    </w:r>
    <w:r>
      <w:fldChar w:fldCharType="end"/>
    </w:r>
    <w:r>
      <w:rPr>
        <w:lang w:val="en-US"/>
      </w:rPr>
      <w:tab/>
    </w:r>
    <w:r>
      <w:fldChar w:fldCharType="begin"/>
    </w:r>
    <w:r>
      <w:instrText xml:space="preserve"> SAVEDATE \@ DD.MM.YY </w:instrText>
    </w:r>
    <w:r>
      <w:fldChar w:fldCharType="separate"/>
    </w:r>
    <w:r w:rsidR="00E40572">
      <w:rPr>
        <w:noProof/>
      </w:rPr>
      <w:t>22.10.15</w:t>
    </w:r>
    <w:r>
      <w:fldChar w:fldCharType="end"/>
    </w:r>
    <w:r>
      <w:rPr>
        <w:lang w:val="en-US"/>
      </w:rPr>
      <w:tab/>
    </w:r>
    <w:r>
      <w:fldChar w:fldCharType="begin"/>
    </w:r>
    <w:r>
      <w:instrText xml:space="preserve"> PRINTDATE \@ DD.MM.YY </w:instrText>
    </w:r>
    <w:r>
      <w:fldChar w:fldCharType="separate"/>
    </w:r>
    <w:r w:rsidR="00E40572">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62" w:rsidRPr="00BD2806" w:rsidRDefault="00892062" w:rsidP="00BD2806">
    <w:pPr>
      <w:pStyle w:val="Footer"/>
    </w:pPr>
    <w:r>
      <w:fldChar w:fldCharType="begin"/>
    </w:r>
    <w:r>
      <w:rPr>
        <w:lang w:val="en-US"/>
      </w:rPr>
      <w:instrText xml:space="preserve"> FILENAME \p  \* MERGEFORMAT </w:instrText>
    </w:r>
    <w:r>
      <w:fldChar w:fldCharType="separate"/>
    </w:r>
    <w:r w:rsidR="00E40572">
      <w:rPr>
        <w:lang w:val="en-US"/>
      </w:rPr>
      <w:t>P:\FRA\ITU-R\CONF-R\CMR15\000\007ADD24ADD06F.docx</w:t>
    </w:r>
    <w:r>
      <w:fldChar w:fldCharType="end"/>
    </w:r>
    <w:r>
      <w:t xml:space="preserve"> (387567)</w:t>
    </w:r>
    <w:r w:rsidR="00BD2806">
      <w:tab/>
    </w:r>
    <w:r>
      <w:fldChar w:fldCharType="begin"/>
    </w:r>
    <w:r>
      <w:instrText xml:space="preserve"> SAVEDATE \@ DD.MM.YY </w:instrText>
    </w:r>
    <w:r>
      <w:fldChar w:fldCharType="separate"/>
    </w:r>
    <w:r w:rsidR="00E40572">
      <w:t>22.10.15</w:t>
    </w:r>
    <w:r>
      <w:fldChar w:fldCharType="end"/>
    </w:r>
    <w:r>
      <w:rPr>
        <w:lang w:val="en-US"/>
      </w:rPr>
      <w:tab/>
    </w:r>
    <w:r>
      <w:fldChar w:fldCharType="begin"/>
    </w:r>
    <w:r>
      <w:instrText xml:space="preserve"> PRINTDATE \@ DD.MM.YY </w:instrText>
    </w:r>
    <w:r>
      <w:fldChar w:fldCharType="separate"/>
    </w:r>
    <w:r w:rsidR="00E40572">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62" w:rsidRDefault="00892062">
    <w:pPr>
      <w:pStyle w:val="Footer"/>
    </w:pPr>
    <w:r>
      <w:fldChar w:fldCharType="begin"/>
    </w:r>
    <w:r>
      <w:rPr>
        <w:lang w:val="en-US"/>
      </w:rPr>
      <w:instrText xml:space="preserve"> FILENAME \p  \* MERGEFORMAT </w:instrText>
    </w:r>
    <w:r>
      <w:fldChar w:fldCharType="separate"/>
    </w:r>
    <w:r w:rsidR="00E40572">
      <w:rPr>
        <w:lang w:val="en-US"/>
      </w:rPr>
      <w:t>P:\FRA\ITU-R\CONF-R\CMR15\000\007ADD24ADD06F.docx</w:t>
    </w:r>
    <w:r>
      <w:fldChar w:fldCharType="end"/>
    </w:r>
    <w:r>
      <w:t xml:space="preserve"> (387567)</w:t>
    </w:r>
  </w:p>
  <w:p w:rsidR="00892062" w:rsidRDefault="00892062">
    <w:pPr>
      <w:pStyle w:val="Footer"/>
      <w:rPr>
        <w:lang w:val="en-US"/>
      </w:rPr>
    </w:pPr>
    <w:r>
      <w:rPr>
        <w:lang w:val="en-US"/>
      </w:rPr>
      <w:tab/>
    </w:r>
    <w:r>
      <w:fldChar w:fldCharType="begin"/>
    </w:r>
    <w:r>
      <w:instrText xml:space="preserve"> SAVEDATE \@ DD.MM.YY </w:instrText>
    </w:r>
    <w:r>
      <w:fldChar w:fldCharType="separate"/>
    </w:r>
    <w:r w:rsidR="00E40572">
      <w:t>22.10.15</w:t>
    </w:r>
    <w:r>
      <w:fldChar w:fldCharType="end"/>
    </w:r>
    <w:r>
      <w:rPr>
        <w:lang w:val="en-US"/>
      </w:rPr>
      <w:tab/>
    </w:r>
    <w:r>
      <w:fldChar w:fldCharType="begin"/>
    </w:r>
    <w:r>
      <w:instrText xml:space="preserve"> PRINTDATE \@ DD.MM.YY </w:instrText>
    </w:r>
    <w:r>
      <w:fldChar w:fldCharType="separate"/>
    </w:r>
    <w:r w:rsidR="00E40572">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062" w:rsidRDefault="00892062">
      <w:r>
        <w:rPr>
          <w:b/>
        </w:rPr>
        <w:t>_______________</w:t>
      </w:r>
    </w:p>
  </w:footnote>
  <w:footnote w:type="continuationSeparator" w:id="0">
    <w:p w:rsidR="00892062" w:rsidRDefault="00892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62" w:rsidRDefault="00892062" w:rsidP="004F1F8E">
    <w:pPr>
      <w:pStyle w:val="Header"/>
    </w:pPr>
    <w:r>
      <w:fldChar w:fldCharType="begin"/>
    </w:r>
    <w:r>
      <w:instrText xml:space="preserve"> PAGE </w:instrText>
    </w:r>
    <w:r>
      <w:fldChar w:fldCharType="separate"/>
    </w:r>
    <w:r w:rsidR="00E40572">
      <w:rPr>
        <w:noProof/>
      </w:rPr>
      <w:t>8</w:t>
    </w:r>
    <w:r>
      <w:fldChar w:fldCharType="end"/>
    </w:r>
  </w:p>
  <w:p w:rsidR="00892062" w:rsidRDefault="00892062" w:rsidP="002C28A4">
    <w:pPr>
      <w:pStyle w:val="Header"/>
    </w:pPr>
    <w:r>
      <w:t>CMR15/7(Add.24)(Add.6)-</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4237E64-9CE5-4EB1-B8CE-FF183667230F}"/>
    <w:docVar w:name="dgnword-eventsink" w:val="219090704"/>
  </w:docVars>
  <w:rsids>
    <w:rsidRoot w:val="00BB1D82"/>
    <w:rsid w:val="00007EC7"/>
    <w:rsid w:val="00010B43"/>
    <w:rsid w:val="00016648"/>
    <w:rsid w:val="000309DF"/>
    <w:rsid w:val="0003522F"/>
    <w:rsid w:val="00046A8B"/>
    <w:rsid w:val="00080E2C"/>
    <w:rsid w:val="00091673"/>
    <w:rsid w:val="000A4755"/>
    <w:rsid w:val="000B2E0C"/>
    <w:rsid w:val="000B3D0C"/>
    <w:rsid w:val="000D70FA"/>
    <w:rsid w:val="001167B9"/>
    <w:rsid w:val="001267A0"/>
    <w:rsid w:val="0015203F"/>
    <w:rsid w:val="00160C64"/>
    <w:rsid w:val="0018169B"/>
    <w:rsid w:val="0019352B"/>
    <w:rsid w:val="001960D0"/>
    <w:rsid w:val="001F060A"/>
    <w:rsid w:val="001F17E8"/>
    <w:rsid w:val="00204306"/>
    <w:rsid w:val="00215544"/>
    <w:rsid w:val="00232FD2"/>
    <w:rsid w:val="00236A9B"/>
    <w:rsid w:val="0026554E"/>
    <w:rsid w:val="00271B12"/>
    <w:rsid w:val="002A4622"/>
    <w:rsid w:val="002A6F8F"/>
    <w:rsid w:val="002B17E5"/>
    <w:rsid w:val="002C0EBF"/>
    <w:rsid w:val="002C28A4"/>
    <w:rsid w:val="002D39F4"/>
    <w:rsid w:val="002F475E"/>
    <w:rsid w:val="00315AFE"/>
    <w:rsid w:val="00317C69"/>
    <w:rsid w:val="0032701B"/>
    <w:rsid w:val="00331725"/>
    <w:rsid w:val="00333669"/>
    <w:rsid w:val="0033709C"/>
    <w:rsid w:val="003606A6"/>
    <w:rsid w:val="0036650C"/>
    <w:rsid w:val="00393ACD"/>
    <w:rsid w:val="003A583E"/>
    <w:rsid w:val="003B0BD8"/>
    <w:rsid w:val="003E112B"/>
    <w:rsid w:val="003E1D1C"/>
    <w:rsid w:val="003E7B05"/>
    <w:rsid w:val="003F26AB"/>
    <w:rsid w:val="00422615"/>
    <w:rsid w:val="00466211"/>
    <w:rsid w:val="004834A9"/>
    <w:rsid w:val="004D01FC"/>
    <w:rsid w:val="004E28C3"/>
    <w:rsid w:val="004F1F8E"/>
    <w:rsid w:val="004F2366"/>
    <w:rsid w:val="00512A32"/>
    <w:rsid w:val="00520F0C"/>
    <w:rsid w:val="00534E46"/>
    <w:rsid w:val="0057601C"/>
    <w:rsid w:val="00586CF2"/>
    <w:rsid w:val="005B025D"/>
    <w:rsid w:val="005C3768"/>
    <w:rsid w:val="005C6C3F"/>
    <w:rsid w:val="005E4B77"/>
    <w:rsid w:val="0060434D"/>
    <w:rsid w:val="00613635"/>
    <w:rsid w:val="0062093D"/>
    <w:rsid w:val="00637ECF"/>
    <w:rsid w:val="00647B59"/>
    <w:rsid w:val="00664381"/>
    <w:rsid w:val="0066749D"/>
    <w:rsid w:val="00690C7B"/>
    <w:rsid w:val="006A2D54"/>
    <w:rsid w:val="006A4B45"/>
    <w:rsid w:val="006D4724"/>
    <w:rsid w:val="00701BAE"/>
    <w:rsid w:val="00721F04"/>
    <w:rsid w:val="00730E95"/>
    <w:rsid w:val="007426B9"/>
    <w:rsid w:val="00764342"/>
    <w:rsid w:val="00774362"/>
    <w:rsid w:val="00784BFA"/>
    <w:rsid w:val="00786598"/>
    <w:rsid w:val="007A04E8"/>
    <w:rsid w:val="00815A88"/>
    <w:rsid w:val="00851625"/>
    <w:rsid w:val="00856E71"/>
    <w:rsid w:val="00863C0A"/>
    <w:rsid w:val="00876FFA"/>
    <w:rsid w:val="00892062"/>
    <w:rsid w:val="008A3120"/>
    <w:rsid w:val="008A3563"/>
    <w:rsid w:val="008A5AD1"/>
    <w:rsid w:val="008B42AF"/>
    <w:rsid w:val="008C6A3C"/>
    <w:rsid w:val="008D1FD5"/>
    <w:rsid w:val="008D2F76"/>
    <w:rsid w:val="008D41BE"/>
    <w:rsid w:val="008D58D3"/>
    <w:rsid w:val="00923064"/>
    <w:rsid w:val="00926F64"/>
    <w:rsid w:val="00930FFD"/>
    <w:rsid w:val="00936D25"/>
    <w:rsid w:val="00941EA5"/>
    <w:rsid w:val="00964700"/>
    <w:rsid w:val="009661B2"/>
    <w:rsid w:val="00966C16"/>
    <w:rsid w:val="00983864"/>
    <w:rsid w:val="0098732F"/>
    <w:rsid w:val="00990E1F"/>
    <w:rsid w:val="009A045F"/>
    <w:rsid w:val="009A1673"/>
    <w:rsid w:val="009C7E7C"/>
    <w:rsid w:val="009D21D0"/>
    <w:rsid w:val="009D591C"/>
    <w:rsid w:val="00A00473"/>
    <w:rsid w:val="00A01747"/>
    <w:rsid w:val="00A03C9B"/>
    <w:rsid w:val="00A216BA"/>
    <w:rsid w:val="00A27071"/>
    <w:rsid w:val="00A37105"/>
    <w:rsid w:val="00A46FD4"/>
    <w:rsid w:val="00A606C3"/>
    <w:rsid w:val="00A83B09"/>
    <w:rsid w:val="00A84541"/>
    <w:rsid w:val="00A9296D"/>
    <w:rsid w:val="00AE36A0"/>
    <w:rsid w:val="00AF129D"/>
    <w:rsid w:val="00B00294"/>
    <w:rsid w:val="00B64FD0"/>
    <w:rsid w:val="00B67CB2"/>
    <w:rsid w:val="00B86554"/>
    <w:rsid w:val="00B91158"/>
    <w:rsid w:val="00BA5BD0"/>
    <w:rsid w:val="00BB1D82"/>
    <w:rsid w:val="00BD2806"/>
    <w:rsid w:val="00BE0533"/>
    <w:rsid w:val="00BF26E7"/>
    <w:rsid w:val="00BF78D1"/>
    <w:rsid w:val="00C53FCA"/>
    <w:rsid w:val="00C6725C"/>
    <w:rsid w:val="00C76BAF"/>
    <w:rsid w:val="00C8146A"/>
    <w:rsid w:val="00C814B9"/>
    <w:rsid w:val="00CB3C00"/>
    <w:rsid w:val="00CC286E"/>
    <w:rsid w:val="00CD1F8C"/>
    <w:rsid w:val="00CD516F"/>
    <w:rsid w:val="00D119A7"/>
    <w:rsid w:val="00D22361"/>
    <w:rsid w:val="00D25FBA"/>
    <w:rsid w:val="00D32B28"/>
    <w:rsid w:val="00D42954"/>
    <w:rsid w:val="00D66EAC"/>
    <w:rsid w:val="00D730DF"/>
    <w:rsid w:val="00D772F0"/>
    <w:rsid w:val="00D77829"/>
    <w:rsid w:val="00D77BDC"/>
    <w:rsid w:val="00DC402B"/>
    <w:rsid w:val="00DD1EFB"/>
    <w:rsid w:val="00DE0932"/>
    <w:rsid w:val="00DF234F"/>
    <w:rsid w:val="00E03A27"/>
    <w:rsid w:val="00E049F1"/>
    <w:rsid w:val="00E1560F"/>
    <w:rsid w:val="00E37A25"/>
    <w:rsid w:val="00E40572"/>
    <w:rsid w:val="00E466D7"/>
    <w:rsid w:val="00E537FF"/>
    <w:rsid w:val="00E6539B"/>
    <w:rsid w:val="00E703B0"/>
    <w:rsid w:val="00E70A31"/>
    <w:rsid w:val="00E963FE"/>
    <w:rsid w:val="00EA3F38"/>
    <w:rsid w:val="00EA5AB6"/>
    <w:rsid w:val="00EC7615"/>
    <w:rsid w:val="00ED16AA"/>
    <w:rsid w:val="00ED6447"/>
    <w:rsid w:val="00EF662E"/>
    <w:rsid w:val="00F07CB0"/>
    <w:rsid w:val="00F148F1"/>
    <w:rsid w:val="00F22E04"/>
    <w:rsid w:val="00F344DB"/>
    <w:rsid w:val="00F8610F"/>
    <w:rsid w:val="00FA3BBF"/>
    <w:rsid w:val="00FC41F8"/>
    <w:rsid w:val="00FF1C40"/>
    <w:rsid w:val="00FF7E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1BADBD8-4DA8-489C-B36F-900A531A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paragraph" w:customStyle="1" w:styleId="VolumeTitle0">
    <w:name w:val="VolumeTitle"/>
    <w:basedOn w:val="Normal"/>
    <w:next w:val="Normal"/>
    <w:rsid w:val="00552AF6"/>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paragraph" w:customStyle="1" w:styleId="Normalaftertitle0">
    <w:name w:val="Normal_after_title"/>
    <w:basedOn w:val="Normal"/>
    <w:next w:val="Normal"/>
    <w:link w:val="NormalaftertitleChar0"/>
    <w:rsid w:val="008D2F76"/>
    <w:pPr>
      <w:tabs>
        <w:tab w:val="clear" w:pos="1134"/>
        <w:tab w:val="clear" w:pos="1871"/>
        <w:tab w:val="clear" w:pos="2268"/>
        <w:tab w:val="left" w:pos="794"/>
        <w:tab w:val="left" w:pos="1191"/>
        <w:tab w:val="left" w:pos="1588"/>
        <w:tab w:val="left" w:pos="1985"/>
      </w:tabs>
      <w:spacing w:before="360"/>
      <w:jc w:val="both"/>
    </w:pPr>
    <w:rPr>
      <w:rFonts w:eastAsia="MS Mincho"/>
      <w:lang w:val="en-GB"/>
    </w:rPr>
  </w:style>
  <w:style w:type="paragraph" w:customStyle="1" w:styleId="ResTitle0">
    <w:name w:val="Res_Title"/>
    <w:basedOn w:val="Rectitle"/>
    <w:next w:val="Normal"/>
    <w:rsid w:val="008D2F76"/>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ascii="Times New Roman" w:hAnsi="Times New Roman"/>
      <w:lang w:val="en-GB"/>
    </w:rPr>
  </w:style>
  <w:style w:type="character" w:customStyle="1" w:styleId="NormalaftertitleChar0">
    <w:name w:val="Normal_after_title Char"/>
    <w:basedOn w:val="DefaultParagraphFont"/>
    <w:link w:val="Normalaftertitle0"/>
    <w:locked/>
    <w:rsid w:val="008D2F76"/>
    <w:rPr>
      <w:rFonts w:ascii="Times New Roman" w:eastAsia="MS Mincho" w:hAnsi="Times New Roman"/>
      <w:sz w:val="24"/>
      <w:lang w:val="en-GB" w:eastAsia="en-US"/>
    </w:rPr>
  </w:style>
  <w:style w:type="character" w:customStyle="1" w:styleId="NormalaftertitleChar">
    <w:name w:val="Normal after title Char"/>
    <w:link w:val="Normalaftertitle"/>
    <w:rsid w:val="008D2F76"/>
    <w:rPr>
      <w:rFonts w:ascii="Times New Roman" w:hAnsi="Times New Roman"/>
      <w:sz w:val="24"/>
      <w:lang w:val="fr-FR" w:eastAsia="en-US"/>
    </w:rPr>
  </w:style>
  <w:style w:type="character" w:customStyle="1" w:styleId="CallChar">
    <w:name w:val="Call Char"/>
    <w:link w:val="Call"/>
    <w:locked/>
    <w:rsid w:val="008D2F76"/>
    <w:rPr>
      <w:rFonts w:ascii="Times New Roman" w:hAnsi="Times New Roman"/>
      <w:i/>
      <w:sz w:val="24"/>
      <w:lang w:val="fr-FR" w:eastAsia="en-US"/>
    </w:rPr>
  </w:style>
  <w:style w:type="character" w:customStyle="1" w:styleId="RestitleChar">
    <w:name w:val="Res_title Char"/>
    <w:link w:val="Restitle"/>
    <w:rsid w:val="008D2F76"/>
    <w:rPr>
      <w:rFonts w:ascii="Times New Roman Bold" w:hAnsi="Times New Roman Bold"/>
      <w:b/>
      <w:sz w:val="28"/>
      <w:lang w:val="fr-FR" w:eastAsia="en-US"/>
    </w:rPr>
  </w:style>
  <w:style w:type="character" w:customStyle="1" w:styleId="enumlev1Char">
    <w:name w:val="enumlev1 Char"/>
    <w:link w:val="enumlev1"/>
    <w:locked/>
    <w:rsid w:val="00B67CB2"/>
    <w:rPr>
      <w:rFonts w:ascii="Times New Roman" w:hAnsi="Times New Roman"/>
      <w:sz w:val="24"/>
      <w:lang w:val="fr-FR" w:eastAsia="en-US"/>
    </w:rPr>
  </w:style>
  <w:style w:type="character" w:customStyle="1" w:styleId="AnnexNoCar">
    <w:name w:val="Annex_No Car"/>
    <w:basedOn w:val="DefaultParagraphFont"/>
    <w:link w:val="AnnexNo"/>
    <w:rsid w:val="00B67CB2"/>
    <w:rPr>
      <w:rFonts w:ascii="Times New Roman" w:hAnsi="Times New Roman"/>
      <w:caps/>
      <w:sz w:val="28"/>
      <w:lang w:val="fr-FR" w:eastAsia="en-US"/>
    </w:rPr>
  </w:style>
  <w:style w:type="character" w:customStyle="1" w:styleId="HeadingbChar">
    <w:name w:val="Heading_b Char"/>
    <w:basedOn w:val="DefaultParagraphFont"/>
    <w:link w:val="Headingb"/>
    <w:locked/>
    <w:rsid w:val="00B67CB2"/>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R15-WRC15-C-0007!A24-A6!MSW-F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FA9CE-447F-4E88-AE51-EDF344E6F433}">
  <ds:schemaRefs>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996b2e75-67fd-4955-a3b0-5ab9934cb50b"/>
    <ds:schemaRef ds:uri="http://www.w3.org/XML/1998/namespace"/>
    <ds:schemaRef ds:uri="http://schemas.microsoft.com/office/2006/documentManagement/types"/>
    <ds:schemaRef ds:uri="32a1a8c5-2265-4ebc-b7a0-2071e2c5c9bb"/>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Pages>
  <Words>3165</Words>
  <Characters>18207</Characters>
  <Application>Microsoft Office Word</Application>
  <DocSecurity>0</DocSecurity>
  <Lines>315</Lines>
  <Paragraphs>109</Paragraphs>
  <ScaleCrop>false</ScaleCrop>
  <HeadingPairs>
    <vt:vector size="2" baseType="variant">
      <vt:variant>
        <vt:lpstr>Title</vt:lpstr>
      </vt:variant>
      <vt:variant>
        <vt:i4>1</vt:i4>
      </vt:variant>
    </vt:vector>
  </HeadingPairs>
  <TitlesOfParts>
    <vt:vector size="1" baseType="lpstr">
      <vt:lpstr>R15-WRC15-C-0007!A24-A6!MSW-F</vt:lpstr>
    </vt:vector>
  </TitlesOfParts>
  <Manager>Secrétariat général - Pool</Manager>
  <Company>Union internationale des télécommunications (UIT)</Company>
  <LinksUpToDate>false</LinksUpToDate>
  <CharactersWithSpaces>21268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R15-WRC15-C-0007!A24-A6!MSW-F</dc:title>
  <dc:subject>Conférence mondiale des radiocommunications - 2015</dc:subject>
  <dc:creator>Documents Proposals Manager (DPM)</dc:creator>
  <cp:keywords>DPM_v5.2015.9.16_prod</cp:keywords>
  <dc:description/>
  <cp:lastModifiedBy>Germain, Catherine</cp:lastModifiedBy>
  <cp:revision>48</cp:revision>
  <cp:lastPrinted>2015-10-22T10:41:00Z</cp:lastPrinted>
  <dcterms:created xsi:type="dcterms:W3CDTF">2015-10-16T17:38:00Z</dcterms:created>
  <dcterms:modified xsi:type="dcterms:W3CDTF">2015-10-22T10:41:00Z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