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2F3EE1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2F3EE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BE3ED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E3ED2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4 au</w:t>
            </w:r>
            <w:r w:rsidRPr="00BE3ED2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7(Add.24)</w:t>
            </w:r>
            <w:r w:rsidR="00BB1D82" w:rsidRPr="00BE3ED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BE3ED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BE3ED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2F3EE1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2F3EE1">
        <w:trPr>
          <w:cantSplit/>
        </w:trPr>
        <w:tc>
          <w:tcPr>
            <w:tcW w:w="10031" w:type="dxa"/>
            <w:gridSpan w:val="2"/>
          </w:tcPr>
          <w:p w:rsidR="00690C7B" w:rsidRPr="00BE3ED2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BE3ED2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2A6F8F" w:rsidTr="002F3EE1">
        <w:trPr>
          <w:cantSplit/>
        </w:trPr>
        <w:tc>
          <w:tcPr>
            <w:tcW w:w="10031" w:type="dxa"/>
            <w:gridSpan w:val="2"/>
          </w:tcPr>
          <w:p w:rsidR="00690C7B" w:rsidRPr="00BE3ED2" w:rsidRDefault="00690C7B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BE3ED2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2F3EE1">
        <w:trPr>
          <w:cantSplit/>
        </w:trPr>
        <w:tc>
          <w:tcPr>
            <w:tcW w:w="10031" w:type="dxa"/>
            <w:gridSpan w:val="2"/>
          </w:tcPr>
          <w:p w:rsidR="00690C7B" w:rsidRPr="00BE3ED2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2F3EE1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10 de l'ordre du jour</w:t>
            </w:r>
          </w:p>
        </w:tc>
      </w:tr>
    </w:tbl>
    <w:bookmarkEnd w:id="6"/>
    <w:p w:rsidR="002F3EE1" w:rsidRPr="000F2DBF" w:rsidRDefault="00B61707" w:rsidP="008F5E80">
      <w:pPr>
        <w:rPr>
          <w:lang w:val="fr-CA"/>
        </w:rPr>
      </w:pPr>
      <w:r w:rsidRPr="000F2DBF">
        <w:rPr>
          <w:lang w:val="fr-CA"/>
        </w:rPr>
        <w:t>10</w:t>
      </w:r>
      <w:r w:rsidRPr="000F2DBF">
        <w:rPr>
          <w:lang w:val="fr-CA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</w:t>
      </w:r>
      <w:r w:rsidR="00AB70E2">
        <w:rPr>
          <w:lang w:val="fr-CA"/>
        </w:rPr>
        <w:t xml:space="preserve">onformément à l'article 7 de la </w:t>
      </w:r>
      <w:r w:rsidRPr="000F2DBF">
        <w:rPr>
          <w:lang w:val="fr-CA"/>
        </w:rPr>
        <w:t>Convention,</w:t>
      </w:r>
    </w:p>
    <w:p w:rsidR="00BE3ED2" w:rsidRDefault="00BE3ED2" w:rsidP="008F5E80">
      <w:pPr>
        <w:pStyle w:val="Headingb"/>
      </w:pPr>
      <w:r>
        <w:t>Considérations générales</w:t>
      </w:r>
    </w:p>
    <w:p w:rsidR="00BE3ED2" w:rsidRDefault="00DA0D4E" w:rsidP="008F5E80">
      <w:r>
        <w:t xml:space="preserve">L'Appendice 30 </w:t>
      </w:r>
      <w:r w:rsidR="00105750">
        <w:t>expos</w:t>
      </w:r>
      <w:r w:rsidR="00142817">
        <w:t>e</w:t>
      </w:r>
      <w:r>
        <w:t xml:space="preserve"> les dispositions </w:t>
      </w:r>
      <w:r w:rsidR="00F82E8C">
        <w:t>applicables</w:t>
      </w:r>
      <w:r w:rsidR="00162C69">
        <w:t xml:space="preserve"> à l'utilisation des</w:t>
      </w:r>
      <w:r>
        <w:t xml:space="preserve"> Plan</w:t>
      </w:r>
      <w:r w:rsidR="00162C69">
        <w:t>s</w:t>
      </w:r>
      <w:r>
        <w:t xml:space="preserve"> </w:t>
      </w:r>
      <w:r w:rsidR="00105750">
        <w:t xml:space="preserve">pour le service de radiodiffusion par satellite (SRS) </w:t>
      </w:r>
      <w:r w:rsidR="00906DE0">
        <w:t xml:space="preserve">et de la Liste </w:t>
      </w:r>
      <w:r w:rsidR="00F82E8C">
        <w:t>relative</w:t>
      </w:r>
      <w:r w:rsidR="00F33257">
        <w:t xml:space="preserve"> aux</w:t>
      </w:r>
      <w:r w:rsidR="00906DE0">
        <w:t xml:space="preserve"> Régions 1 et 3</w:t>
      </w:r>
      <w:r w:rsidR="00105750">
        <w:t xml:space="preserve"> pour ce même service</w:t>
      </w:r>
      <w:r>
        <w:t>, ainsi qu'à la modification du Plan (dans le cas de la Région 2) ou de la Liste (dans le cas des Régions 1 et 3).</w:t>
      </w:r>
      <w:r w:rsidR="001B5FB2">
        <w:t xml:space="preserve"> Il s'agit d'un Appendice autonome</w:t>
      </w:r>
      <w:r w:rsidR="00C54686">
        <w:t xml:space="preserve">, qui prévoit des dispositions </w:t>
      </w:r>
      <w:r w:rsidR="00F82E8C">
        <w:t>applicables</w:t>
      </w:r>
      <w:r w:rsidR="00C54686">
        <w:t xml:space="preserve"> à la modification du Plan ou de la Liste (Article 4), à la notification d</w:t>
      </w:r>
      <w:r w:rsidR="00CB20EE">
        <w:t>'</w:t>
      </w:r>
      <w:r w:rsidR="00C54686">
        <w:t xml:space="preserve">assignations de fréquence </w:t>
      </w:r>
      <w:r w:rsidR="00CB20EE">
        <w:t>du</w:t>
      </w:r>
      <w:r w:rsidR="00C54686">
        <w:t xml:space="preserve"> Plan ou </w:t>
      </w:r>
      <w:r w:rsidR="00CB20EE">
        <w:t>de</w:t>
      </w:r>
      <w:r w:rsidR="00C54686">
        <w:t xml:space="preserve"> la Liste et à la coordination d</w:t>
      </w:r>
      <w:r w:rsidR="00906DE0">
        <w:t xml:space="preserve">es </w:t>
      </w:r>
      <w:r w:rsidR="00C54686">
        <w:t xml:space="preserve">autres services </w:t>
      </w:r>
      <w:r w:rsidR="00CD152D">
        <w:t xml:space="preserve">dans les bandes de fréquences concernées </w:t>
      </w:r>
      <w:r w:rsidR="00CB20EE">
        <w:t xml:space="preserve">vis-à-vis du Plan ou de la Liste </w:t>
      </w:r>
      <w:r w:rsidR="00906DE0">
        <w:t>(Article</w:t>
      </w:r>
      <w:r w:rsidR="00277A78">
        <w:t>s</w:t>
      </w:r>
      <w:r w:rsidR="00906DE0">
        <w:t xml:space="preserve"> 6 et 7)</w:t>
      </w:r>
      <w:r w:rsidR="00C54686">
        <w:t>.</w:t>
      </w:r>
    </w:p>
    <w:p w:rsidR="00906DE0" w:rsidRDefault="00906DE0" w:rsidP="00AB70E2">
      <w:r>
        <w:t xml:space="preserve">L'Appendice 30 </w:t>
      </w:r>
      <w:r w:rsidR="00CD152D">
        <w:t>expose</w:t>
      </w:r>
      <w:r>
        <w:t xml:space="preserve"> </w:t>
      </w:r>
      <w:r w:rsidR="00142817">
        <w:t>en outre d</w:t>
      </w:r>
      <w:r>
        <w:t xml:space="preserve">es critères détaillés </w:t>
      </w:r>
      <w:r w:rsidR="00142817">
        <w:t xml:space="preserve">pour le partage entre le Plan ou la Liste et les autres services. </w:t>
      </w:r>
      <w:r w:rsidR="00862638">
        <w:t>Précisément</w:t>
      </w:r>
      <w:r w:rsidR="00CD152D">
        <w:t>, l</w:t>
      </w:r>
      <w:r w:rsidR="00142817">
        <w:t>'Annexe 1 de l'Appendice 30 décrit les critères à appliquer pour déterminer si un service d'une administration est affecté par un projet de modification du Plan pour la Région 2 ou par un projet d'assignation nouvelle ou modifiée dans la Liste pour les Régions</w:t>
      </w:r>
      <w:r w:rsidR="00AB70E2">
        <w:t xml:space="preserve"> </w:t>
      </w:r>
      <w:r w:rsidR="00862638">
        <w:t>1 et</w:t>
      </w:r>
      <w:r w:rsidR="00AB70E2">
        <w:t> </w:t>
      </w:r>
      <w:r w:rsidR="00142817">
        <w:t>3; l'Annexe 4 de l'Appendice 30 décrit les critères à appliquer pour déterminer s'il est nécessaire de coordonner le service fixe par satellite (SFS) (ou le SRS lorsque ce service n'est pas assujetti à un Plan) avec les assignations qui figurent dans le</w:t>
      </w:r>
      <w:r w:rsidR="0095672D">
        <w:t>s</w:t>
      </w:r>
      <w:r w:rsidR="00142817">
        <w:t xml:space="preserve"> Plan</w:t>
      </w:r>
      <w:r w:rsidR="0095672D">
        <w:t>s</w:t>
      </w:r>
      <w:r w:rsidR="00142817">
        <w:t>; enfin, l'Annexe 7 de l'Appendice</w:t>
      </w:r>
      <w:r w:rsidR="00CD152D">
        <w:t> </w:t>
      </w:r>
      <w:r w:rsidR="00142817">
        <w:t xml:space="preserve">30 </w:t>
      </w:r>
      <w:r w:rsidR="00E3309D">
        <w:t xml:space="preserve">décrit les </w:t>
      </w:r>
      <w:r w:rsidR="00CD152D">
        <w:t xml:space="preserve">restrictions relatives aux positions orbitales </w:t>
      </w:r>
      <w:r w:rsidR="0095672D">
        <w:t xml:space="preserve">à observer </w:t>
      </w:r>
      <w:r w:rsidR="005A5FEB">
        <w:t>lors des</w:t>
      </w:r>
      <w:r w:rsidR="00F33257">
        <w:t xml:space="preserve"> </w:t>
      </w:r>
      <w:r w:rsidR="009453C9">
        <w:t>modifications du</w:t>
      </w:r>
      <w:r w:rsidR="00E3309D">
        <w:t xml:space="preserve"> Plan ou </w:t>
      </w:r>
      <w:r w:rsidR="009453C9">
        <w:t xml:space="preserve">de </w:t>
      </w:r>
      <w:r w:rsidR="00E3309D">
        <w:t>la Liste pour le</w:t>
      </w:r>
      <w:r w:rsidR="00AB70E2">
        <w:t xml:space="preserve"> </w:t>
      </w:r>
      <w:r w:rsidR="00E3309D">
        <w:t>SRS.</w:t>
      </w:r>
    </w:p>
    <w:p w:rsidR="00E3309D" w:rsidRDefault="001349D8" w:rsidP="008F5E80">
      <w:r>
        <w:t>Les fréquences de la bande Ku ne sont pas harmonisées à l'échelle mondiale</w:t>
      </w:r>
      <w:r w:rsidR="005E2FA5">
        <w:t>.</w:t>
      </w:r>
      <w:r>
        <w:t xml:space="preserve"> </w:t>
      </w:r>
      <w:r w:rsidR="005E2FA5">
        <w:t>P</w:t>
      </w:r>
      <w:r>
        <w:t xml:space="preserve">ar exemple, la </w:t>
      </w:r>
      <w:r w:rsidR="00AA4F01">
        <w:t>bande</w:t>
      </w:r>
      <w:r>
        <w:t xml:space="preserve"> 11,7-12,2 GHz est attribuée au SRS dans la Région 1 et au SFS dans la Région</w:t>
      </w:r>
      <w:r w:rsidR="009453C9">
        <w:t xml:space="preserve"> </w:t>
      </w:r>
      <w:r>
        <w:t xml:space="preserve">2, la </w:t>
      </w:r>
      <w:r w:rsidR="00AA4F01">
        <w:t>bande</w:t>
      </w:r>
      <w:r>
        <w:t xml:space="preserve"> 12,5</w:t>
      </w:r>
      <w:r w:rsidR="00AA4F01">
        <w:noBreakHyphen/>
      </w:r>
      <w:r>
        <w:t>12,7 GHz est attribuée au SFS dans la Région 1 et au SRS dans la Région</w:t>
      </w:r>
      <w:r w:rsidR="009453C9">
        <w:t xml:space="preserve"> </w:t>
      </w:r>
      <w:r>
        <w:t xml:space="preserve">2, et la </w:t>
      </w:r>
      <w:r w:rsidR="00AA4F01">
        <w:t>bande</w:t>
      </w:r>
      <w:r>
        <w:t xml:space="preserve"> 12,2</w:t>
      </w:r>
      <w:r w:rsidR="005E2FA5">
        <w:noBreakHyphen/>
      </w:r>
      <w:r>
        <w:t xml:space="preserve">12,5 GHz est attribuée au SRS dans les Régions 1 et 2. Les </w:t>
      </w:r>
      <w:r w:rsidR="00CD152D">
        <w:t xml:space="preserve">restrictions relatives aux positions orbitales </w:t>
      </w:r>
      <w:r w:rsidR="0095672D">
        <w:t xml:space="preserve">à observer </w:t>
      </w:r>
      <w:r w:rsidR="005A5FEB">
        <w:t>lors des</w:t>
      </w:r>
      <w:r w:rsidR="00F33257">
        <w:t xml:space="preserve"> </w:t>
      </w:r>
      <w:r>
        <w:t>modifi</w:t>
      </w:r>
      <w:r w:rsidR="004637AF">
        <w:t>cations</w:t>
      </w:r>
      <w:r>
        <w:t xml:space="preserve"> </w:t>
      </w:r>
      <w:r w:rsidR="00AA4F01">
        <w:t>du</w:t>
      </w:r>
      <w:r>
        <w:t xml:space="preserve"> Plan ou </w:t>
      </w:r>
      <w:r w:rsidR="004637AF">
        <w:t xml:space="preserve">de </w:t>
      </w:r>
      <w:r>
        <w:t xml:space="preserve">la Liste </w:t>
      </w:r>
      <w:r w:rsidR="00AA4F01">
        <w:t xml:space="preserve">pour le SRS </w:t>
      </w:r>
      <w:r>
        <w:t xml:space="preserve">décrites dans </w:t>
      </w:r>
      <w:r>
        <w:lastRenderedPageBreak/>
        <w:t>l'Annexe</w:t>
      </w:r>
      <w:r w:rsidR="00AA4F01">
        <w:t> </w:t>
      </w:r>
      <w:r>
        <w:t>7</w:t>
      </w:r>
      <w:r w:rsidR="005E2FA5">
        <w:t xml:space="preserve"> ont été </w:t>
      </w:r>
      <w:r w:rsidR="00AA4F01">
        <w:t>établi</w:t>
      </w:r>
      <w:r w:rsidR="005E2FA5">
        <w:t xml:space="preserve">es afin de faciliter le partage entre le SRS et le SFS dans la partie de l'arc orbital </w:t>
      </w:r>
      <w:r w:rsidR="00032CCC">
        <w:t xml:space="preserve">utilisée en partage </w:t>
      </w:r>
      <w:r w:rsidR="005E2FA5">
        <w:t>entre les Régions 1 et 2</w:t>
      </w:r>
      <w:r w:rsidR="004637AF">
        <w:t xml:space="preserve"> et s'appliquent</w:t>
      </w:r>
      <w:r w:rsidR="005E2FA5">
        <w:t xml:space="preserve"> </w:t>
      </w:r>
      <w:r w:rsidR="004637AF">
        <w:t>spécifiquement</w:t>
      </w:r>
      <w:r w:rsidR="005E2FA5">
        <w:t xml:space="preserve"> au SRS dans la </w:t>
      </w:r>
      <w:r w:rsidR="00277A78">
        <w:t>bande</w:t>
      </w:r>
      <w:r w:rsidR="005E2FA5">
        <w:t xml:space="preserve"> </w:t>
      </w:r>
      <w:r w:rsidR="00032CCC">
        <w:t>12,2</w:t>
      </w:r>
      <w:r w:rsidR="00032CCC">
        <w:noBreakHyphen/>
        <w:t>12,7 </w:t>
      </w:r>
      <w:r w:rsidR="005E2FA5">
        <w:t>GHz dans la Région</w:t>
      </w:r>
      <w:r w:rsidR="004637AF">
        <w:t> </w:t>
      </w:r>
      <w:r w:rsidR="005E2FA5">
        <w:t xml:space="preserve">2 et au SRS dans la </w:t>
      </w:r>
      <w:r w:rsidR="00277A78">
        <w:t>bande</w:t>
      </w:r>
      <w:r w:rsidR="005E2FA5">
        <w:t xml:space="preserve"> 11,7-12,2 GHz dans la Région 1.</w:t>
      </w:r>
    </w:p>
    <w:p w:rsidR="00A31B84" w:rsidRDefault="00A31B84" w:rsidP="008F5E80">
      <w:r>
        <w:t xml:space="preserve">Les restrictions </w:t>
      </w:r>
      <w:r w:rsidR="00A920A6">
        <w:t>relatives aux positions orbitales</w:t>
      </w:r>
      <w:r>
        <w:t xml:space="preserve"> </w:t>
      </w:r>
      <w:r w:rsidR="00A920A6">
        <w:t>décrites</w:t>
      </w:r>
      <w:r>
        <w:t xml:space="preserve"> dans l'Annexe 7 ont </w:t>
      </w:r>
      <w:r w:rsidR="007374D3">
        <w:t>été maintenues à la CMR-2000 (</w:t>
      </w:r>
      <w:r w:rsidR="00AA4F01">
        <w:t xml:space="preserve">dernière </w:t>
      </w:r>
      <w:r w:rsidR="007374D3">
        <w:t>conférence</w:t>
      </w:r>
      <w:r>
        <w:t xml:space="preserve"> de planification du SRS </w:t>
      </w:r>
      <w:r w:rsidR="00AA4F01">
        <w:t>en date</w:t>
      </w:r>
      <w:r w:rsidR="00053A35">
        <w:t>, qui concernait</w:t>
      </w:r>
      <w:r>
        <w:t xml:space="preserve"> les Régions 1 et</w:t>
      </w:r>
      <w:r w:rsidR="00277A78">
        <w:t xml:space="preserve"> </w:t>
      </w:r>
      <w:r>
        <w:t xml:space="preserve">3), </w:t>
      </w:r>
      <w:r w:rsidR="00AA4F01">
        <w:t>en raison de la possibilité,</w:t>
      </w:r>
      <w:r>
        <w:t xml:space="preserve"> lors d'une conférence de planification, </w:t>
      </w:r>
      <w:r w:rsidR="00AA4F01">
        <w:t xml:space="preserve">d'adopter </w:t>
      </w:r>
      <w:r>
        <w:t xml:space="preserve">de nombreux nouveaux créneaux pour le SRS à la fois, </w:t>
      </w:r>
      <w:r w:rsidR="00AA4F01">
        <w:t>au risque de limiter considérablement</w:t>
      </w:r>
      <w:r>
        <w:t xml:space="preserve"> l'accès </w:t>
      </w:r>
      <w:r w:rsidR="005A5FEB">
        <w:t xml:space="preserve">ultérieur </w:t>
      </w:r>
      <w:r>
        <w:t>du SFS à la partie de l'arc orbital utilisé</w:t>
      </w:r>
      <w:r w:rsidR="00E77772">
        <w:t>e</w:t>
      </w:r>
      <w:r>
        <w:t xml:space="preserve"> en partage. Certains des critères de l'Annexe 1 et de l'Annexe 4 de l'Appendice</w:t>
      </w:r>
      <w:r w:rsidR="00B534D0">
        <w:t> </w:t>
      </w:r>
      <w:r>
        <w:t>30 on</w:t>
      </w:r>
      <w:r w:rsidR="009B5971">
        <w:t>t été mis à jour lors de la CMR</w:t>
      </w:r>
      <w:r w:rsidR="009B5971">
        <w:noBreakHyphen/>
      </w:r>
      <w:r>
        <w:t xml:space="preserve">03. Depuis, une grande expérience a été acquise </w:t>
      </w:r>
      <w:r w:rsidR="005A5FEB">
        <w:t>en ce qui concerne</w:t>
      </w:r>
      <w:r w:rsidR="00E77772">
        <w:t xml:space="preserve"> l'utilisation</w:t>
      </w:r>
      <w:r>
        <w:t xml:space="preserve"> </w:t>
      </w:r>
      <w:r w:rsidR="00E77772">
        <w:t>d</w:t>
      </w:r>
      <w:r>
        <w:t xml:space="preserve">es Plans et </w:t>
      </w:r>
      <w:r w:rsidR="00E77772">
        <w:t>d</w:t>
      </w:r>
      <w:r>
        <w:t>es critères des Annexes 1 et 4 de l'Appendice</w:t>
      </w:r>
      <w:r w:rsidR="00E77772">
        <w:t xml:space="preserve"> 30, et l'o</w:t>
      </w:r>
      <w:r>
        <w:t xml:space="preserve">n peut se demander à ce stade si les restrictions décrites dans l'Annexe 7 de l'Appendice 30 sont toujours nécessaires, ou s'il serait possible de les supprimer ou de les modifier afin d'élargir l'accès à </w:t>
      </w:r>
      <w:r w:rsidR="00B534D0">
        <w:t>une</w:t>
      </w:r>
      <w:r>
        <w:t xml:space="preserve"> précieuse ressource de fréquences.</w:t>
      </w:r>
    </w:p>
    <w:p w:rsidR="00BE3ED2" w:rsidRPr="00014373" w:rsidRDefault="00BE3ED2" w:rsidP="008F5E80">
      <w:pPr>
        <w:pStyle w:val="Headingb"/>
      </w:pPr>
      <w:r>
        <w:t>Propositions</w:t>
      </w:r>
    </w:p>
    <w:p w:rsidR="00BE3ED2" w:rsidRDefault="00BE3ED2" w:rsidP="008F5E80"/>
    <w:p w:rsidR="00BE3ED2" w:rsidRDefault="00BE3ED2" w:rsidP="008F5E80"/>
    <w:p w:rsidR="00BE3ED2" w:rsidRDefault="00BE3ED2" w:rsidP="008F5E80"/>
    <w:p w:rsidR="0015203F" w:rsidRDefault="0015203F" w:rsidP="008F5E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D620B" w:rsidRDefault="00B61707" w:rsidP="008F5E80">
      <w:pPr>
        <w:pStyle w:val="Proposal"/>
      </w:pPr>
      <w:r>
        <w:lastRenderedPageBreak/>
        <w:t>SUP</w:t>
      </w:r>
      <w:r>
        <w:tab/>
        <w:t>IAP/7A24A4/1</w:t>
      </w:r>
    </w:p>
    <w:p w:rsidR="002F3EE1" w:rsidRPr="00D9123C" w:rsidRDefault="00B61707" w:rsidP="008F5E80">
      <w:pPr>
        <w:pStyle w:val="ResNo"/>
      </w:pPr>
      <w:r w:rsidRPr="00D9123C">
        <w:t xml:space="preserve">RÉSOLUTION </w:t>
      </w:r>
      <w:r>
        <w:rPr>
          <w:rStyle w:val="href"/>
        </w:rPr>
        <w:t>808</w:t>
      </w:r>
      <w:r w:rsidRPr="00D9123C">
        <w:t xml:space="preserve"> (CMR-</w:t>
      </w:r>
      <w:r>
        <w:t>12</w:t>
      </w:r>
      <w:r w:rsidRPr="00D9123C">
        <w:t>)</w:t>
      </w:r>
    </w:p>
    <w:p w:rsidR="002F3EE1" w:rsidRPr="009C7CEE" w:rsidRDefault="00B61707" w:rsidP="008F5E80">
      <w:pPr>
        <w:pStyle w:val="Restitle"/>
      </w:pPr>
      <w:r w:rsidRPr="009C7CEE">
        <w:t>Ordre du jour préliminaire de la Conférence mondiale</w:t>
      </w:r>
      <w:r w:rsidRPr="009C7CEE">
        <w:br/>
        <w:t>des radiocommunications de 2018</w:t>
      </w:r>
    </w:p>
    <w:p w:rsidR="002D620B" w:rsidRDefault="00B61707" w:rsidP="008F5E80">
      <w:pPr>
        <w:pStyle w:val="Reasons"/>
      </w:pPr>
      <w:r>
        <w:rPr>
          <w:b/>
        </w:rPr>
        <w:t>Motifs:</w:t>
      </w:r>
      <w:r>
        <w:tab/>
      </w:r>
      <w:r w:rsidR="00E77772">
        <w:t xml:space="preserve">Cette Résolution doit être supprimée, étant donné que la CMR-15 adoptera une nouvelle Résolution </w:t>
      </w:r>
      <w:r w:rsidR="00194FC4">
        <w:t>pour</w:t>
      </w:r>
      <w:r w:rsidR="000567D9">
        <w:t xml:space="preserve"> définir</w:t>
      </w:r>
      <w:r w:rsidR="00E77772">
        <w:t xml:space="preserve"> l'ordre du jour de la CMR-19.</w:t>
      </w:r>
    </w:p>
    <w:p w:rsidR="002D620B" w:rsidRDefault="00B61707" w:rsidP="008F5E80">
      <w:pPr>
        <w:pStyle w:val="Proposal"/>
      </w:pPr>
      <w:r>
        <w:t>ADD</w:t>
      </w:r>
      <w:r>
        <w:tab/>
        <w:t>IAP/7A24A4/2</w:t>
      </w:r>
    </w:p>
    <w:p w:rsidR="002D620B" w:rsidRDefault="00B61707" w:rsidP="008F5E80">
      <w:pPr>
        <w:pStyle w:val="ResNo"/>
      </w:pPr>
      <w:r>
        <w:t>Projet de nouvelle Résolution [IAP-10D-2019]</w:t>
      </w:r>
      <w:r w:rsidR="00BE3ED2">
        <w:t xml:space="preserve"> (CMR-15)</w:t>
      </w:r>
    </w:p>
    <w:p w:rsidR="002D620B" w:rsidRDefault="0099692E" w:rsidP="008F5E80">
      <w:pPr>
        <w:pStyle w:val="Restitle"/>
        <w:rPr>
          <w:rFonts w:ascii="Times New Roman"/>
        </w:rPr>
      </w:pPr>
      <w:r>
        <w:rPr>
          <w:rFonts w:ascii="Times New Roman"/>
        </w:rPr>
        <w:t>Ordre du jour de la Conf</w:t>
      </w:r>
      <w:r>
        <w:rPr>
          <w:rFonts w:ascii="Times New Roman"/>
        </w:rPr>
        <w:t>é</w:t>
      </w:r>
      <w:r>
        <w:rPr>
          <w:rFonts w:ascii="Times New Roman"/>
        </w:rPr>
        <w:t>rence mondiale des radiocommunications de 2019</w:t>
      </w:r>
    </w:p>
    <w:p w:rsidR="0099692E" w:rsidRDefault="0099692E" w:rsidP="008F5E80">
      <w:pPr>
        <w:pStyle w:val="Normalaftertitle0"/>
      </w:pPr>
      <w:r w:rsidRPr="00B42483">
        <w:t>La Conférence mondiale des radi</w:t>
      </w:r>
      <w:r>
        <w:t>ocommunications (Genève, 2015),</w:t>
      </w:r>
    </w:p>
    <w:p w:rsidR="0099692E" w:rsidRPr="00B42483" w:rsidRDefault="0099692E" w:rsidP="008F5E80">
      <w:pPr>
        <w:pStyle w:val="Call"/>
        <w:keepNext w:val="0"/>
        <w:keepLines w:val="0"/>
      </w:pPr>
      <w:r w:rsidRPr="00B42483">
        <w:t>considérant</w:t>
      </w:r>
    </w:p>
    <w:p w:rsidR="0099692E" w:rsidRPr="00B42483" w:rsidRDefault="0099692E" w:rsidP="008F5E80">
      <w:r w:rsidRPr="00B42483">
        <w:rPr>
          <w:i/>
          <w:iCs/>
        </w:rPr>
        <w:t>a)</w:t>
      </w:r>
      <w:r w:rsidRPr="00B42483">
        <w:tab/>
        <w:t>que, conformément au numéro 118 de la Convention de l'UIT, le cadre général de l'ordre du jour d'une conférence mondiale des radiocommunications devrait être fixé de quatre à six ans à l'avance et que l'ordre du jour définitif est fixé par le Conseil deux ans avant la conférence;</w:t>
      </w:r>
    </w:p>
    <w:p w:rsidR="0099692E" w:rsidRPr="00B42483" w:rsidRDefault="0099692E" w:rsidP="008F5E80">
      <w:pPr>
        <w:rPr>
          <w:i/>
          <w:iCs/>
        </w:rPr>
      </w:pPr>
      <w:r w:rsidRPr="00B42483">
        <w:rPr>
          <w:i/>
          <w:iCs/>
        </w:rPr>
        <w:t>b)</w:t>
      </w:r>
      <w:r w:rsidRPr="00B42483">
        <w:rPr>
          <w:i/>
          <w:iCs/>
        </w:rPr>
        <w:tab/>
      </w:r>
      <w:r w:rsidRPr="00B42483">
        <w:t>l'article 13 de la Constitution de l'UIT, concernant la compétence et la fréquence des conférences mondiales des ra</w:t>
      </w:r>
      <w:r w:rsidR="00CB7305">
        <w:t xml:space="preserve">diocommunications, et l'article </w:t>
      </w:r>
      <w:r w:rsidRPr="00B42483">
        <w:t>7 de la Convention relatif à leur ordre du jour;</w:t>
      </w:r>
    </w:p>
    <w:p w:rsidR="0099692E" w:rsidRPr="00B42483" w:rsidRDefault="0099692E" w:rsidP="008F5E80">
      <w:r w:rsidRPr="00B42483">
        <w:rPr>
          <w:i/>
          <w:iCs/>
        </w:rPr>
        <w:t>c)</w:t>
      </w:r>
      <w:r w:rsidRPr="00B42483">
        <w:tab/>
        <w:t>les résolutions et recommandations pertinentes des conférences administratives mondiales des radiocommunications (CAMR) et des conférences mondiales des radiocommunications (CMR) précédentes,</w:t>
      </w:r>
    </w:p>
    <w:p w:rsidR="0099692E" w:rsidRDefault="0099692E" w:rsidP="008F5E80">
      <w:pPr>
        <w:pStyle w:val="Call"/>
      </w:pPr>
      <w:r w:rsidRPr="00B42483">
        <w:t>reconnaissant</w:t>
      </w:r>
    </w:p>
    <w:p w:rsidR="0099692E" w:rsidRDefault="0099692E" w:rsidP="008F5E80">
      <w:r w:rsidRPr="00B42483">
        <w:rPr>
          <w:i/>
          <w:iCs/>
        </w:rPr>
        <w:t>a)</w:t>
      </w:r>
      <w:r w:rsidRPr="00B42483">
        <w:tab/>
        <w:t xml:space="preserve">que la </w:t>
      </w:r>
      <w:r>
        <w:t>CMR-15</w:t>
      </w:r>
      <w:r w:rsidRPr="00B42483">
        <w:t xml:space="preserve"> a recensé un certain nomb</w:t>
      </w:r>
      <w:r w:rsidR="00CB7305">
        <w:t xml:space="preserve">re de questions urgentes que la </w:t>
      </w:r>
      <w:r w:rsidRPr="00B42483">
        <w:t>CMR</w:t>
      </w:r>
      <w:r w:rsidRPr="00B42483">
        <w:noBreakHyphen/>
        <w:t>1</w:t>
      </w:r>
      <w:r>
        <w:t>9</w:t>
      </w:r>
      <w:r w:rsidRPr="00B42483">
        <w:t xml:space="preserve"> devra examiner plus avant;</w:t>
      </w:r>
    </w:p>
    <w:p w:rsidR="0099692E" w:rsidRPr="00B42483" w:rsidRDefault="0099692E" w:rsidP="008F5E80">
      <w:r w:rsidRPr="00B42483">
        <w:rPr>
          <w:i/>
          <w:iCs/>
        </w:rPr>
        <w:t>b)</w:t>
      </w:r>
      <w:r w:rsidRPr="00B42483">
        <w:tab/>
        <w:t xml:space="preserve">que, lors de l'élaboration du présent ordre du jour, </w:t>
      </w:r>
      <w:r>
        <w:t>certains</w:t>
      </w:r>
      <w:r w:rsidRPr="00B42483">
        <w:t xml:space="preserve"> points proposés par des administrations n'ont pas pu être retenus et que leur inscription a dû être reportée à l'ordre du jour de conférences futures,</w:t>
      </w:r>
    </w:p>
    <w:p w:rsidR="0099692E" w:rsidRPr="00B42483" w:rsidRDefault="0099692E" w:rsidP="008F5E80">
      <w:pPr>
        <w:pStyle w:val="Call"/>
      </w:pPr>
      <w:r w:rsidRPr="00B42483">
        <w:t>décide</w:t>
      </w:r>
    </w:p>
    <w:p w:rsidR="0099692E" w:rsidRPr="00B42483" w:rsidRDefault="0099692E" w:rsidP="008F5E80">
      <w:r w:rsidRPr="00B42483">
        <w:t>de recomma</w:t>
      </w:r>
      <w:r>
        <w:t xml:space="preserve">nder au Conseil de convoquer en </w:t>
      </w:r>
      <w:r w:rsidRPr="00B42483">
        <w:t>201</w:t>
      </w:r>
      <w:r>
        <w:t>9</w:t>
      </w:r>
      <w:r w:rsidRPr="00B42483">
        <w:t xml:space="preserve"> une conférence mondiale des radiocommunications d'une durée </w:t>
      </w:r>
      <w:r>
        <w:t xml:space="preserve">maximale </w:t>
      </w:r>
      <w:r w:rsidRPr="00B42483">
        <w:t>de quatre semaines, dont l'ordre du jour sera le suivant:</w:t>
      </w:r>
    </w:p>
    <w:p w:rsidR="0099692E" w:rsidRDefault="0099692E" w:rsidP="008F5E80">
      <w:r w:rsidRPr="00B42483">
        <w:t>1</w:t>
      </w:r>
      <w:r w:rsidRPr="00B42483">
        <w:tab/>
        <w:t xml:space="preserve">sur la base des propositions des administrations, </w:t>
      </w:r>
      <w:r w:rsidR="00CB7305">
        <w:t xml:space="preserve">compte tenu des résultats de la </w:t>
      </w:r>
      <w:r w:rsidRPr="00B42483">
        <w:t>CMR</w:t>
      </w:r>
      <w:r w:rsidRPr="00B42483">
        <w:noBreakHyphen/>
        <w:t>1</w:t>
      </w:r>
      <w:r>
        <w:t>5</w:t>
      </w:r>
      <w:r w:rsidRPr="00B42483">
        <w:t xml:space="preserve"> ainsi que du </w:t>
      </w:r>
      <w:r>
        <w:t>r</w:t>
      </w:r>
      <w:r w:rsidRPr="00B42483">
        <w:t xml:space="preserve">apport de la Réunion de préparation à la Conférence et compte dûment tenu des besoins des services existants </w:t>
      </w:r>
      <w:r>
        <w:t>et</w:t>
      </w:r>
      <w:r w:rsidRPr="00B42483">
        <w:t xml:space="preserve"> futurs dans les bandes considérées, examiner les points suivants et prendre les mesures appropriées:</w:t>
      </w:r>
    </w:p>
    <w:p w:rsidR="0099692E" w:rsidRDefault="0099692E" w:rsidP="008F5E80">
      <w:pPr>
        <w:rPr>
          <w:bCs/>
        </w:rPr>
      </w:pPr>
      <w:r w:rsidRPr="00BF1ED6">
        <w:rPr>
          <w:bCs/>
          <w:szCs w:val="24"/>
        </w:rPr>
        <w:t>1.[</w:t>
      </w:r>
      <w:r>
        <w:rPr>
          <w:bCs/>
          <w:szCs w:val="24"/>
        </w:rPr>
        <w:t>App30</w:t>
      </w:r>
      <w:r w:rsidRPr="00BF1ED6">
        <w:rPr>
          <w:bCs/>
          <w:szCs w:val="24"/>
        </w:rPr>
        <w:t>]</w:t>
      </w:r>
      <w:r w:rsidRPr="00BF1ED6">
        <w:rPr>
          <w:bCs/>
          <w:szCs w:val="24"/>
        </w:rPr>
        <w:tab/>
      </w:r>
      <w:r w:rsidR="00D835F7">
        <w:rPr>
          <w:bCs/>
          <w:szCs w:val="24"/>
        </w:rPr>
        <w:t xml:space="preserve">réexaminer </w:t>
      </w:r>
      <w:r w:rsidR="00105750">
        <w:rPr>
          <w:bCs/>
          <w:szCs w:val="24"/>
        </w:rPr>
        <w:t>la nécessité</w:t>
      </w:r>
      <w:r w:rsidR="00D835F7">
        <w:rPr>
          <w:bCs/>
          <w:szCs w:val="24"/>
        </w:rPr>
        <w:t xml:space="preserve"> des </w:t>
      </w:r>
      <w:r w:rsidR="00CD152D">
        <w:rPr>
          <w:bCs/>
          <w:szCs w:val="24"/>
        </w:rPr>
        <w:t xml:space="preserve">restrictions relatives aux positions orbitales </w:t>
      </w:r>
      <w:r w:rsidR="0095672D">
        <w:rPr>
          <w:bCs/>
          <w:szCs w:val="24"/>
        </w:rPr>
        <w:t xml:space="preserve">à observer </w:t>
      </w:r>
      <w:r w:rsidR="005A5FEB">
        <w:rPr>
          <w:bCs/>
          <w:szCs w:val="24"/>
        </w:rPr>
        <w:t>lors des</w:t>
      </w:r>
      <w:r w:rsidR="00F33257">
        <w:rPr>
          <w:bCs/>
          <w:szCs w:val="24"/>
        </w:rPr>
        <w:t xml:space="preserve"> </w:t>
      </w:r>
      <w:r w:rsidR="00D835F7">
        <w:rPr>
          <w:bCs/>
          <w:szCs w:val="24"/>
        </w:rPr>
        <w:t xml:space="preserve">modifications des Plans ou de la Liste pour le service de radiodiffusion par satellite décrites dans l'Annexe 7 de l'Appendice </w:t>
      </w:r>
      <w:r w:rsidR="00D835F7" w:rsidRPr="00D835F7">
        <w:rPr>
          <w:b/>
          <w:szCs w:val="24"/>
        </w:rPr>
        <w:t>30</w:t>
      </w:r>
      <w:r w:rsidR="00D835F7">
        <w:rPr>
          <w:bCs/>
          <w:szCs w:val="24"/>
        </w:rPr>
        <w:t xml:space="preserve">, mener les études nécessaires et </w:t>
      </w:r>
      <w:r w:rsidR="005A5FEB">
        <w:rPr>
          <w:bCs/>
          <w:szCs w:val="24"/>
        </w:rPr>
        <w:t>examiner</w:t>
      </w:r>
      <w:r w:rsidR="00D835F7">
        <w:rPr>
          <w:bCs/>
          <w:szCs w:val="24"/>
        </w:rPr>
        <w:t xml:space="preserve"> </w:t>
      </w:r>
      <w:r w:rsidR="005A5FEB">
        <w:rPr>
          <w:bCs/>
          <w:szCs w:val="24"/>
        </w:rPr>
        <w:t xml:space="preserve">les </w:t>
      </w:r>
      <w:r w:rsidR="00D835F7">
        <w:rPr>
          <w:bCs/>
          <w:szCs w:val="24"/>
        </w:rPr>
        <w:t xml:space="preserve">modifications </w:t>
      </w:r>
      <w:r w:rsidR="005A5FEB">
        <w:rPr>
          <w:bCs/>
          <w:szCs w:val="24"/>
        </w:rPr>
        <w:lastRenderedPageBreak/>
        <w:t xml:space="preserve">éventuelles </w:t>
      </w:r>
      <w:r w:rsidR="00D835F7">
        <w:rPr>
          <w:bCs/>
          <w:szCs w:val="24"/>
        </w:rPr>
        <w:t xml:space="preserve">de l'Annexe 7 de l'Appendice </w:t>
      </w:r>
      <w:r w:rsidR="00D835F7" w:rsidRPr="00B534D0">
        <w:rPr>
          <w:b/>
          <w:szCs w:val="24"/>
        </w:rPr>
        <w:t>30,</w:t>
      </w:r>
      <w:r w:rsidR="00D835F7">
        <w:rPr>
          <w:bCs/>
          <w:szCs w:val="24"/>
        </w:rPr>
        <w:t xml:space="preserve"> conformément à la Résolution</w:t>
      </w:r>
      <w:r w:rsidR="00D835F7" w:rsidRPr="0018409E">
        <w:rPr>
          <w:b/>
          <w:szCs w:val="24"/>
        </w:rPr>
        <w:t xml:space="preserve"> [IAP-10D-APPENDIX30] (CMR</w:t>
      </w:r>
      <w:r w:rsidR="00D835F7" w:rsidRPr="0018409E">
        <w:rPr>
          <w:b/>
          <w:szCs w:val="24"/>
        </w:rPr>
        <w:noBreakHyphen/>
        <w:t>15)</w:t>
      </w:r>
      <w:r w:rsidR="00D835F7" w:rsidRPr="0018409E">
        <w:rPr>
          <w:bCs/>
          <w:szCs w:val="24"/>
        </w:rPr>
        <w:t>;</w:t>
      </w:r>
      <w:r w:rsidR="005A5FEB">
        <w:rPr>
          <w:bCs/>
          <w:szCs w:val="24"/>
        </w:rPr>
        <w:t xml:space="preserve"> </w:t>
      </w:r>
    </w:p>
    <w:p w:rsidR="0099692E" w:rsidRDefault="0099692E" w:rsidP="008F5E80">
      <w:r>
        <w:t>2</w:t>
      </w:r>
      <w:r>
        <w:tab/>
      </w:r>
      <w:r w:rsidRPr="003369DD">
        <w:t xml:space="preserve">examiner les Recommandations UIT-R révisées et incorporées par référence dans le Règlement des radiocommunications, communiquées par l'Assemblée des radiocommunications conformément à la Résolution </w:t>
      </w:r>
      <w:r w:rsidRPr="003369DD">
        <w:rPr>
          <w:b/>
          <w:bCs/>
        </w:rPr>
        <w:t>28</w:t>
      </w:r>
      <w:r w:rsidRPr="003369DD">
        <w:t xml:space="preserve"> </w:t>
      </w:r>
      <w:r w:rsidRPr="003369DD">
        <w:rPr>
          <w:b/>
          <w:bCs/>
        </w:rPr>
        <w:t>(Rév.CMR-03)</w:t>
      </w:r>
      <w:r w:rsidRPr="003369DD">
        <w:t>,</w:t>
      </w:r>
      <w:r w:rsidRPr="003369DD">
        <w:rPr>
          <w:b/>
          <w:bCs/>
        </w:rPr>
        <w:t xml:space="preserve"> </w:t>
      </w:r>
      <w:r w:rsidRPr="003369DD">
        <w:t>et décider s'il convient ou non de mettre à jour les références correspondantes dans le Règlement des radiocommunications, conformément aux principes énoncés dans l'Annexe 1 de la Résolution </w:t>
      </w:r>
      <w:r w:rsidRPr="003369DD">
        <w:rPr>
          <w:b/>
          <w:bCs/>
        </w:rPr>
        <w:t>27</w:t>
      </w:r>
      <w:r w:rsidRPr="003369DD">
        <w:t xml:space="preserve"> </w:t>
      </w:r>
      <w:r w:rsidRPr="003369DD">
        <w:rPr>
          <w:b/>
          <w:bCs/>
        </w:rPr>
        <w:t>(Rév.CMR</w:t>
      </w:r>
      <w:r w:rsidRPr="003369DD">
        <w:rPr>
          <w:b/>
          <w:bCs/>
        </w:rPr>
        <w:noBreakHyphen/>
        <w:t>12)</w:t>
      </w:r>
      <w:r w:rsidRPr="003369DD">
        <w:t>;</w:t>
      </w:r>
    </w:p>
    <w:p w:rsidR="0099692E" w:rsidRDefault="0099692E" w:rsidP="008F5E80">
      <w:r>
        <w:t>3</w:t>
      </w:r>
      <w:r>
        <w:tab/>
      </w:r>
      <w:r w:rsidRPr="003369DD">
        <w:t>examiner les modifications et amendements à apporter éventuellement au Règlement des radiocommunications à la suite des décisions prises par la Conférence</w:t>
      </w:r>
      <w:r>
        <w:t>;</w:t>
      </w:r>
    </w:p>
    <w:p w:rsidR="0099692E" w:rsidRDefault="0099692E" w:rsidP="008F5E80">
      <w:r>
        <w:t>4</w:t>
      </w:r>
      <w:r>
        <w:tab/>
      </w:r>
      <w:r w:rsidRPr="003369DD">
        <w:t xml:space="preserve">conformément à la Résolution </w:t>
      </w:r>
      <w:r w:rsidRPr="003369DD">
        <w:rPr>
          <w:b/>
          <w:bCs/>
        </w:rPr>
        <w:t>95 (Rév.CMR-07)</w:t>
      </w:r>
      <w:r w:rsidRPr="003369DD">
        <w:t>, examiner les résolutions et recommandations des conférences précédentes en vue, le cas échéant, de les réviser, de les remplacer ou de les supprimer;</w:t>
      </w:r>
    </w:p>
    <w:p w:rsidR="0099692E" w:rsidRDefault="0099692E" w:rsidP="008F5E80">
      <w:r>
        <w:t>5</w:t>
      </w:r>
      <w:r>
        <w:tab/>
      </w:r>
      <w:r w:rsidRPr="003369DD">
        <w:t>examiner le Rapport de l'Assemblée des radiocommunications soumis conformément aux numéros 135 et 136 de la Convention et lui donner la suite voulue;</w:t>
      </w:r>
    </w:p>
    <w:p w:rsidR="0099692E" w:rsidRDefault="0099692E" w:rsidP="008F5E80">
      <w:r>
        <w:t>6</w:t>
      </w:r>
      <w:r>
        <w:tab/>
      </w:r>
      <w:r w:rsidRPr="003369DD">
        <w:t>identifier les points auxquels les commissions d'études des radiocommunications doivent d'urgence donner suite, en préparation de la conférence mondiale des radiocommunications suivante;</w:t>
      </w:r>
    </w:p>
    <w:p w:rsidR="0099692E" w:rsidRDefault="0099692E" w:rsidP="008F5E80">
      <w:r>
        <w:t>7</w:t>
      </w:r>
      <w:r>
        <w:tab/>
      </w:r>
      <w:r w:rsidRPr="003369DD">
        <w:t>examiner d'éventuels changements à apporter, et d'autres options à mettre en oeuvre, en application de la Résolution </w:t>
      </w:r>
      <w:r w:rsidRPr="00BD4E46">
        <w:t>86 (Rév. Marrakech, 2002)</w:t>
      </w:r>
      <w:r w:rsidRPr="003369DD">
        <w:t xml:space="preserve">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3369DD">
        <w:rPr>
          <w:b/>
          <w:bCs/>
        </w:rPr>
        <w:t>86 (Rév.CMR-07)</w:t>
      </w:r>
      <w:r w:rsidRPr="003369DD">
        <w:t>, afin de faciliter l'utilisation rationnelle, efficace et économique des fréquences radioélectriques et des orbites associées, y compris de l'orbite des satellites géostationnaires;</w:t>
      </w:r>
    </w:p>
    <w:p w:rsidR="0099692E" w:rsidRDefault="0099692E" w:rsidP="008F5E80">
      <w:r>
        <w:t>8</w:t>
      </w:r>
      <w:r>
        <w:tab/>
      </w:r>
      <w:r w:rsidRPr="003369DD"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3369DD">
        <w:rPr>
          <w:b/>
          <w:bCs/>
        </w:rPr>
        <w:t>26 (Rév.CMR-07)</w:t>
      </w:r>
      <w:r w:rsidRPr="003369DD">
        <w:t>, et prendre les mesures voulues à ce sujet;</w:t>
      </w:r>
    </w:p>
    <w:p w:rsidR="0099692E" w:rsidRDefault="0099692E" w:rsidP="008F5E80">
      <w:r>
        <w:t>9</w:t>
      </w:r>
      <w:r>
        <w:tab/>
      </w:r>
      <w:r w:rsidRPr="003369DD">
        <w:t>examiner et approuver le rapport du Directeur du Bureau des radiocommunications, conformément à l'article 7 de la Convention:</w:t>
      </w:r>
    </w:p>
    <w:p w:rsidR="0099692E" w:rsidRDefault="0099692E" w:rsidP="008F5E80">
      <w:r>
        <w:t>9.1</w:t>
      </w:r>
      <w:r>
        <w:tab/>
      </w:r>
      <w:r w:rsidRPr="003369DD">
        <w:t>sur les activités du Secteur des radi</w:t>
      </w:r>
      <w:r>
        <w:t>ocommunications depuis la CMR</w:t>
      </w:r>
      <w:r>
        <w:noBreakHyphen/>
        <w:t>15</w:t>
      </w:r>
      <w:r w:rsidRPr="003369DD">
        <w:t>;</w:t>
      </w:r>
    </w:p>
    <w:p w:rsidR="0099692E" w:rsidRDefault="0099692E" w:rsidP="008F5E80">
      <w:r>
        <w:t>9.2</w:t>
      </w:r>
      <w:r>
        <w:tab/>
      </w:r>
      <w:r w:rsidRPr="003369DD">
        <w:t>sur les difficultés rencontrées ou les incohérences constatées dans l'application du Règlement des radiocommunications; et</w:t>
      </w:r>
    </w:p>
    <w:p w:rsidR="0099692E" w:rsidRDefault="0099692E" w:rsidP="008F5E80">
      <w:r>
        <w:t>9.3</w:t>
      </w:r>
      <w:r>
        <w:tab/>
      </w:r>
      <w:r w:rsidRPr="003369DD">
        <w:t>sur la suite donnée à la Résolution </w:t>
      </w:r>
      <w:r w:rsidRPr="003369DD">
        <w:rPr>
          <w:b/>
          <w:bCs/>
        </w:rPr>
        <w:t>80 (Rév.CMR-07)</w:t>
      </w:r>
      <w:r w:rsidRPr="003369DD">
        <w:t>;</w:t>
      </w:r>
    </w:p>
    <w:p w:rsidR="0099692E" w:rsidRDefault="0099692E" w:rsidP="008F5E80">
      <w:r>
        <w:t>10</w:t>
      </w:r>
      <w:r>
        <w:tab/>
      </w:r>
      <w:r w:rsidRPr="003369DD"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:rsidR="0099692E" w:rsidRPr="00B42483" w:rsidRDefault="0099692E" w:rsidP="008F5E80">
      <w:pPr>
        <w:pStyle w:val="Call"/>
        <w:keepNext w:val="0"/>
        <w:keepLines w:val="0"/>
      </w:pPr>
      <w:r w:rsidRPr="00B42483">
        <w:t>décide en outre</w:t>
      </w:r>
    </w:p>
    <w:p w:rsidR="0099692E" w:rsidRPr="00B42483" w:rsidRDefault="0099692E" w:rsidP="008F5E80">
      <w:r w:rsidRPr="00B42483">
        <w:t>d'activer la Réunion de préparation à la Conférence,</w:t>
      </w:r>
    </w:p>
    <w:p w:rsidR="0099692E" w:rsidRPr="00B42483" w:rsidRDefault="0099692E" w:rsidP="008F5E80">
      <w:pPr>
        <w:pStyle w:val="Call"/>
        <w:keepNext w:val="0"/>
        <w:keepLines w:val="0"/>
      </w:pPr>
      <w:r w:rsidRPr="00B42483">
        <w:t>invite le Conseil</w:t>
      </w:r>
    </w:p>
    <w:p w:rsidR="0099692E" w:rsidRPr="00B42483" w:rsidRDefault="0099692E" w:rsidP="0018409E">
      <w:r w:rsidRPr="00B42483">
        <w:t xml:space="preserve">à </w:t>
      </w:r>
      <w:r>
        <w:t>arrêter définitivement</w:t>
      </w:r>
      <w:r w:rsidRPr="00B42483">
        <w:t xml:space="preserve"> l'ordre du jour, à prendre les dispositions nécessaires </w:t>
      </w:r>
      <w:r>
        <w:t>en vue de la convocation de la CMR</w:t>
      </w:r>
      <w:r>
        <w:noBreakHyphen/>
        <w:t>1</w:t>
      </w:r>
      <w:r w:rsidR="0018409E">
        <w:t>9</w:t>
      </w:r>
      <w:r w:rsidRPr="00B42483">
        <w:t xml:space="preserve"> et à engager dès que possible les consultations nécessaires avec les Etats Membres,</w:t>
      </w:r>
    </w:p>
    <w:p w:rsidR="0099692E" w:rsidRPr="00B42483" w:rsidRDefault="0099692E" w:rsidP="008F5E80">
      <w:pPr>
        <w:pStyle w:val="Call"/>
        <w:keepNext w:val="0"/>
        <w:keepLines w:val="0"/>
      </w:pPr>
      <w:r w:rsidRPr="00B42483">
        <w:lastRenderedPageBreak/>
        <w:t>charge le Directeur du Bureau des radiocommunications</w:t>
      </w:r>
    </w:p>
    <w:p w:rsidR="0099692E" w:rsidRPr="00B42483" w:rsidRDefault="0099692E" w:rsidP="008F5E80">
      <w:r w:rsidRPr="00B42483">
        <w:t xml:space="preserve">de prendre les dispositions voulues pour la convocation des sessions de la Réunion de préparation à la Conférence et d'élaborer un </w:t>
      </w:r>
      <w:r>
        <w:t>R</w:t>
      </w:r>
      <w:r w:rsidRPr="00B42483">
        <w:t>a</w:t>
      </w:r>
      <w:r>
        <w:t>pport à l'intention de la CMR</w:t>
      </w:r>
      <w:r>
        <w:noBreakHyphen/>
        <w:t>19</w:t>
      </w:r>
      <w:r w:rsidRPr="00B42483">
        <w:t>,</w:t>
      </w:r>
    </w:p>
    <w:p w:rsidR="0099692E" w:rsidRPr="00B42483" w:rsidRDefault="0099692E" w:rsidP="008F5E80">
      <w:pPr>
        <w:pStyle w:val="Call"/>
        <w:keepNext w:val="0"/>
        <w:keepLines w:val="0"/>
      </w:pPr>
      <w:r w:rsidRPr="00B42483">
        <w:t>charge le Secrétaire général</w:t>
      </w:r>
    </w:p>
    <w:p w:rsidR="00BE3ED2" w:rsidRPr="00BE3ED2" w:rsidRDefault="0099692E" w:rsidP="008F5E80">
      <w:r w:rsidRPr="00B42483">
        <w:t>de communiquer la présente Résolution aux organisations internationales ou régionales concernées.</w:t>
      </w:r>
    </w:p>
    <w:p w:rsidR="002D620B" w:rsidRDefault="00B61707" w:rsidP="008F5E80">
      <w:pPr>
        <w:pStyle w:val="Reasons"/>
      </w:pPr>
      <w:r>
        <w:rPr>
          <w:b/>
        </w:rPr>
        <w:t>Motifs:</w:t>
      </w:r>
      <w:r>
        <w:tab/>
      </w:r>
      <w:r w:rsidR="001F61E9">
        <w:t>D'après les</w:t>
      </w:r>
      <w:r w:rsidR="00D835F7">
        <w:t xml:space="preserve"> études </w:t>
      </w:r>
      <w:r w:rsidR="00277A78">
        <w:t>menées</w:t>
      </w:r>
      <w:r w:rsidR="00D835F7">
        <w:t xml:space="preserve"> à ce jour </w:t>
      </w:r>
      <w:r w:rsidR="002D3B4B">
        <w:t>au sujet des</w:t>
      </w:r>
      <w:r w:rsidR="001F61E9">
        <w:t xml:space="preserve"> </w:t>
      </w:r>
      <w:r w:rsidR="00D835F7">
        <w:t xml:space="preserve">espacements orbitaux autorisés entre le SRS et le SFS </w:t>
      </w:r>
      <w:r w:rsidR="00277A78">
        <w:t>compte tenu</w:t>
      </w:r>
      <w:r w:rsidR="00D835F7">
        <w:t xml:space="preserve"> des seuils de déclenchement de la coordination </w:t>
      </w:r>
      <w:r w:rsidR="007374D3">
        <w:t>définis</w:t>
      </w:r>
      <w:r w:rsidR="00D835F7">
        <w:t xml:space="preserve"> dans les Annexes</w:t>
      </w:r>
      <w:r w:rsidR="001F61E9">
        <w:t> </w:t>
      </w:r>
      <w:r w:rsidR="00D835F7">
        <w:t xml:space="preserve">1 et 4 de l'Appendice 30, </w:t>
      </w:r>
      <w:r w:rsidR="009C749A">
        <w:t>des systèmes types du SRS et du SFS qui desservent des régions différentes pourraient coexister avec succès sans nécessiter un espacement orbital</w:t>
      </w:r>
      <w:r w:rsidR="007374D3">
        <w:t xml:space="preserve"> </w:t>
      </w:r>
      <w:r w:rsidR="009C749A">
        <w:t>supérieur à</w:t>
      </w:r>
      <w:r w:rsidR="007374D3">
        <w:t xml:space="preserve"> 0,5</w:t>
      </w:r>
      <w:r w:rsidR="009C749A">
        <w:t>° ou 2°</w:t>
      </w:r>
      <w:r w:rsidR="001F61E9">
        <w:t xml:space="preserve">, </w:t>
      </w:r>
      <w:r w:rsidR="00277A78">
        <w:t>selon les</w:t>
      </w:r>
      <w:r w:rsidR="002F3EE1">
        <w:t xml:space="preserve"> hypothèses </w:t>
      </w:r>
      <w:r w:rsidR="007C5500">
        <w:t>retenues en ce qui concerne les</w:t>
      </w:r>
      <w:r w:rsidR="001F61E9">
        <w:t xml:space="preserve"> </w:t>
      </w:r>
      <w:r w:rsidR="009C749A">
        <w:t>p</w:t>
      </w:r>
      <w:r w:rsidR="001F61E9">
        <w:t>aramètres de porteuse et</w:t>
      </w:r>
      <w:r w:rsidR="002F3EE1">
        <w:t xml:space="preserve"> </w:t>
      </w:r>
      <w:r w:rsidR="001F61E9">
        <w:t>la discrimination géographique.</w:t>
      </w:r>
    </w:p>
    <w:p w:rsidR="002D620B" w:rsidRDefault="00B61707" w:rsidP="008F5E80">
      <w:pPr>
        <w:pStyle w:val="Proposal"/>
      </w:pPr>
      <w:r>
        <w:t>ADD</w:t>
      </w:r>
      <w:r>
        <w:tab/>
        <w:t>IAP/7A24A4/3</w:t>
      </w:r>
    </w:p>
    <w:p w:rsidR="002D620B" w:rsidRDefault="00B61707" w:rsidP="008F5E80">
      <w:pPr>
        <w:pStyle w:val="ResNo"/>
      </w:pPr>
      <w:r>
        <w:t>Projet de nouvelle Résolution [IAP-10</w:t>
      </w:r>
      <w:r w:rsidR="007C5500">
        <w:t>D</w:t>
      </w:r>
      <w:r>
        <w:t>-APPENDIX30]</w:t>
      </w:r>
      <w:r w:rsidR="00BE3ED2">
        <w:t xml:space="preserve"> (CMR-15)</w:t>
      </w:r>
    </w:p>
    <w:p w:rsidR="002D620B" w:rsidRDefault="002D3B4B" w:rsidP="008F5E80">
      <w:pPr>
        <w:pStyle w:val="Restitle"/>
        <w:rPr>
          <w:rFonts w:ascii="Times New Roman"/>
        </w:rPr>
      </w:pPr>
      <w:r>
        <w:rPr>
          <w:rFonts w:ascii="Times New Roman"/>
        </w:rPr>
        <w:t>R</w:t>
      </w:r>
      <w:r>
        <w:rPr>
          <w:rFonts w:ascii="Times New Roman"/>
        </w:rPr>
        <w:t>é</w:t>
      </w:r>
      <w:r>
        <w:rPr>
          <w:rFonts w:ascii="Times New Roman"/>
        </w:rPr>
        <w:t xml:space="preserve">examen des </w:t>
      </w:r>
      <w:r w:rsidR="00CD152D">
        <w:rPr>
          <w:rFonts w:ascii="Times New Roman"/>
        </w:rPr>
        <w:t xml:space="preserve">restrictions relatives aux positions orbitales </w:t>
      </w:r>
      <w:r w:rsidR="0095672D">
        <w:rPr>
          <w:rFonts w:ascii="Times New Roman"/>
        </w:rPr>
        <w:t>à</w:t>
      </w:r>
      <w:r w:rsidR="0095672D">
        <w:rPr>
          <w:rFonts w:ascii="Times New Roman"/>
        </w:rPr>
        <w:t xml:space="preserve"> observer </w:t>
      </w:r>
      <w:r w:rsidR="005A5FEB">
        <w:rPr>
          <w:rFonts w:ascii="Times New Roman"/>
        </w:rPr>
        <w:t>lors des</w:t>
      </w:r>
      <w:r w:rsidR="00F33257">
        <w:rPr>
          <w:rFonts w:ascii="Times New Roman"/>
        </w:rPr>
        <w:t xml:space="preserve"> </w:t>
      </w:r>
      <w:r>
        <w:rPr>
          <w:rFonts w:ascii="Times New Roman"/>
        </w:rPr>
        <w:t>modifications des Plans et de la Liste pour le service de radiodiffusion par satellite (SRS) d</w:t>
      </w:r>
      <w:r>
        <w:rPr>
          <w:rFonts w:ascii="Times New Roman"/>
        </w:rPr>
        <w:t>é</w:t>
      </w:r>
      <w:r>
        <w:rPr>
          <w:rFonts w:ascii="Times New Roman"/>
        </w:rPr>
        <w:t xml:space="preserve">crites dans l'Annexe 7 de l'Appendice 30 et examen des modifications </w:t>
      </w:r>
      <w:r>
        <w:rPr>
          <w:rFonts w:ascii="Times New Roman"/>
        </w:rPr>
        <w:t>é</w:t>
      </w:r>
      <w:r>
        <w:rPr>
          <w:rFonts w:ascii="Times New Roman"/>
        </w:rPr>
        <w:t>ventuelles de l'Annexe 7 de l'Appendice 30</w:t>
      </w:r>
    </w:p>
    <w:p w:rsidR="007B2F8C" w:rsidRDefault="00F121CE" w:rsidP="008F5E80">
      <w:r>
        <w:t>La Conférence mondiale des radiocommunications (Genève, 2015),</w:t>
      </w:r>
    </w:p>
    <w:p w:rsidR="00F121CE" w:rsidRPr="00F121CE" w:rsidRDefault="00F121CE" w:rsidP="00122F58">
      <w:pPr>
        <w:pStyle w:val="Call"/>
      </w:pPr>
      <w:r w:rsidRPr="00F121CE">
        <w:t>considérant</w:t>
      </w:r>
    </w:p>
    <w:p w:rsidR="00F121CE" w:rsidRDefault="00F121CE" w:rsidP="008F5E80">
      <w:r w:rsidRPr="00F121CE">
        <w:rPr>
          <w:i/>
          <w:iCs/>
        </w:rPr>
        <w:t>a)</w:t>
      </w:r>
      <w:r>
        <w:tab/>
        <w:t xml:space="preserve">que l'Appendice </w:t>
      </w:r>
      <w:r w:rsidRPr="00F121CE">
        <w:rPr>
          <w:b/>
          <w:bCs/>
        </w:rPr>
        <w:t>30</w:t>
      </w:r>
      <w:r>
        <w:t xml:space="preserve"> </w:t>
      </w:r>
      <w:r w:rsidR="00105750">
        <w:t>expose</w:t>
      </w:r>
      <w:r>
        <w:t xml:space="preserve"> les dispositions </w:t>
      </w:r>
      <w:r w:rsidR="00F82E8C">
        <w:t>applicables</w:t>
      </w:r>
      <w:r w:rsidR="00105750">
        <w:t xml:space="preserve"> </w:t>
      </w:r>
      <w:r>
        <w:t xml:space="preserve">à l'utilisation des Plans </w:t>
      </w:r>
      <w:r w:rsidR="00105750">
        <w:t xml:space="preserve">pour le SRS </w:t>
      </w:r>
      <w:r>
        <w:t xml:space="preserve">et de la Liste </w:t>
      </w:r>
      <w:r w:rsidR="00F82E8C">
        <w:t>relative</w:t>
      </w:r>
      <w:r w:rsidR="00105750">
        <w:t xml:space="preserve"> </w:t>
      </w:r>
      <w:r w:rsidR="00B534D0">
        <w:t>aux Régions 1 et 3</w:t>
      </w:r>
      <w:r w:rsidR="00105750">
        <w:t xml:space="preserve"> pour ce même service</w:t>
      </w:r>
      <w:r>
        <w:t>, ainsi qu'à la modification du Plan (dans le cas de la Région 2) ou de la Liste (dans le cas des Régions 1 et 3);</w:t>
      </w:r>
    </w:p>
    <w:p w:rsidR="00F121CE" w:rsidRDefault="00F121CE" w:rsidP="008F5E80">
      <w:r w:rsidRPr="00A11A22">
        <w:rPr>
          <w:i/>
          <w:iCs/>
        </w:rPr>
        <w:t>b)</w:t>
      </w:r>
      <w:r>
        <w:tab/>
        <w:t xml:space="preserve">que l'Appendice </w:t>
      </w:r>
      <w:r w:rsidRPr="00B06132">
        <w:rPr>
          <w:b/>
          <w:bCs/>
        </w:rPr>
        <w:t>30</w:t>
      </w:r>
      <w:r>
        <w:t xml:space="preserve"> est un Appendice autonome, qui prévoit des dispositions </w:t>
      </w:r>
      <w:r w:rsidR="00F82E8C">
        <w:t>applicabl</w:t>
      </w:r>
      <w:r w:rsidR="007C5500">
        <w:t>es</w:t>
      </w:r>
      <w:r>
        <w:t xml:space="preserve"> à la modification du Plan ou de la Liste (Article 4), à la notification </w:t>
      </w:r>
      <w:r w:rsidR="004F0AE1">
        <w:t>d'</w:t>
      </w:r>
      <w:r>
        <w:t xml:space="preserve">assignations de fréquence </w:t>
      </w:r>
      <w:r w:rsidR="004F0AE1">
        <w:t xml:space="preserve">du </w:t>
      </w:r>
      <w:r>
        <w:t xml:space="preserve">Plan ou </w:t>
      </w:r>
      <w:r w:rsidR="004F0AE1">
        <w:t>de</w:t>
      </w:r>
      <w:r>
        <w:t xml:space="preserve"> la Liste et à la coordination des autres services dans les bandes de fréquences concernées vis-à-vis du Plan ou de la Liste (Article 6 et 7)</w:t>
      </w:r>
      <w:r w:rsidR="00A11A22">
        <w:t>;</w:t>
      </w:r>
    </w:p>
    <w:p w:rsidR="00A11A22" w:rsidRDefault="00A11A22" w:rsidP="008F5E80">
      <w:r w:rsidRPr="00A11A22">
        <w:rPr>
          <w:i/>
          <w:iCs/>
        </w:rPr>
        <w:t>c)</w:t>
      </w:r>
      <w:r>
        <w:tab/>
        <w:t xml:space="preserve">que l'Appendice </w:t>
      </w:r>
      <w:r w:rsidRPr="002E5C64">
        <w:rPr>
          <w:b/>
          <w:bCs/>
        </w:rPr>
        <w:t>30</w:t>
      </w:r>
      <w:r>
        <w:t xml:space="preserve"> </w:t>
      </w:r>
      <w:r w:rsidR="002678B0">
        <w:t>expose</w:t>
      </w:r>
      <w:r>
        <w:t xml:space="preserve"> en outre des critères détaillés pour le partage entre le Plan ou la Liste et les autres services;</w:t>
      </w:r>
    </w:p>
    <w:p w:rsidR="00A11A22" w:rsidRDefault="00A11A22" w:rsidP="008F5E80">
      <w:r w:rsidRPr="00A11A22">
        <w:rPr>
          <w:i/>
          <w:iCs/>
        </w:rPr>
        <w:t>d)</w:t>
      </w:r>
      <w:r w:rsidRPr="00A11A22">
        <w:rPr>
          <w:i/>
          <w:iCs/>
        </w:rPr>
        <w:tab/>
      </w:r>
      <w:r>
        <w:t xml:space="preserve">que le SRS et le service fixe par satellite (SFS) peuvent </w:t>
      </w:r>
      <w:r w:rsidR="002E5C64">
        <w:t xml:space="preserve">entreprendre au </w:t>
      </w:r>
      <w:r w:rsidR="00B06132">
        <w:t>même moment</w:t>
      </w:r>
      <w:r>
        <w:t xml:space="preserve"> </w:t>
      </w:r>
      <w:r w:rsidR="002E5C64">
        <w:t xml:space="preserve">d'accéder </w:t>
      </w:r>
      <w:r>
        <w:t>aux ressources de l'orbite utilisées en partage en dehors du cadre d'une conférence de planification;</w:t>
      </w:r>
    </w:p>
    <w:p w:rsidR="00A11A22" w:rsidRDefault="00A11A22" w:rsidP="008F5E80">
      <w:r w:rsidRPr="00A11A22">
        <w:rPr>
          <w:i/>
          <w:iCs/>
        </w:rPr>
        <w:t>e)</w:t>
      </w:r>
      <w:r>
        <w:tab/>
        <w:t xml:space="preserve">que les systèmes opérationnels mis en oeuvre selon le régime de l'Annexe 7 de l'Appendice </w:t>
      </w:r>
      <w:r w:rsidRPr="00B06132">
        <w:rPr>
          <w:b/>
          <w:bCs/>
        </w:rPr>
        <w:t>30</w:t>
      </w:r>
      <w:r>
        <w:t xml:space="preserve"> </w:t>
      </w:r>
      <w:r w:rsidR="00A36A2A">
        <w:t>nécessit</w:t>
      </w:r>
      <w:r w:rsidR="00B06132">
        <w:t>ent</w:t>
      </w:r>
      <w:r>
        <w:t xml:space="preserve"> peut-être une attention particulière;</w:t>
      </w:r>
    </w:p>
    <w:p w:rsidR="00A11A22" w:rsidRPr="00A11A22" w:rsidRDefault="00A11A22" w:rsidP="008F5E80">
      <w:r w:rsidRPr="00A11A22">
        <w:rPr>
          <w:i/>
          <w:iCs/>
        </w:rPr>
        <w:t>f)</w:t>
      </w:r>
      <w:r w:rsidR="007C5500">
        <w:tab/>
        <w:t>qu'un</w:t>
      </w:r>
      <w:r>
        <w:t xml:space="preserve"> problème </w:t>
      </w:r>
      <w:r w:rsidR="007C5500">
        <w:t xml:space="preserve">se pose du point de vue </w:t>
      </w:r>
      <w:r>
        <w:t>de l'égalité entre les régions et les services</w:t>
      </w:r>
      <w:r w:rsidR="00B06132">
        <w:t>, compte tenu du fait que</w:t>
      </w:r>
      <w:r>
        <w:t xml:space="preserve"> le SRS est soumis à des restrictions </w:t>
      </w:r>
      <w:r w:rsidR="00BE4F23">
        <w:t>relatives aux positions orbitales</w:t>
      </w:r>
      <w:r>
        <w:t xml:space="preserve"> alors que </w:t>
      </w:r>
      <w:r w:rsidR="00B06132">
        <w:t>le SFS, dans les mêmes bandes de fréquences, ne l'est pas,</w:t>
      </w:r>
    </w:p>
    <w:p w:rsidR="007B2F8C" w:rsidRPr="002E5C64" w:rsidRDefault="002E5C64" w:rsidP="00122F58">
      <w:pPr>
        <w:pStyle w:val="Call"/>
      </w:pPr>
      <w:r w:rsidRPr="002E5C64">
        <w:lastRenderedPageBreak/>
        <w:t>reconnaissant</w:t>
      </w:r>
    </w:p>
    <w:p w:rsidR="002E5C64" w:rsidRDefault="002E5C64" w:rsidP="008F5E80">
      <w:r w:rsidRPr="002E5C64">
        <w:rPr>
          <w:i/>
          <w:iCs/>
        </w:rPr>
        <w:t>a)</w:t>
      </w:r>
      <w:r>
        <w:tab/>
        <w:t xml:space="preserve">que l'Article 4 de l'Appendice </w:t>
      </w:r>
      <w:r w:rsidRPr="002E5C64">
        <w:rPr>
          <w:b/>
          <w:bCs/>
        </w:rPr>
        <w:t>30</w:t>
      </w:r>
      <w:r>
        <w:t xml:space="preserve"> décrit la procédure à appliquer pour coordonner les </w:t>
      </w:r>
      <w:r w:rsidR="00D0501B">
        <w:t xml:space="preserve">projets de </w:t>
      </w:r>
      <w:r>
        <w:t>modification</w:t>
      </w:r>
      <w:r w:rsidR="00D0501B">
        <w:t xml:space="preserve"> d</w:t>
      </w:r>
      <w:r>
        <w:t xml:space="preserve">u Plan ou </w:t>
      </w:r>
      <w:r w:rsidR="00D0501B">
        <w:t>de</w:t>
      </w:r>
      <w:r>
        <w:t xml:space="preserve"> la Liste pour le SRS </w:t>
      </w:r>
      <w:r w:rsidR="003D385F">
        <w:t>vis-à-vis du SFS ou du</w:t>
      </w:r>
      <w:r>
        <w:t xml:space="preserve"> SRS non planifiés;</w:t>
      </w:r>
    </w:p>
    <w:p w:rsidR="002E5C64" w:rsidRDefault="002E5C64" w:rsidP="008F5E80">
      <w:r w:rsidRPr="002E5C64">
        <w:rPr>
          <w:i/>
          <w:iCs/>
        </w:rPr>
        <w:t>b)</w:t>
      </w:r>
      <w:r w:rsidRPr="002E5C64">
        <w:rPr>
          <w:i/>
          <w:iCs/>
        </w:rPr>
        <w:tab/>
      </w:r>
      <w:r>
        <w:t xml:space="preserve">que l'Article 7 de l'Appendice </w:t>
      </w:r>
      <w:r w:rsidRPr="00EA1040">
        <w:rPr>
          <w:b/>
          <w:bCs/>
        </w:rPr>
        <w:t>30</w:t>
      </w:r>
      <w:r>
        <w:t xml:space="preserve"> décrit la procédure à appliquer pour coordonner les réseaux du SRS ou du SFS non planifiés </w:t>
      </w:r>
      <w:r w:rsidR="00B927EF">
        <w:t>vis-à-vis</w:t>
      </w:r>
      <w:r w:rsidR="00EA1040">
        <w:t xml:space="preserve"> d</w:t>
      </w:r>
      <w:r w:rsidR="00B927EF">
        <w:t>'</w:t>
      </w:r>
      <w:r>
        <w:t xml:space="preserve">assignations </w:t>
      </w:r>
      <w:r w:rsidR="00EA1040">
        <w:t xml:space="preserve">qui figurent </w:t>
      </w:r>
      <w:r>
        <w:t xml:space="preserve">dans le Plan ou </w:t>
      </w:r>
      <w:r w:rsidR="00B927EF">
        <w:t xml:space="preserve">dans </w:t>
      </w:r>
      <w:r>
        <w:t xml:space="preserve">la Liste pour le SRS ou </w:t>
      </w:r>
      <w:r w:rsidR="00B927EF">
        <w:t>vis-à-vis</w:t>
      </w:r>
      <w:r>
        <w:t xml:space="preserve"> de modifications du Plan ou de la Liste </w:t>
      </w:r>
      <w:r w:rsidR="00CD152D">
        <w:t>soumises</w:t>
      </w:r>
      <w:r>
        <w:t xml:space="preserve"> antérieurement;</w:t>
      </w:r>
    </w:p>
    <w:p w:rsidR="00EA1040" w:rsidRDefault="00EA1040" w:rsidP="008F5E80">
      <w:r w:rsidRPr="00EA1040">
        <w:rPr>
          <w:i/>
          <w:iCs/>
        </w:rPr>
        <w:t>c)</w:t>
      </w:r>
      <w:r>
        <w:tab/>
        <w:t xml:space="preserve">que l'Annexe 1 de l'Appendice </w:t>
      </w:r>
      <w:r w:rsidRPr="00EA1040">
        <w:rPr>
          <w:b/>
          <w:bCs/>
        </w:rPr>
        <w:t>30</w:t>
      </w:r>
      <w:r>
        <w:t xml:space="preserve"> décrit les critères à appliquer pour déterminer si un</w:t>
      </w:r>
      <w:r w:rsidR="00D0501B">
        <w:t xml:space="preserve"> projet de</w:t>
      </w:r>
      <w:r>
        <w:t xml:space="preserve"> modification </w:t>
      </w:r>
      <w:r w:rsidR="00D0501B">
        <w:t>d</w:t>
      </w:r>
      <w:r>
        <w:t xml:space="preserve">u Plan ou </w:t>
      </w:r>
      <w:r w:rsidR="00D0501B">
        <w:t>de</w:t>
      </w:r>
      <w:r>
        <w:t xml:space="preserve"> la Liste pour le SRS nécessite une coordination vis-à-vis de réseaux du SFS ou du SRS non planifiés;</w:t>
      </w:r>
    </w:p>
    <w:p w:rsidR="00EA1040" w:rsidRDefault="00EA1040" w:rsidP="008F5E80">
      <w:r w:rsidRPr="00EA1040">
        <w:rPr>
          <w:i/>
          <w:iCs/>
        </w:rPr>
        <w:t>d)</w:t>
      </w:r>
      <w:r w:rsidRPr="00EA1040">
        <w:rPr>
          <w:i/>
          <w:iCs/>
        </w:rPr>
        <w:tab/>
      </w:r>
      <w:r>
        <w:t xml:space="preserve">que l'Annexe 4 de l'Appendice </w:t>
      </w:r>
      <w:r w:rsidRPr="00B534D0">
        <w:rPr>
          <w:b/>
          <w:bCs/>
        </w:rPr>
        <w:t>30</w:t>
      </w:r>
      <w:r>
        <w:t xml:space="preserve"> décrit les critères à appliquer pour déterminer si un réseau du SFS ou du SRS non planifiés nécessite une coordination vis-à-vis d'assignations qui figurent dans le Plan ou dans la Liste pour le SRS</w:t>
      </w:r>
      <w:r w:rsidR="00BE0F39">
        <w:t xml:space="preserve"> ou de modifications du Plan ou de la Liste soumises antérieurement;</w:t>
      </w:r>
    </w:p>
    <w:p w:rsidR="00BE0F39" w:rsidRDefault="00BE0F39" w:rsidP="008F5E80">
      <w:r w:rsidRPr="00BE0F39">
        <w:rPr>
          <w:i/>
          <w:iCs/>
        </w:rPr>
        <w:t>e)</w:t>
      </w:r>
      <w:r>
        <w:tab/>
        <w:t xml:space="preserve">que l'Annexe 6 de l'Appendice </w:t>
      </w:r>
      <w:r w:rsidRPr="00BE0F39">
        <w:rPr>
          <w:b/>
          <w:bCs/>
        </w:rPr>
        <w:t>30</w:t>
      </w:r>
      <w:r>
        <w:t xml:space="preserve"> présente un résumé des hypothèses utilisées pour déterminer les niveaux</w:t>
      </w:r>
      <w:r w:rsidR="004B7B02">
        <w:t xml:space="preserve"> de</w:t>
      </w:r>
      <w:r>
        <w:t xml:space="preserve"> puissance surfacique qui figurent dans les Annexes 1 et 4 de l'Appendice </w:t>
      </w:r>
      <w:r w:rsidRPr="00BE0F39">
        <w:rPr>
          <w:b/>
          <w:bCs/>
        </w:rPr>
        <w:t>30</w:t>
      </w:r>
      <w:r>
        <w:t>;</w:t>
      </w:r>
    </w:p>
    <w:p w:rsidR="00BE0F39" w:rsidRDefault="00BE0F39" w:rsidP="008F5E80">
      <w:r w:rsidRPr="00BE0F39">
        <w:rPr>
          <w:i/>
          <w:iCs/>
        </w:rPr>
        <w:t>f)</w:t>
      </w:r>
      <w:r>
        <w:tab/>
        <w:t xml:space="preserve">que l'Annexe 7 de l'Appendice </w:t>
      </w:r>
      <w:r w:rsidRPr="00BE0F39">
        <w:rPr>
          <w:b/>
          <w:bCs/>
        </w:rPr>
        <w:t>30</w:t>
      </w:r>
      <w:r>
        <w:t xml:space="preserve"> décrit les </w:t>
      </w:r>
      <w:r w:rsidR="00CD152D">
        <w:t xml:space="preserve">restrictions relatives aux positions orbitales </w:t>
      </w:r>
      <w:r w:rsidR="0095672D">
        <w:t xml:space="preserve">à observer </w:t>
      </w:r>
      <w:r w:rsidR="005A5FEB">
        <w:t>lors des</w:t>
      </w:r>
      <w:r w:rsidR="00F33257">
        <w:t xml:space="preserve"> </w:t>
      </w:r>
      <w:r>
        <w:t xml:space="preserve">modifications du Plan ou de la Liste pour le SRS, ainsi que les limites de p.i.r.e. associées pour le SRS dans la Région </w:t>
      </w:r>
      <w:r w:rsidR="00B534D0">
        <w:t xml:space="preserve">1 </w:t>
      </w:r>
      <w:r>
        <w:t>dans une partie de l'arc,</w:t>
      </w:r>
    </w:p>
    <w:p w:rsidR="00BE0F39" w:rsidRPr="00BE0F39" w:rsidRDefault="00BE0F39" w:rsidP="00122F58">
      <w:pPr>
        <w:pStyle w:val="Call"/>
      </w:pPr>
      <w:r w:rsidRPr="00BE0F39">
        <w:t>reconnaissant en outre</w:t>
      </w:r>
    </w:p>
    <w:p w:rsidR="00EA1040" w:rsidRDefault="00BE0F39" w:rsidP="008F5E80">
      <w:r w:rsidRPr="00BE0F39">
        <w:rPr>
          <w:i/>
          <w:iCs/>
        </w:rPr>
        <w:t>a)</w:t>
      </w:r>
      <w:r>
        <w:tab/>
        <w:t xml:space="preserve">que les restrictions </w:t>
      </w:r>
      <w:r w:rsidR="00B534D0">
        <w:t>décrites</w:t>
      </w:r>
      <w:r>
        <w:t xml:space="preserve"> dans l'Annexe 7 de l'Appendice </w:t>
      </w:r>
      <w:r w:rsidRPr="00BE0F39">
        <w:rPr>
          <w:b/>
          <w:bCs/>
        </w:rPr>
        <w:t>30</w:t>
      </w:r>
      <w:r>
        <w:t xml:space="preserve"> ont été établies afin de faciliter le partage avec le service fixe par satellite (SFS) dans la partie de l'arc orbital utilisée en partage entre les Régions;</w:t>
      </w:r>
    </w:p>
    <w:p w:rsidR="00BE0F39" w:rsidRDefault="00BE0F39" w:rsidP="008F5E80">
      <w:r w:rsidRPr="00FA64FA">
        <w:rPr>
          <w:i/>
          <w:iCs/>
        </w:rPr>
        <w:t>b)</w:t>
      </w:r>
      <w:r>
        <w:tab/>
        <w:t xml:space="preserve">que dans la bande Ku, les attributions au SRS ne sont pas </w:t>
      </w:r>
      <w:r w:rsidR="00FC48CF">
        <w:t>faites à l</w:t>
      </w:r>
      <w:r>
        <w:t>'échelle mondiale, de sorte que, par exemple, la bande 11,7-12,2 GHz est attribuée au SRS dans la Région 1 et au SFS dans la Région 2;</w:t>
      </w:r>
    </w:p>
    <w:p w:rsidR="00FA64FA" w:rsidRDefault="00FA64FA" w:rsidP="008F5E80">
      <w:r w:rsidRPr="00FA64FA">
        <w:rPr>
          <w:i/>
          <w:iCs/>
        </w:rPr>
        <w:t>c)</w:t>
      </w:r>
      <w:r>
        <w:tab/>
        <w:t xml:space="preserve">que les restrictions </w:t>
      </w:r>
      <w:r w:rsidR="00A920A6">
        <w:t>relatives aux positions orbitales</w:t>
      </w:r>
      <w:r>
        <w:t xml:space="preserve"> </w:t>
      </w:r>
      <w:r w:rsidR="00B534D0">
        <w:t>décrites</w:t>
      </w:r>
      <w:r>
        <w:t xml:space="preserve"> dans l'Annexe 7 de l'Appendice </w:t>
      </w:r>
      <w:r w:rsidRPr="00B534D0">
        <w:rPr>
          <w:b/>
          <w:bCs/>
        </w:rPr>
        <w:t>30</w:t>
      </w:r>
      <w:r>
        <w:t xml:space="preserve"> ont été maintenues à la CMR-2000, lors de la dernière conférence de planification en date </w:t>
      </w:r>
      <w:r w:rsidR="005A5FEB">
        <w:t>pour les</w:t>
      </w:r>
      <w:r>
        <w:t xml:space="preserve"> Régions 1 et 3, </w:t>
      </w:r>
      <w:r w:rsidR="00B534D0">
        <w:t>compte tenu de la possibilité, lors</w:t>
      </w:r>
      <w:r>
        <w:t xml:space="preserve"> d'une conférence de planification, </w:t>
      </w:r>
      <w:r w:rsidR="004B7B02">
        <w:t>d'adopter</w:t>
      </w:r>
      <w:r w:rsidR="00B534D0">
        <w:t xml:space="preserve"> </w:t>
      </w:r>
      <w:r>
        <w:t xml:space="preserve">de nombreuses nouvelles assignations </w:t>
      </w:r>
      <w:r w:rsidR="00B534D0">
        <w:t>a</w:t>
      </w:r>
      <w:r>
        <w:t>u SRS</w:t>
      </w:r>
      <w:r w:rsidR="00B927EF">
        <w:t xml:space="preserve"> à la fois</w:t>
      </w:r>
      <w:r w:rsidR="00B534D0">
        <w:t>,</w:t>
      </w:r>
      <w:r>
        <w:t xml:space="preserve"> </w:t>
      </w:r>
      <w:r w:rsidR="00B534D0">
        <w:t>au risque</w:t>
      </w:r>
      <w:r>
        <w:t xml:space="preserve"> de limiter considérablement l'accès </w:t>
      </w:r>
      <w:r w:rsidR="007C5B48">
        <w:t xml:space="preserve">ultérieur </w:t>
      </w:r>
      <w:r>
        <w:t>du SFS à la partie de l'arc orbital utilisée en partage,</w:t>
      </w:r>
    </w:p>
    <w:p w:rsidR="00FA64FA" w:rsidRPr="00FA64FA" w:rsidRDefault="00FA64FA" w:rsidP="00122F58">
      <w:pPr>
        <w:pStyle w:val="Call"/>
      </w:pPr>
      <w:r w:rsidRPr="00FA64FA">
        <w:t>décide d'inviter l'UIT-R</w:t>
      </w:r>
    </w:p>
    <w:p w:rsidR="00FA64FA" w:rsidRDefault="00FA64FA" w:rsidP="008F5E80">
      <w:r>
        <w:t xml:space="preserve">à réexaminer </w:t>
      </w:r>
      <w:r w:rsidR="00105750">
        <w:t>la nécessité</w:t>
      </w:r>
      <w:r>
        <w:t xml:space="preserve"> des </w:t>
      </w:r>
      <w:r w:rsidR="00CD152D">
        <w:t xml:space="preserve">restrictions relatives aux positions orbitales </w:t>
      </w:r>
      <w:r w:rsidR="0095672D">
        <w:t xml:space="preserve">à observer </w:t>
      </w:r>
      <w:r w:rsidR="005A5FEB">
        <w:t>lors des</w:t>
      </w:r>
      <w:r w:rsidR="00F33257">
        <w:t xml:space="preserve"> </w:t>
      </w:r>
      <w:r>
        <w:t xml:space="preserve">modifications des Plans et de la Liste pour le SRS décrites dans l'Annexe 7 de l'Appendice </w:t>
      </w:r>
      <w:r w:rsidRPr="00FA64FA">
        <w:rPr>
          <w:b/>
          <w:bCs/>
        </w:rPr>
        <w:t>30</w:t>
      </w:r>
      <w:r>
        <w:t>, en menant notamment les études nécessaires,</w:t>
      </w:r>
    </w:p>
    <w:p w:rsidR="00FA64FA" w:rsidRPr="00F33257" w:rsidRDefault="00FA64FA" w:rsidP="00122F58">
      <w:pPr>
        <w:pStyle w:val="Call"/>
      </w:pPr>
      <w:r w:rsidRPr="00F33257">
        <w:t>décide d'inviter la CMR-19</w:t>
      </w:r>
    </w:p>
    <w:p w:rsidR="00FA64FA" w:rsidRDefault="007E52B9" w:rsidP="008F5E80">
      <w:r>
        <w:t>à examiner l</w:t>
      </w:r>
      <w:r w:rsidR="00FA64FA">
        <w:t xml:space="preserve">es modifications appropriées de l'Annexe 7 de l'Appendice </w:t>
      </w:r>
      <w:r w:rsidR="00FA64FA" w:rsidRPr="007E52B9">
        <w:rPr>
          <w:b/>
          <w:bCs/>
        </w:rPr>
        <w:t>30</w:t>
      </w:r>
      <w:r w:rsidR="00FA64FA">
        <w:t>, compte tenu des propositions des administrations, en accordant une attention particulière aux systèmes</w:t>
      </w:r>
      <w:r w:rsidR="00F33257">
        <w:t xml:space="preserve"> visés au point </w:t>
      </w:r>
      <w:r w:rsidR="00F33257" w:rsidRPr="00F33257">
        <w:rPr>
          <w:i/>
          <w:iCs/>
        </w:rPr>
        <w:t>e)</w:t>
      </w:r>
      <w:r w:rsidR="00F33257">
        <w:t xml:space="preserve"> du </w:t>
      </w:r>
      <w:r w:rsidR="00F33257" w:rsidRPr="00F33257">
        <w:rPr>
          <w:i/>
          <w:iCs/>
        </w:rPr>
        <w:t>considérant</w:t>
      </w:r>
      <w:r w:rsidR="00F33257">
        <w:t>,</w:t>
      </w:r>
    </w:p>
    <w:p w:rsidR="00F33257" w:rsidRPr="00F33257" w:rsidRDefault="00F33257" w:rsidP="00122F58">
      <w:pPr>
        <w:pStyle w:val="Call"/>
      </w:pPr>
      <w:r w:rsidRPr="00F33257">
        <w:t>invite les administrations</w:t>
      </w:r>
    </w:p>
    <w:p w:rsidR="00F33257" w:rsidRPr="002E5C64" w:rsidRDefault="00F33257" w:rsidP="008F5E80">
      <w:r>
        <w:t>à participer activement à l'examen et aux études en soumettant des contributions à l'UIT-R.</w:t>
      </w:r>
    </w:p>
    <w:p w:rsidR="002D620B" w:rsidRDefault="00B61707" w:rsidP="008F5E80">
      <w:pPr>
        <w:pStyle w:val="Reasons"/>
      </w:pPr>
      <w:r>
        <w:rPr>
          <w:b/>
        </w:rPr>
        <w:lastRenderedPageBreak/>
        <w:t>Motifs:</w:t>
      </w:r>
      <w:r>
        <w:tab/>
      </w:r>
      <w:r w:rsidR="007E52B9">
        <w:t>Rée</w:t>
      </w:r>
      <w:r w:rsidR="00F33257">
        <w:t xml:space="preserve">xaminer </w:t>
      </w:r>
      <w:r w:rsidR="00105750">
        <w:t>la nécessité</w:t>
      </w:r>
      <w:r w:rsidR="00F33257">
        <w:t xml:space="preserve"> des </w:t>
      </w:r>
      <w:r w:rsidR="00CD152D">
        <w:t xml:space="preserve">restrictions relatives aux positions orbitales </w:t>
      </w:r>
      <w:r w:rsidR="0095672D">
        <w:t xml:space="preserve">à observer </w:t>
      </w:r>
      <w:r w:rsidR="005A5FEB">
        <w:t>lors des</w:t>
      </w:r>
      <w:r w:rsidR="00F33257">
        <w:t xml:space="preserve"> modifications des Plans et de la Liste pour le SRS décrites dans l'Annexe 7 de l'Appendice 30, en vue de modifier </w:t>
      </w:r>
      <w:r w:rsidR="007E52B9">
        <w:t>cet</w:t>
      </w:r>
      <w:r w:rsidR="006B5FA1">
        <w:t>te</w:t>
      </w:r>
      <w:r w:rsidR="007E52B9">
        <w:t xml:space="preserve"> A</w:t>
      </w:r>
      <w:r w:rsidR="006B5FA1">
        <w:t>nnex</w:t>
      </w:r>
      <w:r w:rsidR="007E52B9">
        <w:t>e</w:t>
      </w:r>
      <w:r w:rsidR="00F33257">
        <w:t>.</w:t>
      </w:r>
    </w:p>
    <w:p w:rsidR="007B2F8C" w:rsidRDefault="007B2F8C" w:rsidP="008F5E80">
      <w:pPr>
        <w:pStyle w:val="Reasons"/>
      </w:pPr>
    </w:p>
    <w:p w:rsidR="007B2F8C" w:rsidRDefault="007B2F8C" w:rsidP="008F5E80">
      <w:pPr>
        <w:pStyle w:val="Reasons"/>
      </w:pPr>
    </w:p>
    <w:p w:rsidR="007B2F8C" w:rsidRDefault="007B2F8C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Default="00F33257" w:rsidP="008F5E80">
      <w:pPr>
        <w:pStyle w:val="Reasons"/>
      </w:pPr>
    </w:p>
    <w:p w:rsidR="00F33257" w:rsidRPr="00F33257" w:rsidRDefault="00F33257" w:rsidP="008F5E80">
      <w:pPr>
        <w:pStyle w:val="Reasons"/>
        <w:rPr>
          <w:b/>
          <w:bCs/>
        </w:rPr>
      </w:pPr>
      <w:r w:rsidRPr="00F33257">
        <w:rPr>
          <w:b/>
          <w:bCs/>
        </w:rPr>
        <w:t>Pièce jointe: 1</w:t>
      </w:r>
    </w:p>
    <w:p w:rsidR="007B2F8C" w:rsidRDefault="007B2F8C" w:rsidP="008F5E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B2F8C" w:rsidRDefault="007E52B9" w:rsidP="008F5E80">
      <w:pPr>
        <w:jc w:val="center"/>
      </w:pPr>
      <w:r>
        <w:lastRenderedPageBreak/>
        <w:t>PIÈCE JOINTE</w:t>
      </w:r>
    </w:p>
    <w:p w:rsidR="007E52B9" w:rsidRPr="007E52B9" w:rsidRDefault="007E52B9" w:rsidP="008F5E80">
      <w:pPr>
        <w:jc w:val="center"/>
        <w:rPr>
          <w:b/>
          <w:bCs/>
        </w:rPr>
      </w:pPr>
      <w:r w:rsidRPr="007E52B9">
        <w:rPr>
          <w:b/>
          <w:bCs/>
        </w:rPr>
        <w:t xml:space="preserve">Proposition de point de l'ordre du jour </w:t>
      </w:r>
      <w:r>
        <w:rPr>
          <w:b/>
          <w:bCs/>
        </w:rPr>
        <w:t>portant sur</w:t>
      </w:r>
      <w:r w:rsidRPr="007E52B9">
        <w:rPr>
          <w:b/>
          <w:bCs/>
        </w:rPr>
        <w:t xml:space="preserve"> le réexamen des restrictions relatives aux positions orbitales </w:t>
      </w:r>
      <w:r w:rsidR="0095672D">
        <w:rPr>
          <w:b/>
          <w:bCs/>
        </w:rPr>
        <w:t xml:space="preserve">à observer </w:t>
      </w:r>
      <w:r w:rsidR="005A5FEB">
        <w:rPr>
          <w:b/>
          <w:bCs/>
        </w:rPr>
        <w:t>lors des</w:t>
      </w:r>
      <w:r w:rsidRPr="007E52B9">
        <w:rPr>
          <w:b/>
          <w:bCs/>
        </w:rPr>
        <w:t xml:space="preserve"> modifications des Plans et de la Liste pour le SRS décrites dans l'Annexe 7 de l'Appendice 30, ainsi que </w:t>
      </w:r>
      <w:r>
        <w:rPr>
          <w:b/>
          <w:bCs/>
        </w:rPr>
        <w:t xml:space="preserve">sur </w:t>
      </w:r>
      <w:r w:rsidRPr="007E52B9">
        <w:rPr>
          <w:b/>
          <w:bCs/>
        </w:rPr>
        <w:t>l'examen des modifications éventuelles de l'Annexe 7 de l'Appendice 30</w:t>
      </w:r>
    </w:p>
    <w:p w:rsidR="007B2F8C" w:rsidRDefault="007B2F8C" w:rsidP="008F5E80">
      <w:pPr>
        <w:pStyle w:val="Reasons"/>
      </w:pPr>
    </w:p>
    <w:p w:rsidR="000B1C3A" w:rsidRDefault="000B1C3A" w:rsidP="008F5E80">
      <w:pPr>
        <w:pStyle w:val="Reasons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3"/>
        <w:gridCol w:w="5096"/>
      </w:tblGrid>
      <w:tr w:rsidR="007E52B9" w:rsidRPr="00714540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2B9" w:rsidRPr="007E52B9" w:rsidRDefault="007E52B9" w:rsidP="008F5E80">
            <w:r>
              <w:rPr>
                <w:b/>
                <w:bCs/>
                <w:i/>
                <w:iCs/>
              </w:rPr>
              <w:t>Objet:</w:t>
            </w:r>
            <w:r>
              <w:rPr>
                <w:b/>
                <w:bCs/>
                <w:i/>
                <w:iCs/>
              </w:rPr>
              <w:tab/>
            </w:r>
            <w:r w:rsidR="006B5FA1">
              <w:t>Projet de point de l'ordre du jour de la CMR-19 qui vise à r</w:t>
            </w:r>
            <w:r>
              <w:t xml:space="preserve">éexaminer </w:t>
            </w:r>
            <w:r w:rsidR="00105750">
              <w:t>la nécessité</w:t>
            </w:r>
            <w:r>
              <w:t xml:space="preserve"> des restrictions relatives aux positions orbitales </w:t>
            </w:r>
            <w:r w:rsidR="0095672D">
              <w:t xml:space="preserve">à observer </w:t>
            </w:r>
            <w:r w:rsidR="005A5FEB">
              <w:t>lors des</w:t>
            </w:r>
            <w:r>
              <w:t xml:space="preserve"> modifications des Plans et de la Liste </w:t>
            </w:r>
            <w:r w:rsidR="00A920A6">
              <w:t xml:space="preserve">pour le SRS décrites dans l'Annexe 7 de l'Appendice </w:t>
            </w:r>
            <w:r w:rsidR="00A920A6" w:rsidRPr="006B5FA1">
              <w:rPr>
                <w:b/>
                <w:bCs/>
              </w:rPr>
              <w:t>30</w:t>
            </w:r>
            <w:r w:rsidR="00A920A6">
              <w:t xml:space="preserve">, et </w:t>
            </w:r>
            <w:r w:rsidR="006B5FA1">
              <w:t xml:space="preserve">à </w:t>
            </w:r>
            <w:r w:rsidR="00A920A6">
              <w:t xml:space="preserve">examiner les modifications éventuelles de l'Annexe 7 de l'Appendice </w:t>
            </w:r>
            <w:r w:rsidR="00A920A6" w:rsidRPr="00A920A6">
              <w:rPr>
                <w:b/>
                <w:bCs/>
              </w:rPr>
              <w:t>30</w:t>
            </w:r>
            <w:r w:rsidR="00A920A6">
              <w:t>.</w:t>
            </w:r>
          </w:p>
          <w:p w:rsidR="007E52B9" w:rsidRPr="0014454C" w:rsidRDefault="007E52B9" w:rsidP="008F5E80">
            <w:pPr>
              <w:rPr>
                <w:b/>
                <w:bCs/>
                <w:i/>
                <w:iCs/>
              </w:rPr>
            </w:pPr>
          </w:p>
        </w:tc>
      </w:tr>
      <w:tr w:rsidR="007E52B9" w:rsidRPr="00714540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2B9" w:rsidRPr="00A920A6" w:rsidRDefault="007E52B9" w:rsidP="008F5E80">
            <w:r>
              <w:rPr>
                <w:b/>
                <w:bCs/>
                <w:i/>
                <w:iCs/>
              </w:rPr>
              <w:t>Origine:</w:t>
            </w:r>
            <w:r w:rsidR="00A920A6">
              <w:rPr>
                <w:b/>
                <w:bCs/>
                <w:i/>
                <w:iCs/>
              </w:rPr>
              <w:tab/>
            </w:r>
            <w:r w:rsidR="00A920A6">
              <w:t>Etats Membres de la Commission interaméricaine des télécommunications (CITEL)</w:t>
            </w:r>
          </w:p>
          <w:p w:rsidR="007E52B9" w:rsidRPr="0014454C" w:rsidRDefault="007E52B9" w:rsidP="008F5E80">
            <w:pPr>
              <w:rPr>
                <w:b/>
                <w:bCs/>
                <w:i/>
                <w:iCs/>
              </w:rPr>
            </w:pPr>
          </w:p>
        </w:tc>
      </w:tr>
      <w:tr w:rsidR="000B1C3A" w:rsidRPr="00714540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3A" w:rsidRPr="00A920A6" w:rsidRDefault="000B1C3A" w:rsidP="008F5E80">
            <w:pPr>
              <w:rPr>
                <w:b/>
                <w:iCs/>
                <w:color w:val="000000"/>
              </w:rPr>
            </w:pPr>
            <w:r w:rsidRPr="0014454C">
              <w:rPr>
                <w:b/>
                <w:bCs/>
                <w:i/>
                <w:iCs/>
              </w:rPr>
              <w:t>Proposition</w:t>
            </w:r>
            <w:r w:rsidRPr="00714540">
              <w:rPr>
                <w:b/>
                <w:i/>
                <w:color w:val="000000"/>
              </w:rPr>
              <w:t>:</w:t>
            </w:r>
            <w:r w:rsidR="00A920A6">
              <w:rPr>
                <w:b/>
                <w:i/>
                <w:color w:val="000000"/>
              </w:rPr>
              <w:tab/>
            </w:r>
            <w:r w:rsidR="00A920A6" w:rsidRPr="00A920A6">
              <w:rPr>
                <w:bCs/>
                <w:iCs/>
                <w:color w:val="000000"/>
              </w:rPr>
              <w:t xml:space="preserve">réexaminer </w:t>
            </w:r>
            <w:r w:rsidR="00105750">
              <w:rPr>
                <w:bCs/>
                <w:iCs/>
                <w:color w:val="000000"/>
              </w:rPr>
              <w:t>la nécessité</w:t>
            </w:r>
            <w:r w:rsidR="00A920A6">
              <w:rPr>
                <w:bCs/>
                <w:iCs/>
                <w:color w:val="000000"/>
              </w:rPr>
              <w:t xml:space="preserve"> des restrictions relatives aux positions orbitales </w:t>
            </w:r>
            <w:r w:rsidR="0095672D">
              <w:rPr>
                <w:bCs/>
                <w:iCs/>
                <w:color w:val="000000"/>
              </w:rPr>
              <w:t xml:space="preserve">à observer </w:t>
            </w:r>
            <w:r w:rsidR="005A5FEB">
              <w:rPr>
                <w:bCs/>
                <w:iCs/>
                <w:color w:val="000000"/>
              </w:rPr>
              <w:t>lors des</w:t>
            </w:r>
            <w:r w:rsidR="00A920A6">
              <w:rPr>
                <w:bCs/>
                <w:iCs/>
                <w:color w:val="000000"/>
              </w:rPr>
              <w:t xml:space="preserve"> modifications des Plans et de la L</w:t>
            </w:r>
            <w:r w:rsidR="0095672D">
              <w:rPr>
                <w:bCs/>
                <w:iCs/>
                <w:color w:val="000000"/>
              </w:rPr>
              <w:t xml:space="preserve">iste pour le SRS décrites dans </w:t>
            </w:r>
            <w:r w:rsidR="00A920A6">
              <w:rPr>
                <w:bCs/>
                <w:iCs/>
                <w:color w:val="000000"/>
              </w:rPr>
              <w:t xml:space="preserve">l'Annexe 7 de l'Appendice </w:t>
            </w:r>
            <w:r w:rsidR="00A920A6" w:rsidRPr="006B5FA1">
              <w:rPr>
                <w:b/>
                <w:iCs/>
                <w:color w:val="000000"/>
              </w:rPr>
              <w:t>30</w:t>
            </w:r>
            <w:r w:rsidR="00A920A6">
              <w:rPr>
                <w:bCs/>
                <w:iCs/>
                <w:color w:val="000000"/>
              </w:rPr>
              <w:t xml:space="preserve">, mener les études nécessaires et examiner les modifications éventuelles de l'Annexe 7 de l'Appendice </w:t>
            </w:r>
            <w:r w:rsidR="00A920A6" w:rsidRPr="006B5FA1">
              <w:rPr>
                <w:b/>
                <w:iCs/>
                <w:color w:val="000000"/>
              </w:rPr>
              <w:t>30</w:t>
            </w:r>
            <w:r w:rsidR="00A920A6">
              <w:rPr>
                <w:bCs/>
                <w:iCs/>
                <w:color w:val="000000"/>
              </w:rPr>
              <w:t xml:space="preserve">, conformément à la Résolution </w:t>
            </w:r>
            <w:r w:rsidR="00A920A6" w:rsidRPr="00410F93">
              <w:rPr>
                <w:b/>
                <w:iCs/>
                <w:color w:val="000000"/>
              </w:rPr>
              <w:t xml:space="preserve">[IAP-10D-APPENDIX30] </w:t>
            </w:r>
            <w:r w:rsidR="00A920A6" w:rsidRPr="00A920A6">
              <w:rPr>
                <w:b/>
                <w:iCs/>
                <w:color w:val="000000"/>
              </w:rPr>
              <w:t>(CMR</w:t>
            </w:r>
            <w:r w:rsidR="00053A35">
              <w:rPr>
                <w:b/>
                <w:iCs/>
                <w:color w:val="000000"/>
              </w:rPr>
              <w:noBreakHyphen/>
            </w:r>
            <w:r w:rsidR="00A920A6" w:rsidRPr="00A920A6">
              <w:rPr>
                <w:b/>
                <w:iCs/>
                <w:color w:val="000000"/>
              </w:rPr>
              <w:t>15)</w:t>
            </w:r>
          </w:p>
          <w:p w:rsidR="000B1C3A" w:rsidRPr="00714540" w:rsidRDefault="000B1C3A" w:rsidP="008F5E80">
            <w:pPr>
              <w:rPr>
                <w:b/>
                <w:i/>
              </w:rPr>
            </w:pPr>
          </w:p>
        </w:tc>
      </w:tr>
      <w:tr w:rsidR="000B1C3A" w:rsidRPr="00714540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3A" w:rsidRPr="00A920A6" w:rsidRDefault="000B1C3A" w:rsidP="008F5E80">
            <w:pPr>
              <w:rPr>
                <w:bCs/>
                <w:color w:val="000000"/>
              </w:rPr>
            </w:pPr>
            <w:r w:rsidRPr="00695ABE">
              <w:rPr>
                <w:b/>
                <w:bCs/>
                <w:i/>
                <w:iCs/>
              </w:rPr>
              <w:t>Contexte/motif</w:t>
            </w:r>
            <w:r w:rsidRPr="00695ABE">
              <w:rPr>
                <w:b/>
                <w:i/>
                <w:iCs/>
                <w:color w:val="000000"/>
              </w:rPr>
              <w:t>:</w:t>
            </w:r>
            <w:r w:rsidR="00A920A6">
              <w:rPr>
                <w:b/>
                <w:i/>
                <w:iCs/>
                <w:color w:val="000000"/>
              </w:rPr>
              <w:tab/>
            </w:r>
            <w:r w:rsidR="00A920A6">
              <w:t xml:space="preserve">D'après les études </w:t>
            </w:r>
            <w:r w:rsidR="0069109F">
              <w:t>mené</w:t>
            </w:r>
            <w:r w:rsidR="00A920A6">
              <w:t xml:space="preserve">es à ce jour au sujet des espacements orbitaux autorisés entre le SRS et le SFS </w:t>
            </w:r>
            <w:r w:rsidR="0069109F">
              <w:t>compte tenu</w:t>
            </w:r>
            <w:r w:rsidR="00A920A6">
              <w:t xml:space="preserve"> des seuils de déclenchement de la coordination définis dans les Annexes 1 et 4 de l'Appendice </w:t>
            </w:r>
            <w:r w:rsidR="00A920A6" w:rsidRPr="00A920A6">
              <w:rPr>
                <w:b/>
                <w:bCs/>
              </w:rPr>
              <w:t>30</w:t>
            </w:r>
            <w:r w:rsidR="00A920A6">
              <w:t xml:space="preserve">, des systèmes types du SRS et du SFS qui desservent des régions différentes pourraient coexister avec succès sans nécessiter un espacement orbital supérieur à 0,5° ou 2°, </w:t>
            </w:r>
            <w:r w:rsidR="00277A78">
              <w:t>selon les</w:t>
            </w:r>
            <w:r w:rsidR="002F3EE1">
              <w:t xml:space="preserve"> hypothèses </w:t>
            </w:r>
            <w:r w:rsidR="006B5FA1">
              <w:t>retenues en ce qui concerne les</w:t>
            </w:r>
            <w:r w:rsidR="00A920A6">
              <w:t xml:space="preserve"> paramètres de porteuse et la discrimination géographique. </w:t>
            </w:r>
            <w:r w:rsidR="00277A78">
              <w:t>Ces</w:t>
            </w:r>
            <w:r w:rsidR="00A920A6">
              <w:t xml:space="preserve"> espacements orbitaux</w:t>
            </w:r>
            <w:r w:rsidR="002F3EE1">
              <w:t xml:space="preserve"> restreints</w:t>
            </w:r>
            <w:r w:rsidR="00277A78">
              <w:t xml:space="preserve"> </w:t>
            </w:r>
            <w:r w:rsidR="006B5FA1">
              <w:t>suggèrent</w:t>
            </w:r>
            <w:r w:rsidR="00277A78">
              <w:t xml:space="preserve"> que</w:t>
            </w:r>
            <w:r w:rsidR="002F3EE1">
              <w:t xml:space="preserve"> l'application de</w:t>
            </w:r>
            <w:r w:rsidR="00A920A6">
              <w:t xml:space="preserve"> mesures supplémentaires, par exemple les restrictions relatives aux positions orbitales décrites dans l'Annexe 7,</w:t>
            </w:r>
            <w:r w:rsidR="002F5BE8">
              <w:t xml:space="preserve"> pourrait ne plus être nécessaire </w:t>
            </w:r>
            <w:r w:rsidR="00A920A6">
              <w:t>en dehors d</w:t>
            </w:r>
            <w:r w:rsidR="002F3EE1">
              <w:t>es</w:t>
            </w:r>
            <w:r w:rsidR="00A920A6">
              <w:t xml:space="preserve"> conférence</w:t>
            </w:r>
            <w:r w:rsidR="002F3EE1">
              <w:t>s</w:t>
            </w:r>
            <w:r w:rsidR="00A920A6">
              <w:t xml:space="preserve"> de planification.</w:t>
            </w:r>
          </w:p>
          <w:p w:rsidR="000B1C3A" w:rsidRPr="00714540" w:rsidRDefault="000B1C3A" w:rsidP="008F5E80">
            <w:pPr>
              <w:rPr>
                <w:b/>
                <w:i/>
              </w:rPr>
            </w:pPr>
          </w:p>
        </w:tc>
      </w:tr>
      <w:tr w:rsidR="000B1C3A" w:rsidRPr="00714540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3A" w:rsidRPr="002F3EE1" w:rsidRDefault="000B1C3A" w:rsidP="008F5E80">
            <w:pPr>
              <w:rPr>
                <w:bCs/>
                <w:iCs/>
              </w:rPr>
            </w:pPr>
            <w:r w:rsidRPr="0014454C">
              <w:rPr>
                <w:b/>
                <w:bCs/>
                <w:i/>
                <w:iCs/>
                <w:lang w:val="fr-CH"/>
              </w:rPr>
              <w:t>Services de radiocommunication concernés</w:t>
            </w:r>
            <w:r w:rsidRPr="00714540">
              <w:rPr>
                <w:b/>
                <w:i/>
              </w:rPr>
              <w:t>:</w:t>
            </w:r>
            <w:r w:rsidR="002F3EE1">
              <w:rPr>
                <w:b/>
                <w:i/>
              </w:rPr>
              <w:t xml:space="preserve"> </w:t>
            </w:r>
            <w:r w:rsidR="002F3EE1">
              <w:rPr>
                <w:bCs/>
                <w:iCs/>
              </w:rPr>
              <w:t xml:space="preserve">service fixe par satellite et </w:t>
            </w:r>
            <w:r w:rsidR="002F5BE8">
              <w:rPr>
                <w:bCs/>
                <w:iCs/>
              </w:rPr>
              <w:t xml:space="preserve">service de </w:t>
            </w:r>
            <w:r w:rsidR="002F3EE1">
              <w:rPr>
                <w:bCs/>
                <w:iCs/>
              </w:rPr>
              <w:t>radiodiffusion par satellite.</w:t>
            </w:r>
          </w:p>
          <w:p w:rsidR="000B1C3A" w:rsidRPr="00714540" w:rsidRDefault="000B1C3A" w:rsidP="008F5E80">
            <w:pPr>
              <w:rPr>
                <w:b/>
                <w:i/>
              </w:rPr>
            </w:pPr>
          </w:p>
        </w:tc>
      </w:tr>
      <w:tr w:rsidR="000B1C3A" w:rsidRPr="00714540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3A" w:rsidRPr="002F3EE1" w:rsidRDefault="000B1C3A" w:rsidP="008F5E80">
            <w:r w:rsidRPr="0014454C">
              <w:rPr>
                <w:b/>
                <w:bCs/>
                <w:i/>
                <w:iCs/>
                <w:lang w:val="fr-CH"/>
              </w:rPr>
              <w:t>Indication des difficultés éventuelles</w:t>
            </w:r>
            <w:r w:rsidRPr="0014454C">
              <w:rPr>
                <w:b/>
                <w:bCs/>
                <w:i/>
                <w:iCs/>
              </w:rPr>
              <w:t>:</w:t>
            </w:r>
            <w:r w:rsidR="002F3EE1">
              <w:rPr>
                <w:b/>
                <w:bCs/>
                <w:i/>
                <w:iCs/>
              </w:rPr>
              <w:t xml:space="preserve"> </w:t>
            </w:r>
            <w:r w:rsidR="002F3EE1">
              <w:t>Aucune prévue.</w:t>
            </w:r>
          </w:p>
          <w:p w:rsidR="000B1C3A" w:rsidRPr="00714540" w:rsidRDefault="000B1C3A" w:rsidP="008F5E80">
            <w:pPr>
              <w:rPr>
                <w:b/>
                <w:i/>
              </w:rPr>
            </w:pPr>
          </w:p>
        </w:tc>
      </w:tr>
      <w:tr w:rsidR="000B1C3A" w:rsidRPr="009E4745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3A" w:rsidRPr="002F3EE1" w:rsidRDefault="000B1C3A" w:rsidP="00122F58">
            <w:pPr>
              <w:rPr>
                <w:b/>
                <w:lang w:val="fr-CH"/>
              </w:rPr>
            </w:pPr>
            <w:r w:rsidRPr="003A2ED4">
              <w:rPr>
                <w:b/>
                <w:bCs/>
                <w:i/>
                <w:iCs/>
                <w:lang w:val="fr-CH"/>
              </w:rPr>
              <w:t>Etudes précédentes ou en cours sur la question</w:t>
            </w:r>
            <w:r w:rsidRPr="003A2ED4">
              <w:rPr>
                <w:b/>
                <w:bCs/>
                <w:i/>
                <w:iCs/>
              </w:rPr>
              <w:t>:</w:t>
            </w:r>
            <w:r w:rsidR="002F3EE1" w:rsidRPr="002F3EE1">
              <w:rPr>
                <w:i/>
                <w:iCs/>
              </w:rPr>
              <w:t xml:space="preserve"> </w:t>
            </w:r>
            <w:r w:rsidR="00122F58">
              <w:t>A</w:t>
            </w:r>
            <w:r w:rsidR="002F3EE1" w:rsidRPr="002F3EE1">
              <w:t xml:space="preserve"> </w:t>
            </w:r>
            <w:r w:rsidR="002F3EE1">
              <w:t>déterminer.</w:t>
            </w:r>
          </w:p>
          <w:p w:rsidR="000B1C3A" w:rsidRPr="009E4745" w:rsidRDefault="000B1C3A" w:rsidP="008F5E80">
            <w:pPr>
              <w:rPr>
                <w:b/>
                <w:i/>
                <w:lang w:val="fr-CH"/>
              </w:rPr>
            </w:pPr>
          </w:p>
        </w:tc>
      </w:tr>
      <w:tr w:rsidR="000B1C3A" w:rsidRPr="00714540" w:rsidTr="007E52B9"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C3A" w:rsidRPr="002F3EE1" w:rsidRDefault="000B1C3A" w:rsidP="008F5E80">
            <w:pPr>
              <w:rPr>
                <w:color w:val="000000"/>
                <w:lang w:val="fr-CH"/>
              </w:rPr>
            </w:pPr>
            <w:r w:rsidRPr="0014454C">
              <w:rPr>
                <w:b/>
                <w:bCs/>
                <w:i/>
                <w:iCs/>
                <w:lang w:val="fr-CH"/>
              </w:rPr>
              <w:t>Etudes devant être réalisées par</w:t>
            </w:r>
            <w:r w:rsidRPr="0014454C">
              <w:rPr>
                <w:b/>
                <w:bCs/>
                <w:i/>
                <w:iCs/>
              </w:rPr>
              <w:t>:</w:t>
            </w:r>
            <w:r w:rsidR="002F3EE1">
              <w:rPr>
                <w:b/>
                <w:bCs/>
                <w:i/>
                <w:iCs/>
              </w:rPr>
              <w:t xml:space="preserve"> </w:t>
            </w:r>
            <w:r w:rsidR="002F3EE1">
              <w:t>GT 4A</w:t>
            </w:r>
          </w:p>
          <w:p w:rsidR="000B1C3A" w:rsidRPr="009E4745" w:rsidRDefault="000B1C3A" w:rsidP="008F5E80">
            <w:pPr>
              <w:rPr>
                <w:b/>
                <w:i/>
                <w:color w:val="000000"/>
                <w:lang w:val="fr-CH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C3A" w:rsidRPr="00714540" w:rsidRDefault="000B1C3A" w:rsidP="008F5E80">
            <w:pPr>
              <w:rPr>
                <w:b/>
                <w:i/>
                <w:color w:val="000000"/>
              </w:rPr>
            </w:pPr>
            <w:r w:rsidRPr="00504217">
              <w:rPr>
                <w:b/>
                <w:bCs/>
                <w:i/>
                <w:iCs/>
              </w:rPr>
              <w:t>avec la participation de</w:t>
            </w:r>
            <w:r w:rsidRPr="00504217">
              <w:rPr>
                <w:b/>
                <w:bCs/>
                <w:i/>
                <w:iCs/>
                <w:lang w:val="en-GB"/>
              </w:rPr>
              <w:t>:</w:t>
            </w:r>
          </w:p>
        </w:tc>
      </w:tr>
      <w:tr w:rsidR="000B1C3A" w:rsidRPr="009E4745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3A" w:rsidRPr="002F3EE1" w:rsidRDefault="000B1C3A" w:rsidP="008F5E80">
            <w:pPr>
              <w:rPr>
                <w:bCs/>
                <w:iCs/>
                <w:color w:val="000000"/>
                <w:lang w:val="fr-CH"/>
              </w:rPr>
            </w:pPr>
            <w:r w:rsidRPr="0014454C">
              <w:rPr>
                <w:b/>
                <w:bCs/>
                <w:i/>
                <w:iCs/>
                <w:lang w:val="fr-CH"/>
              </w:rPr>
              <w:t>Commissions d'études de l'UIT-R concernées</w:t>
            </w:r>
            <w:r w:rsidRPr="009E4745">
              <w:rPr>
                <w:b/>
                <w:i/>
                <w:color w:val="000000"/>
                <w:lang w:val="fr-CH"/>
              </w:rPr>
              <w:t>:</w:t>
            </w:r>
            <w:r w:rsidR="002F3EE1">
              <w:rPr>
                <w:b/>
                <w:i/>
                <w:color w:val="000000"/>
                <w:lang w:val="fr-CH"/>
              </w:rPr>
              <w:t xml:space="preserve"> </w:t>
            </w:r>
            <w:r w:rsidR="002F3EE1">
              <w:rPr>
                <w:bCs/>
                <w:iCs/>
                <w:color w:val="000000"/>
                <w:lang w:val="fr-CH"/>
              </w:rPr>
              <w:t>Commission d'études 4</w:t>
            </w:r>
          </w:p>
          <w:p w:rsidR="000B1C3A" w:rsidRPr="009E4745" w:rsidRDefault="000B1C3A" w:rsidP="008F5E80">
            <w:pPr>
              <w:rPr>
                <w:b/>
                <w:i/>
                <w:lang w:val="fr-CH"/>
              </w:rPr>
            </w:pPr>
          </w:p>
        </w:tc>
      </w:tr>
      <w:tr w:rsidR="000B1C3A" w:rsidRPr="009E4745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3A" w:rsidRPr="002F3EE1" w:rsidRDefault="000B1C3A" w:rsidP="008F5E80">
            <w:pPr>
              <w:rPr>
                <w:lang w:val="fr-CH"/>
              </w:rPr>
            </w:pPr>
            <w:r w:rsidRPr="0014454C">
              <w:rPr>
                <w:b/>
                <w:bCs/>
                <w:i/>
                <w:iCs/>
              </w:rPr>
              <w:lastRenderedPageBreak/>
              <w:t>Répercussions au niveau des ressources de l'UIT, y compris incidences financières</w:t>
            </w:r>
            <w:r w:rsidRPr="0014454C">
              <w:rPr>
                <w:b/>
                <w:bCs/>
                <w:i/>
                <w:iCs/>
              </w:rPr>
              <w:br/>
              <w:t>(voir le numéro 126 de la Convention):</w:t>
            </w:r>
            <w:r w:rsidR="002F3EE1">
              <w:t xml:space="preserve"> Minimes</w:t>
            </w:r>
          </w:p>
          <w:p w:rsidR="000B1C3A" w:rsidRPr="009E4745" w:rsidRDefault="000B1C3A" w:rsidP="008F5E80">
            <w:pPr>
              <w:rPr>
                <w:b/>
                <w:i/>
                <w:lang w:val="fr-CH"/>
              </w:rPr>
            </w:pPr>
          </w:p>
        </w:tc>
      </w:tr>
      <w:tr w:rsidR="000B1C3A" w:rsidRPr="009E4745" w:rsidTr="007E52B9"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3A" w:rsidRPr="009E4745" w:rsidRDefault="000B1C3A" w:rsidP="008F5E80">
            <w:pPr>
              <w:rPr>
                <w:b/>
                <w:iCs/>
                <w:lang w:val="fr-CH"/>
              </w:rPr>
            </w:pPr>
            <w:r w:rsidRPr="00695ABE">
              <w:rPr>
                <w:b/>
                <w:bCs/>
                <w:i/>
                <w:iCs/>
              </w:rPr>
              <w:t>Proposition régionale commune:</w:t>
            </w:r>
            <w:r w:rsidRPr="009217A6">
              <w:rPr>
                <w:b/>
                <w:bCs/>
              </w:rPr>
              <w:t xml:space="preserve"> </w:t>
            </w:r>
            <w:r w:rsidRPr="009217A6">
              <w:t>Oui/Non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C3A" w:rsidRPr="009E4745" w:rsidRDefault="000B1C3A" w:rsidP="008F5E80">
            <w:pPr>
              <w:rPr>
                <w:b/>
                <w:iCs/>
                <w:lang w:val="fr-CH"/>
              </w:rPr>
            </w:pPr>
            <w:r w:rsidRPr="00695ABE">
              <w:rPr>
                <w:b/>
                <w:bCs/>
                <w:i/>
                <w:iCs/>
              </w:rPr>
              <w:t>Proposition soumise par plusieurs pays:</w:t>
            </w:r>
            <w:r w:rsidRPr="009217A6">
              <w:rPr>
                <w:b/>
                <w:bCs/>
              </w:rPr>
              <w:t xml:space="preserve"> </w:t>
            </w:r>
            <w:r w:rsidRPr="009217A6">
              <w:t>Oui/Non</w:t>
            </w:r>
          </w:p>
          <w:p w:rsidR="000B1C3A" w:rsidRPr="009E4745" w:rsidRDefault="000B1C3A" w:rsidP="008F5E80">
            <w:pPr>
              <w:rPr>
                <w:b/>
                <w:i/>
                <w:lang w:val="en-US"/>
              </w:rPr>
            </w:pPr>
            <w:r w:rsidRPr="003A2ED4">
              <w:rPr>
                <w:b/>
                <w:bCs/>
                <w:i/>
                <w:iCs/>
                <w:lang w:val="fr-CH"/>
              </w:rPr>
              <w:t>Nombre de pays:</w:t>
            </w:r>
          </w:p>
          <w:p w:rsidR="000B1C3A" w:rsidRPr="009E4745" w:rsidRDefault="000B1C3A" w:rsidP="008F5E80">
            <w:pPr>
              <w:rPr>
                <w:b/>
                <w:i/>
                <w:lang w:val="en-US"/>
              </w:rPr>
            </w:pPr>
          </w:p>
        </w:tc>
      </w:tr>
      <w:tr w:rsidR="000B1C3A" w:rsidRPr="00714540" w:rsidTr="007E52B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C3A" w:rsidRPr="00714540" w:rsidRDefault="000B1C3A" w:rsidP="008F5E80">
            <w:pPr>
              <w:rPr>
                <w:b/>
                <w:i/>
              </w:rPr>
            </w:pPr>
            <w:r w:rsidRPr="003A2ED4">
              <w:rPr>
                <w:b/>
                <w:bCs/>
                <w:i/>
                <w:iCs/>
              </w:rPr>
              <w:t>Observations</w:t>
            </w:r>
          </w:p>
          <w:p w:rsidR="000B1C3A" w:rsidRPr="00714540" w:rsidRDefault="000B1C3A" w:rsidP="008F5E80">
            <w:pPr>
              <w:rPr>
                <w:b/>
                <w:i/>
              </w:rPr>
            </w:pPr>
          </w:p>
        </w:tc>
      </w:tr>
    </w:tbl>
    <w:p w:rsidR="000B1C3A" w:rsidRDefault="000B1C3A" w:rsidP="008F5E80"/>
    <w:p w:rsidR="000F29DA" w:rsidRDefault="000F29DA" w:rsidP="008F5E80"/>
    <w:p w:rsidR="000B1C3A" w:rsidRDefault="00B61707" w:rsidP="008F5E80">
      <w:pPr>
        <w:pStyle w:val="Reasons"/>
        <w:jc w:val="center"/>
      </w:pPr>
      <w:r>
        <w:t>___________</w:t>
      </w:r>
    </w:p>
    <w:sectPr w:rsidR="000B1C3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E1" w:rsidRDefault="002F3EE1">
      <w:r>
        <w:separator/>
      </w:r>
    </w:p>
  </w:endnote>
  <w:endnote w:type="continuationSeparator" w:id="0">
    <w:p w:rsidR="002F3EE1" w:rsidRDefault="002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E1" w:rsidRDefault="002F3EE1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57B70">
      <w:rPr>
        <w:noProof/>
        <w:lang w:val="en-US"/>
      </w:rPr>
      <w:t>P:\FRA\ITU-R\CONF-R\CMR15\000\007ADD24ADD04F.docx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7B70">
      <w:rPr>
        <w:noProof/>
      </w:rPr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7B70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E1" w:rsidRDefault="002F3EE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57B70">
      <w:rPr>
        <w:lang w:val="en-US"/>
      </w:rPr>
      <w:t>P:\FRA\ITU-R\CONF-R\CMR15\000\007ADD24ADD04F.docx</w:t>
    </w:r>
    <w:r>
      <w:fldChar w:fldCharType="end"/>
    </w:r>
    <w:r w:rsidR="00CB20EE">
      <w:t xml:space="preserve"> (387565)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7B70"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7B70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E1" w:rsidRDefault="002F3EE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57B70">
      <w:rPr>
        <w:lang w:val="en-US"/>
      </w:rPr>
      <w:t>P:\FRA\ITU-R\CONF-R\CMR15\000\007ADD24ADD04F.docx</w:t>
    </w:r>
    <w:r>
      <w:fldChar w:fldCharType="end"/>
    </w:r>
    <w:r w:rsidR="00CB20EE">
      <w:t xml:space="preserve"> (387565)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7B70"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57B70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E1" w:rsidRDefault="002F3EE1">
      <w:r>
        <w:rPr>
          <w:b/>
        </w:rPr>
        <w:t>_______________</w:t>
      </w:r>
    </w:p>
  </w:footnote>
  <w:footnote w:type="continuationSeparator" w:id="0">
    <w:p w:rsidR="002F3EE1" w:rsidRDefault="002F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E1" w:rsidRDefault="002F3EE1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57B70">
      <w:rPr>
        <w:noProof/>
      </w:rPr>
      <w:t>9</w:t>
    </w:r>
    <w:r>
      <w:fldChar w:fldCharType="end"/>
    </w:r>
  </w:p>
  <w:p w:rsidR="002F3EE1" w:rsidRDefault="002F3EE1" w:rsidP="002C28A4">
    <w:pPr>
      <w:pStyle w:val="Header"/>
    </w:pPr>
    <w:r>
      <w:t>CMR15/7(Add.24)(Add.4)-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2CCC"/>
    <w:rsid w:val="0003522F"/>
    <w:rsid w:val="00053A35"/>
    <w:rsid w:val="000567D9"/>
    <w:rsid w:val="00080E2C"/>
    <w:rsid w:val="000A4755"/>
    <w:rsid w:val="000B1C3A"/>
    <w:rsid w:val="000B2E0C"/>
    <w:rsid w:val="000B3D0C"/>
    <w:rsid w:val="000F29DA"/>
    <w:rsid w:val="00105750"/>
    <w:rsid w:val="001167B9"/>
    <w:rsid w:val="00122F58"/>
    <w:rsid w:val="001267A0"/>
    <w:rsid w:val="001276ED"/>
    <w:rsid w:val="001349D8"/>
    <w:rsid w:val="00134CC1"/>
    <w:rsid w:val="00142817"/>
    <w:rsid w:val="0015203F"/>
    <w:rsid w:val="00160C64"/>
    <w:rsid w:val="00162C69"/>
    <w:rsid w:val="0018169B"/>
    <w:rsid w:val="001827CD"/>
    <w:rsid w:val="0018409E"/>
    <w:rsid w:val="0019352B"/>
    <w:rsid w:val="00194FC4"/>
    <w:rsid w:val="001960D0"/>
    <w:rsid w:val="001B5FB2"/>
    <w:rsid w:val="001C7C48"/>
    <w:rsid w:val="001F17E8"/>
    <w:rsid w:val="001F61E9"/>
    <w:rsid w:val="00204306"/>
    <w:rsid w:val="00232FD2"/>
    <w:rsid w:val="0026554E"/>
    <w:rsid w:val="002678B0"/>
    <w:rsid w:val="00277A78"/>
    <w:rsid w:val="002A4622"/>
    <w:rsid w:val="002A6F8F"/>
    <w:rsid w:val="002B17E5"/>
    <w:rsid w:val="002C0EBF"/>
    <w:rsid w:val="002C28A4"/>
    <w:rsid w:val="002D3B4B"/>
    <w:rsid w:val="002D620B"/>
    <w:rsid w:val="002E5C64"/>
    <w:rsid w:val="002F3EE1"/>
    <w:rsid w:val="002F5BE8"/>
    <w:rsid w:val="00315AFE"/>
    <w:rsid w:val="003606A6"/>
    <w:rsid w:val="0036650C"/>
    <w:rsid w:val="00393ACD"/>
    <w:rsid w:val="003A583E"/>
    <w:rsid w:val="003D385F"/>
    <w:rsid w:val="003E112B"/>
    <w:rsid w:val="003E1D1C"/>
    <w:rsid w:val="003E7B05"/>
    <w:rsid w:val="00410F93"/>
    <w:rsid w:val="004637AF"/>
    <w:rsid w:val="00466211"/>
    <w:rsid w:val="004834A9"/>
    <w:rsid w:val="004B7B02"/>
    <w:rsid w:val="004D01FC"/>
    <w:rsid w:val="004E28C3"/>
    <w:rsid w:val="004F0AE1"/>
    <w:rsid w:val="004F1F8E"/>
    <w:rsid w:val="00511A62"/>
    <w:rsid w:val="00512A32"/>
    <w:rsid w:val="00586CF2"/>
    <w:rsid w:val="005A5FEB"/>
    <w:rsid w:val="005C3768"/>
    <w:rsid w:val="005C6C3F"/>
    <w:rsid w:val="005E2FA5"/>
    <w:rsid w:val="00613635"/>
    <w:rsid w:val="00613BBB"/>
    <w:rsid w:val="0062093D"/>
    <w:rsid w:val="00637ECF"/>
    <w:rsid w:val="00647B59"/>
    <w:rsid w:val="00651F87"/>
    <w:rsid w:val="00690C7B"/>
    <w:rsid w:val="0069109F"/>
    <w:rsid w:val="006A4B45"/>
    <w:rsid w:val="006B5FA1"/>
    <w:rsid w:val="006D4724"/>
    <w:rsid w:val="00701BAE"/>
    <w:rsid w:val="00721F04"/>
    <w:rsid w:val="00730E95"/>
    <w:rsid w:val="007374D3"/>
    <w:rsid w:val="007426B9"/>
    <w:rsid w:val="00764342"/>
    <w:rsid w:val="00774362"/>
    <w:rsid w:val="00786598"/>
    <w:rsid w:val="007A04E8"/>
    <w:rsid w:val="007B2F8C"/>
    <w:rsid w:val="007C5500"/>
    <w:rsid w:val="007C5B48"/>
    <w:rsid w:val="007E52B9"/>
    <w:rsid w:val="00851625"/>
    <w:rsid w:val="00862638"/>
    <w:rsid w:val="00863C0A"/>
    <w:rsid w:val="008A3120"/>
    <w:rsid w:val="008D1A64"/>
    <w:rsid w:val="008D41BE"/>
    <w:rsid w:val="008D58D3"/>
    <w:rsid w:val="008F5E80"/>
    <w:rsid w:val="00906DE0"/>
    <w:rsid w:val="00923064"/>
    <w:rsid w:val="00930FFD"/>
    <w:rsid w:val="00936D25"/>
    <w:rsid w:val="00941EA5"/>
    <w:rsid w:val="009453C9"/>
    <w:rsid w:val="0095672D"/>
    <w:rsid w:val="00964700"/>
    <w:rsid w:val="00966C16"/>
    <w:rsid w:val="0098732F"/>
    <w:rsid w:val="0099692E"/>
    <w:rsid w:val="009A045F"/>
    <w:rsid w:val="009B5971"/>
    <w:rsid w:val="009C749A"/>
    <w:rsid w:val="009C7E7C"/>
    <w:rsid w:val="00A00473"/>
    <w:rsid w:val="00A03C9B"/>
    <w:rsid w:val="00A11A22"/>
    <w:rsid w:val="00A31B84"/>
    <w:rsid w:val="00A36A2A"/>
    <w:rsid w:val="00A37105"/>
    <w:rsid w:val="00A606C3"/>
    <w:rsid w:val="00A83B09"/>
    <w:rsid w:val="00A84541"/>
    <w:rsid w:val="00A920A6"/>
    <w:rsid w:val="00A92CBA"/>
    <w:rsid w:val="00AA4F01"/>
    <w:rsid w:val="00AB70E2"/>
    <w:rsid w:val="00AE36A0"/>
    <w:rsid w:val="00AF2135"/>
    <w:rsid w:val="00B00294"/>
    <w:rsid w:val="00B06132"/>
    <w:rsid w:val="00B534D0"/>
    <w:rsid w:val="00B61707"/>
    <w:rsid w:val="00B64FD0"/>
    <w:rsid w:val="00B927EF"/>
    <w:rsid w:val="00BA5BD0"/>
    <w:rsid w:val="00BB1D82"/>
    <w:rsid w:val="00BE0F39"/>
    <w:rsid w:val="00BE3ED2"/>
    <w:rsid w:val="00BE4F23"/>
    <w:rsid w:val="00BF26E7"/>
    <w:rsid w:val="00C53FCA"/>
    <w:rsid w:val="00C54686"/>
    <w:rsid w:val="00C76BAF"/>
    <w:rsid w:val="00C814B9"/>
    <w:rsid w:val="00CB20EE"/>
    <w:rsid w:val="00CB7305"/>
    <w:rsid w:val="00CD152D"/>
    <w:rsid w:val="00CD516F"/>
    <w:rsid w:val="00D0501B"/>
    <w:rsid w:val="00D119A7"/>
    <w:rsid w:val="00D25FBA"/>
    <w:rsid w:val="00D32B28"/>
    <w:rsid w:val="00D42954"/>
    <w:rsid w:val="00D66EAC"/>
    <w:rsid w:val="00D730DF"/>
    <w:rsid w:val="00D772F0"/>
    <w:rsid w:val="00D77BDC"/>
    <w:rsid w:val="00D835F7"/>
    <w:rsid w:val="00DA0D4E"/>
    <w:rsid w:val="00DC402B"/>
    <w:rsid w:val="00DE0932"/>
    <w:rsid w:val="00E03A27"/>
    <w:rsid w:val="00E049F1"/>
    <w:rsid w:val="00E3309D"/>
    <w:rsid w:val="00E37A25"/>
    <w:rsid w:val="00E537FF"/>
    <w:rsid w:val="00E57B70"/>
    <w:rsid w:val="00E6539B"/>
    <w:rsid w:val="00E70A31"/>
    <w:rsid w:val="00E77772"/>
    <w:rsid w:val="00EA1040"/>
    <w:rsid w:val="00EA3F38"/>
    <w:rsid w:val="00EA5AB6"/>
    <w:rsid w:val="00EC7615"/>
    <w:rsid w:val="00ED16AA"/>
    <w:rsid w:val="00EF662E"/>
    <w:rsid w:val="00F121CE"/>
    <w:rsid w:val="00F148F1"/>
    <w:rsid w:val="00F33257"/>
    <w:rsid w:val="00F57137"/>
    <w:rsid w:val="00F660E4"/>
    <w:rsid w:val="00F82E8C"/>
    <w:rsid w:val="00FA3BBF"/>
    <w:rsid w:val="00FA64FA"/>
    <w:rsid w:val="00FC41F8"/>
    <w:rsid w:val="00FC48C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492A826-A7FE-408F-BBBD-5952F2BB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character" w:customStyle="1" w:styleId="HeadingbChar">
    <w:name w:val="Heading_b Char"/>
    <w:basedOn w:val="DefaultParagraphFont"/>
    <w:link w:val="Headingb"/>
    <w:locked/>
    <w:rsid w:val="000B1C3A"/>
    <w:rPr>
      <w:rFonts w:ascii="Times New Roman" w:hAnsi="Times New Roman"/>
      <w:b/>
      <w:sz w:val="24"/>
      <w:lang w:val="fr-FR" w:eastAsia="en-US"/>
    </w:rPr>
  </w:style>
  <w:style w:type="paragraph" w:customStyle="1" w:styleId="Normalaftertitle0">
    <w:name w:val="Normal_after_title"/>
    <w:basedOn w:val="Normal"/>
    <w:next w:val="Normal"/>
    <w:link w:val="NormalaftertitleChar"/>
    <w:rsid w:val="0099692E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0"/>
    <w:locked/>
    <w:rsid w:val="0099692E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99692E"/>
    <w:rPr>
      <w:rFonts w:ascii="Times New Roman" w:hAnsi="Times New Roman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R15-WRC15-C-0007!A24-A4!MSW-F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BCA37B-CAFB-45D9-8EDC-CC6F020EFCC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32a1a8c5-2265-4ebc-b7a0-2071e2c5c9bb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2784</Words>
  <Characters>14840</Characters>
  <Application>Microsoft Office Word</Application>
  <DocSecurity>0</DocSecurity>
  <Lines>301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R15-WRC15-C-0007!A24-A4!MSW-F</vt:lpstr>
    </vt:vector>
  </TitlesOfParts>
  <Manager>Secrétariat général - Pool</Manager>
  <Company>Union internationale des télécommunications (UIT)</Company>
  <LinksUpToDate>false</LinksUpToDate>
  <CharactersWithSpaces>17521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R15-WRC15-C-0007!A24-A4!MSW-F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16</cp:revision>
  <cp:lastPrinted>2015-10-20T13:09:00Z</cp:lastPrinted>
  <dcterms:created xsi:type="dcterms:W3CDTF">2015-10-13T07:53:00Z</dcterms:created>
  <dcterms:modified xsi:type="dcterms:W3CDTF">2015-10-20T13:09:00Z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