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911"/>
        <w:gridCol w:w="3295"/>
      </w:tblGrid>
      <w:tr w:rsidR="0090121B" w:rsidRPr="0002785D" w:rsidTr="00E361E9">
        <w:trPr>
          <w:cantSplit/>
        </w:trPr>
        <w:tc>
          <w:tcPr>
            <w:tcW w:w="6911" w:type="dxa"/>
          </w:tcPr>
          <w:p w:rsidR="0090121B" w:rsidRPr="00B929C7"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95"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296CB8B8" wp14:editId="4AF7467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E361E9">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95"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E361E9">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95"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E361E9">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95" w:type="dxa"/>
            <w:shd w:val="clear" w:color="auto" w:fill="auto"/>
          </w:tcPr>
          <w:p w:rsidR="0090121B" w:rsidRPr="00B929C7" w:rsidRDefault="00AE658F" w:rsidP="0045384C">
            <w:pPr>
              <w:spacing w:before="0"/>
              <w:rPr>
                <w:rFonts w:ascii="Verdana" w:hAnsi="Verdana"/>
                <w:sz w:val="20"/>
              </w:rPr>
            </w:pPr>
            <w:r w:rsidRPr="00B929C7">
              <w:rPr>
                <w:rFonts w:ascii="Verdana" w:eastAsia="SimSun" w:hAnsi="Verdana" w:cs="Traditional Arabic"/>
                <w:b/>
                <w:sz w:val="20"/>
              </w:rPr>
              <w:t>Addéndum 3 al</w:t>
            </w:r>
            <w:r w:rsidRPr="00B929C7">
              <w:rPr>
                <w:rFonts w:ascii="Verdana" w:eastAsia="SimSun" w:hAnsi="Verdana" w:cs="Traditional Arabic"/>
                <w:b/>
                <w:sz w:val="20"/>
              </w:rPr>
              <w:br/>
              <w:t>Documento 7(Add.24)</w:t>
            </w:r>
            <w:r w:rsidR="0090121B" w:rsidRPr="00B929C7">
              <w:rPr>
                <w:rFonts w:ascii="Verdana" w:hAnsi="Verdana"/>
                <w:b/>
                <w:sz w:val="20"/>
              </w:rPr>
              <w:t>-</w:t>
            </w:r>
            <w:r w:rsidRPr="00B929C7">
              <w:rPr>
                <w:rFonts w:ascii="Verdana" w:hAnsi="Verdana"/>
                <w:b/>
                <w:sz w:val="20"/>
              </w:rPr>
              <w:t>S</w:t>
            </w:r>
          </w:p>
        </w:tc>
      </w:tr>
      <w:bookmarkEnd w:id="1"/>
      <w:tr w:rsidR="000A5B9A" w:rsidRPr="0002785D" w:rsidTr="00E361E9">
        <w:trPr>
          <w:cantSplit/>
        </w:trPr>
        <w:tc>
          <w:tcPr>
            <w:tcW w:w="6911" w:type="dxa"/>
            <w:shd w:val="clear" w:color="auto" w:fill="auto"/>
          </w:tcPr>
          <w:p w:rsidR="000A5B9A" w:rsidRPr="00B929C7" w:rsidRDefault="000A5B9A" w:rsidP="0045384C">
            <w:pPr>
              <w:spacing w:before="0" w:after="48"/>
              <w:rPr>
                <w:rFonts w:ascii="Verdana" w:hAnsi="Verdana"/>
                <w:b/>
                <w:smallCaps/>
                <w:sz w:val="20"/>
              </w:rPr>
            </w:pPr>
          </w:p>
        </w:tc>
        <w:tc>
          <w:tcPr>
            <w:tcW w:w="3295"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29 de septiembre de </w:t>
            </w:r>
            <w:bookmarkStart w:id="2" w:name="_GoBack"/>
            <w:bookmarkEnd w:id="2"/>
            <w:r w:rsidRPr="0002785D">
              <w:rPr>
                <w:rFonts w:ascii="Verdana" w:hAnsi="Verdana"/>
                <w:b/>
                <w:sz w:val="20"/>
                <w:lang w:val="en-US"/>
              </w:rPr>
              <w:t>2015</w:t>
            </w:r>
          </w:p>
        </w:tc>
      </w:tr>
      <w:tr w:rsidR="000A5B9A" w:rsidRPr="0002785D" w:rsidTr="00E361E9">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295"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E361E9">
        <w:trPr>
          <w:cantSplit/>
        </w:trPr>
        <w:tc>
          <w:tcPr>
            <w:tcW w:w="10206" w:type="dxa"/>
            <w:gridSpan w:val="2"/>
          </w:tcPr>
          <w:p w:rsidR="000A5B9A" w:rsidRPr="0002785D" w:rsidRDefault="000A5B9A" w:rsidP="0045384C">
            <w:pPr>
              <w:spacing w:before="0"/>
              <w:rPr>
                <w:rFonts w:ascii="Verdana" w:hAnsi="Verdana"/>
                <w:b/>
                <w:sz w:val="20"/>
                <w:lang w:val="en-US"/>
              </w:rPr>
            </w:pPr>
          </w:p>
        </w:tc>
      </w:tr>
      <w:tr w:rsidR="000A5B9A" w:rsidRPr="0002785D" w:rsidTr="00E361E9">
        <w:trPr>
          <w:cantSplit/>
        </w:trPr>
        <w:tc>
          <w:tcPr>
            <w:tcW w:w="10206" w:type="dxa"/>
            <w:gridSpan w:val="2"/>
          </w:tcPr>
          <w:p w:rsidR="000A5B9A" w:rsidRPr="00B929C7" w:rsidRDefault="000A5B9A" w:rsidP="000A5B9A">
            <w:pPr>
              <w:pStyle w:val="Source"/>
            </w:pPr>
            <w:bookmarkStart w:id="3" w:name="dsource" w:colFirst="0" w:colLast="0"/>
            <w:r w:rsidRPr="00B929C7">
              <w:t>Estados Miembros de la Comisión Interamericana de Telecomunicaciones (CITEL)</w:t>
            </w:r>
          </w:p>
        </w:tc>
      </w:tr>
      <w:tr w:rsidR="000A5B9A" w:rsidRPr="0002785D" w:rsidTr="00E361E9">
        <w:trPr>
          <w:cantSplit/>
        </w:trPr>
        <w:tc>
          <w:tcPr>
            <w:tcW w:w="10206" w:type="dxa"/>
            <w:gridSpan w:val="2"/>
          </w:tcPr>
          <w:p w:rsidR="000A5B9A" w:rsidRPr="00B929C7" w:rsidRDefault="00B929C7" w:rsidP="000A5B9A">
            <w:pPr>
              <w:pStyle w:val="Title1"/>
            </w:pPr>
            <w:bookmarkStart w:id="4" w:name="dtitle1" w:colFirst="0" w:colLast="0"/>
            <w:bookmarkEnd w:id="3"/>
            <w:r w:rsidRPr="00D17C7B">
              <w:rPr>
                <w:lang w:val="es-CO"/>
              </w:rPr>
              <w:t>Propuestas para los trabajos de la Conferencia</w:t>
            </w:r>
          </w:p>
        </w:tc>
      </w:tr>
      <w:tr w:rsidR="000A5B9A" w:rsidRPr="0002785D" w:rsidTr="00E361E9">
        <w:trPr>
          <w:cantSplit/>
        </w:trPr>
        <w:tc>
          <w:tcPr>
            <w:tcW w:w="10206" w:type="dxa"/>
            <w:gridSpan w:val="2"/>
          </w:tcPr>
          <w:p w:rsidR="000A5B9A" w:rsidRPr="00B929C7" w:rsidRDefault="000A5B9A" w:rsidP="000A5B9A">
            <w:pPr>
              <w:pStyle w:val="Title2"/>
            </w:pPr>
            <w:bookmarkStart w:id="5" w:name="dtitle2" w:colFirst="0" w:colLast="0"/>
            <w:bookmarkEnd w:id="4"/>
          </w:p>
        </w:tc>
      </w:tr>
      <w:tr w:rsidR="000A5B9A" w:rsidTr="00E361E9">
        <w:trPr>
          <w:cantSplit/>
        </w:trPr>
        <w:tc>
          <w:tcPr>
            <w:tcW w:w="10206" w:type="dxa"/>
            <w:gridSpan w:val="2"/>
          </w:tcPr>
          <w:p w:rsidR="000A5B9A" w:rsidRDefault="000A5B9A" w:rsidP="000A5B9A">
            <w:pPr>
              <w:pStyle w:val="Agendaitem"/>
            </w:pPr>
            <w:bookmarkStart w:id="6" w:name="dtitle3" w:colFirst="0" w:colLast="0"/>
            <w:bookmarkEnd w:id="5"/>
            <w:r w:rsidRPr="00AE658F">
              <w:t>Punto 10 del orden del día</w:t>
            </w:r>
          </w:p>
        </w:tc>
      </w:tr>
    </w:tbl>
    <w:bookmarkEnd w:id="6"/>
    <w:p w:rsidR="00E1398F" w:rsidRPr="00211854" w:rsidRDefault="001771D8" w:rsidP="001D51F2">
      <w:r w:rsidRPr="00211854">
        <w:t>10</w:t>
      </w:r>
      <w:r w:rsidRPr="00211854">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B929C7" w:rsidRPr="00D14BC3" w:rsidRDefault="00B929C7" w:rsidP="00D14BC3">
      <w:pPr>
        <w:pStyle w:val="Headingb"/>
        <w:rPr>
          <w:rStyle w:val="hps"/>
        </w:rPr>
      </w:pPr>
      <w:r w:rsidRPr="00D14BC3">
        <w:rPr>
          <w:rStyle w:val="hps"/>
        </w:rPr>
        <w:t>Antecedentes</w:t>
      </w:r>
    </w:p>
    <w:p w:rsidR="00B929C7" w:rsidRPr="00BE4984" w:rsidRDefault="00B929C7" w:rsidP="00B929C7">
      <w:pPr>
        <w:rPr>
          <w:lang w:val="es-ES"/>
        </w:rPr>
      </w:pPr>
      <w:r w:rsidRPr="00BE4984">
        <w:rPr>
          <w:rFonts w:eastAsia="SimSun"/>
        </w:rPr>
        <w:t xml:space="preserve">La Organización de Aviación Civil Internacional (OACI) celebró una Reunión Especial sobre Seguimiento Mundial de los Vuelos en mayo de 2014 en Montreal, </w:t>
      </w:r>
      <w:r w:rsidRPr="00BE4984">
        <w:rPr>
          <w:rFonts w:eastAsia="SimSun"/>
          <w:lang w:val="es-ES"/>
        </w:rPr>
        <w:t xml:space="preserve">durante la cual </w:t>
      </w:r>
      <w:r w:rsidRPr="00BE4984">
        <w:rPr>
          <w:rFonts w:eastAsia="SimSun"/>
        </w:rPr>
        <w:t xml:space="preserve">estableció un Grupo de Trabajo Especial (GTE) de la OACI para </w:t>
      </w:r>
      <w:r w:rsidRPr="00BE4984">
        <w:rPr>
          <w:rFonts w:eastAsia="SimSun"/>
          <w:lang w:val="es-ES"/>
        </w:rPr>
        <w:t>que elaborar</w:t>
      </w:r>
      <w:r w:rsidRPr="00BE4984">
        <w:rPr>
          <w:rFonts w:eastAsia="SimSun"/>
        </w:rPr>
        <w:t xml:space="preserve"> un concepto de funcionamiento que permita apoyar el futuro desarrollo de un Sistema Mundial de S</w:t>
      </w:r>
      <w:r w:rsidR="001771D8">
        <w:rPr>
          <w:rFonts w:eastAsia="SimSun"/>
        </w:rPr>
        <w:t>ocorro y Seguridad Aeronáuticos</w:t>
      </w:r>
      <w:r w:rsidRPr="00BE4984">
        <w:rPr>
          <w:rFonts w:eastAsia="SimSun"/>
        </w:rPr>
        <w:t xml:space="preserve"> (</w:t>
      </w:r>
      <w:r w:rsidRPr="00BE4984">
        <w:rPr>
          <w:rFonts w:eastAsia="SimSun"/>
          <w:i/>
          <w:lang w:val="es-ES"/>
        </w:rPr>
        <w:t>Global Aeronautical Distress and Safety System</w:t>
      </w:r>
      <w:r w:rsidRPr="00BE4984">
        <w:rPr>
          <w:rFonts w:eastAsia="SimSun"/>
        </w:rPr>
        <w:t xml:space="preserve">, o GADSS). </w:t>
      </w:r>
      <w:r w:rsidRPr="00BE4984">
        <w:rPr>
          <w:rFonts w:eastAsia="SimSun"/>
          <w:lang w:val="es-ES"/>
        </w:rPr>
        <w:t>El</w:t>
      </w:r>
      <w:r w:rsidRPr="00BE4984">
        <w:rPr>
          <w:rFonts w:eastAsia="SimSun"/>
        </w:rPr>
        <w:t xml:space="preserve"> GTE de la OACI elaboró una versión preliminar del concepto de funcionamiento del G</w:t>
      </w:r>
      <w:r w:rsidRPr="00BE4984">
        <w:rPr>
          <w:color w:val="000000"/>
        </w:rPr>
        <w:t xml:space="preserve">ADSS para la cuestión del seguimiento de los vuelos de las líneas aéreas, que presentó ante la 2ª Conferencia de Seguridad de Alto Nivel de la OACI (2ª HLSC, realizada del 2 al 5 de febrero de 2015). La 2ª HLSC recomendó que la OACI concluya y utilice con celeridad el GADSS para implementar el seguimiento de los vuelos de comportamiento normal y anómalo; el seguimiento autónomo de los vuelos en estado de emergencia; las actividades de rescate y salvamento; la extracción automática de la información contenida en las grabadoras de voz y de datos de vuelo situadas en el puesto de pilotaje; y los procedimientos correspondientes, tales como la gestión de dicha información. En junio de 2015, el GTE entregó a la OACI una versión definitiva del concepto de funcionamiento del GADSS, para que considerara la posibilidad de publicarlo como un documento de la </w:t>
      </w:r>
      <w:r w:rsidRPr="00BE4984">
        <w:rPr>
          <w:color w:val="000000"/>
          <w:lang w:val="es-ES"/>
        </w:rPr>
        <w:t>OACI autorizado por el Secretario General. Se anticipa que la versión definitiva del concepto de funcionamiento del GADSS estará publicado y disponible públicamente en el cuarto trimestre de 2015.</w:t>
      </w:r>
      <w:r w:rsidR="001771D8">
        <w:rPr>
          <w:color w:val="000000"/>
          <w:lang w:val="es-ES"/>
        </w:rPr>
        <w:t xml:space="preserve"> </w:t>
      </w:r>
    </w:p>
    <w:p w:rsidR="00B929C7" w:rsidRPr="00BE4984" w:rsidRDefault="00B929C7" w:rsidP="00B929C7">
      <w:pPr>
        <w:rPr>
          <w:lang w:val="es-ES"/>
        </w:rPr>
      </w:pPr>
      <w:r w:rsidRPr="00BE4984">
        <w:rPr>
          <w:lang w:val="es-ES"/>
        </w:rPr>
        <w:t>A raíz de los cambios previstos para la implementación de varios elementos del GADSS, es probable que</w:t>
      </w:r>
      <w:r w:rsidR="001771D8">
        <w:rPr>
          <w:lang w:val="es-ES"/>
        </w:rPr>
        <w:t xml:space="preserve"> </w:t>
      </w:r>
      <w:r w:rsidRPr="00BE4984">
        <w:rPr>
          <w:lang w:val="es-ES"/>
        </w:rPr>
        <w:t xml:space="preserve">se necesite modificar el Reglamento de Radiocomunicaciones para responder a las nuevas necesidades de la comunidad de la aviación y de las entidades de socorro y seguridad conexas. Por consiguiente, se propone que se agregue un punto al orden del día de la CMR-19, con la suficiente flexibilidad para abarcar las modificaciones que previsiblemente habrá que hacer al </w:t>
      </w:r>
      <w:r w:rsidRPr="00BE4984">
        <w:rPr>
          <w:lang w:val="es-ES"/>
        </w:rPr>
        <w:lastRenderedPageBreak/>
        <w:t>Reglamento de Radiocomunicaciones para permitir la implementación del GADSS, teniendo en cuenta los servicios ya existentes que podrían resultar afectados por esas posibles modificaciones.</w:t>
      </w:r>
    </w:p>
    <w:p w:rsidR="00B929C7" w:rsidRPr="00BE4984" w:rsidRDefault="00B929C7" w:rsidP="00D14BC3">
      <w:pPr>
        <w:pStyle w:val="Headingb"/>
      </w:pPr>
      <w:r w:rsidRPr="00BE4984">
        <w:rPr>
          <w:lang w:val="es-ES"/>
        </w:rPr>
        <w:t>Propuesta</w:t>
      </w:r>
      <w:r>
        <w:rPr>
          <w:lang w:val="es-ES"/>
        </w:rPr>
        <w:t>s</w:t>
      </w:r>
    </w:p>
    <w:p w:rsidR="00E81E15" w:rsidRDefault="001771D8">
      <w:pPr>
        <w:pStyle w:val="Proposal"/>
      </w:pPr>
      <w:r>
        <w:t>SUP</w:t>
      </w:r>
      <w:r>
        <w:tab/>
        <w:t>IAP/7A24A3/1</w:t>
      </w:r>
    </w:p>
    <w:p w:rsidR="00E622F1" w:rsidRPr="00D14182" w:rsidRDefault="001771D8" w:rsidP="00E622F1">
      <w:pPr>
        <w:pStyle w:val="ResNo"/>
      </w:pPr>
      <w:bookmarkStart w:id="7" w:name="_Toc328141496"/>
      <w:r w:rsidRPr="00D14182">
        <w:t xml:space="preserve">RESOLUCIÓN </w:t>
      </w:r>
      <w:r w:rsidRPr="00D14182">
        <w:rPr>
          <w:rStyle w:val="href"/>
        </w:rPr>
        <w:t>808</w:t>
      </w:r>
      <w:r w:rsidRPr="00D14182">
        <w:t xml:space="preserve"> (CMR-12)</w:t>
      </w:r>
      <w:bookmarkEnd w:id="7"/>
    </w:p>
    <w:p w:rsidR="00E622F1" w:rsidRPr="00D14182" w:rsidRDefault="001771D8" w:rsidP="00E622F1">
      <w:pPr>
        <w:pStyle w:val="Restitle"/>
      </w:pPr>
      <w:bookmarkStart w:id="8" w:name="_Toc328141497"/>
      <w:r w:rsidRPr="00D14182">
        <w:t>Orden del día preliminar de la Conferencia Mundial</w:t>
      </w:r>
      <w:r w:rsidRPr="00D14182">
        <w:br/>
        <w:t>de Radiocomunicaciones de 2018</w:t>
      </w:r>
      <w:bookmarkEnd w:id="8"/>
    </w:p>
    <w:p w:rsidR="00E81E15" w:rsidRDefault="001771D8">
      <w:pPr>
        <w:pStyle w:val="Reasons"/>
      </w:pPr>
      <w:r>
        <w:rPr>
          <w:b/>
        </w:rPr>
        <w:t>Motivos:</w:t>
      </w:r>
      <w:r>
        <w:tab/>
      </w:r>
      <w:r w:rsidR="00C31EDF" w:rsidRPr="00882D5D">
        <w:rPr>
          <w:lang w:val="es-AR"/>
        </w:rPr>
        <w:t>Esta Resolución debe eliminarse, ya que la CMR</w:t>
      </w:r>
      <w:r w:rsidR="00C31EDF" w:rsidRPr="00882D5D">
        <w:rPr>
          <w:lang w:val="es-AR"/>
        </w:rPr>
        <w:noBreakHyphen/>
        <w:t>15 creará una nueva Resolución que incluirá el orden del día para la CMR</w:t>
      </w:r>
      <w:r w:rsidR="00C31EDF" w:rsidRPr="00882D5D">
        <w:rPr>
          <w:lang w:val="es-AR"/>
        </w:rPr>
        <w:noBreakHyphen/>
        <w:t>19.</w:t>
      </w:r>
    </w:p>
    <w:p w:rsidR="00E81E15" w:rsidRDefault="001771D8">
      <w:pPr>
        <w:pStyle w:val="Proposal"/>
      </w:pPr>
      <w:r>
        <w:t>ADD</w:t>
      </w:r>
      <w:r>
        <w:tab/>
        <w:t>IAP/7A24A3/2</w:t>
      </w:r>
    </w:p>
    <w:p w:rsidR="00E81E15" w:rsidRDefault="001771D8">
      <w:pPr>
        <w:pStyle w:val="ResNo"/>
      </w:pPr>
      <w:r>
        <w:t>Proyecto de nueva Resolución [IAP-10C-2019]</w:t>
      </w:r>
      <w:r w:rsidR="00C31EDF">
        <w:t xml:space="preserve"> </w:t>
      </w:r>
      <w:r w:rsidR="00C31EDF" w:rsidRPr="00882D5D">
        <w:t>(CMR-15)</w:t>
      </w:r>
    </w:p>
    <w:p w:rsidR="00E81E15" w:rsidRDefault="00C31EDF">
      <w:pPr>
        <w:pStyle w:val="Restitle"/>
        <w:rPr>
          <w:rFonts w:ascii="Times New Roman" w:hAnsi="Times New Roman"/>
          <w:color w:val="000000"/>
          <w:szCs w:val="28"/>
          <w:lang w:val="es-ES"/>
        </w:rPr>
      </w:pPr>
      <w:bookmarkStart w:id="9" w:name="_Toc328141493"/>
      <w:r w:rsidRPr="00882D5D">
        <w:rPr>
          <w:rFonts w:ascii="Times New Roman" w:hAnsi="Times New Roman"/>
          <w:color w:val="000000"/>
          <w:szCs w:val="28"/>
          <w:lang w:val="es-ES"/>
        </w:rPr>
        <w:t xml:space="preserve">Orden del día de la Conferencia Mundial de Radiocomunicaciones de </w:t>
      </w:r>
      <w:bookmarkEnd w:id="9"/>
      <w:r w:rsidRPr="00882D5D">
        <w:rPr>
          <w:rFonts w:ascii="Times New Roman" w:hAnsi="Times New Roman"/>
          <w:color w:val="000000"/>
          <w:szCs w:val="28"/>
          <w:lang w:val="es-ES"/>
        </w:rPr>
        <w:t>2019</w:t>
      </w:r>
    </w:p>
    <w:p w:rsidR="00C31EDF" w:rsidRPr="00C31EDF" w:rsidRDefault="00D14BC3" w:rsidP="00C31EDF">
      <w:pPr>
        <w:rPr>
          <w:lang w:val="es-ES"/>
        </w:rPr>
      </w:pPr>
      <w:r>
        <w:rPr>
          <w:bCs/>
        </w:rPr>
        <w:t>1</w:t>
      </w:r>
      <w:r w:rsidR="00C31EDF" w:rsidRPr="00882D5D">
        <w:rPr>
          <w:bCs/>
        </w:rPr>
        <w:t>[GADSS]</w:t>
      </w:r>
      <w:r w:rsidR="00C31EDF" w:rsidRPr="00882D5D">
        <w:rPr>
          <w:bCs/>
        </w:rPr>
        <w:tab/>
      </w:r>
      <w:r>
        <w:rPr>
          <w:bCs/>
        </w:rPr>
        <w:tab/>
      </w:r>
      <w:r w:rsidR="00C31EDF" w:rsidRPr="00882D5D">
        <w:t>estudiar las medidas reglamentarias, tales como atribuciones de espectro, que serán necesarias para responder a las diversas necesidades del Sistema Mundial de Socorro y Seguridad Aeronáuticos (GADSS) de conformidad con la Resolución</w:t>
      </w:r>
      <w:r w:rsidR="00C31EDF" w:rsidRPr="00882D5D">
        <w:rPr>
          <w:rFonts w:eastAsia="SimSun"/>
        </w:rPr>
        <w:t xml:space="preserve"> </w:t>
      </w:r>
      <w:r w:rsidR="00C31EDF" w:rsidRPr="00882D5D">
        <w:rPr>
          <w:rFonts w:eastAsia="SimSun"/>
          <w:b/>
        </w:rPr>
        <w:t>[IAP-GADSS] (WRC-15)</w:t>
      </w:r>
      <w:r w:rsidR="00C31EDF" w:rsidRPr="00882D5D">
        <w:t>.</w:t>
      </w:r>
    </w:p>
    <w:p w:rsidR="00E81E15" w:rsidRPr="00C31EDF" w:rsidRDefault="001771D8">
      <w:pPr>
        <w:pStyle w:val="Reasons"/>
      </w:pPr>
      <w:r w:rsidRPr="00C31EDF">
        <w:rPr>
          <w:b/>
        </w:rPr>
        <w:t>Motivos:</w:t>
      </w:r>
      <w:r w:rsidRPr="00C31EDF">
        <w:tab/>
      </w:r>
      <w:r w:rsidR="00C31EDF" w:rsidRPr="00C31EDF">
        <w:t>Respaldar las actividades emprendidas por la Organización de Aviación Civil Internacional para cumplir con las exigencias reglamentarias requeridas para implementar el seguimiento de los vuelos de comportamiento normal y anómalo; el seguimiento autónomo de los vuelos en estado de emergencia; las actividades de rescate y salvamento; la extracción automática de la información contenida en las grabadoras de voz y de datos de vuelo situadas en el puesto de pilotaje; y los procedimientos correspondientes, tales como la gestión de dicha información.</w:t>
      </w:r>
    </w:p>
    <w:p w:rsidR="00E81E15" w:rsidRPr="00D14BC3" w:rsidRDefault="001771D8">
      <w:pPr>
        <w:pStyle w:val="Proposal"/>
      </w:pPr>
      <w:r w:rsidRPr="00D14BC3">
        <w:t>ADD</w:t>
      </w:r>
      <w:r w:rsidRPr="00D14BC3">
        <w:tab/>
        <w:t>IAP/7A24A3/3</w:t>
      </w:r>
    </w:p>
    <w:p w:rsidR="00E81E15" w:rsidRDefault="001771D8">
      <w:pPr>
        <w:pStyle w:val="ResNo"/>
      </w:pPr>
      <w:r>
        <w:t>Proyecto de nueva Resolución [IAP-10C-GADSS]</w:t>
      </w:r>
      <w:r w:rsidR="00C31EDF">
        <w:t xml:space="preserve"> </w:t>
      </w:r>
      <w:r w:rsidR="00C31EDF" w:rsidRPr="00882D5D">
        <w:t>(CMR-15)</w:t>
      </w:r>
    </w:p>
    <w:p w:rsidR="00E81E15" w:rsidRDefault="00C31EDF">
      <w:pPr>
        <w:pStyle w:val="Restitle"/>
        <w:rPr>
          <w:szCs w:val="28"/>
          <w:lang w:val="es-ES"/>
        </w:rPr>
      </w:pPr>
      <w:r w:rsidRPr="00882D5D">
        <w:rPr>
          <w:szCs w:val="28"/>
          <w:lang w:val="es-ES"/>
        </w:rPr>
        <w:t>Comunicaciones</w:t>
      </w:r>
      <w:r w:rsidRPr="00BE4984">
        <w:rPr>
          <w:szCs w:val="28"/>
          <w:lang w:val="es-ES"/>
        </w:rPr>
        <w:t xml:space="preserve"> del Sistema Mundial de Socorro y Seguridad Aeronáuticos</w:t>
      </w:r>
    </w:p>
    <w:p w:rsidR="00C31EDF" w:rsidRPr="00BE4984" w:rsidRDefault="00C31EDF" w:rsidP="00C31EDF">
      <w:pPr>
        <w:rPr>
          <w:lang w:val="es-ES" w:eastAsia="nl-NL"/>
        </w:rPr>
      </w:pPr>
      <w:r w:rsidRPr="00BE4984">
        <w:rPr>
          <w:lang w:val="es-ES" w:eastAsia="en-CA"/>
        </w:rPr>
        <w:t>La Conferencia Mundial de Radiocomunicaciones (Ginebra, 2015),</w:t>
      </w:r>
    </w:p>
    <w:p w:rsidR="00C31EDF" w:rsidRPr="00C31EDF" w:rsidRDefault="00C31EDF" w:rsidP="00C31EDF">
      <w:pPr>
        <w:pStyle w:val="Call"/>
      </w:pPr>
      <w:r w:rsidRPr="00C31EDF">
        <w:t>considerando</w:t>
      </w:r>
    </w:p>
    <w:p w:rsidR="00C31EDF" w:rsidRPr="00BE4984" w:rsidRDefault="00C31EDF" w:rsidP="00C31EDF">
      <w:pPr>
        <w:tabs>
          <w:tab w:val="left" w:pos="1080"/>
          <w:tab w:val="left" w:pos="1170"/>
          <w:tab w:val="left" w:pos="1800"/>
        </w:tabs>
        <w:rPr>
          <w:szCs w:val="24"/>
        </w:rPr>
      </w:pPr>
      <w:r w:rsidRPr="00BE4984">
        <w:rPr>
          <w:i/>
          <w:szCs w:val="24"/>
        </w:rPr>
        <w:t>a)</w:t>
      </w:r>
      <w:r w:rsidRPr="00BE4984">
        <w:rPr>
          <w:szCs w:val="24"/>
        </w:rPr>
        <w:tab/>
        <w:t xml:space="preserve">que la Organización de Aviación Civil Internacional (OACI) está desarrollando los elementos para el funcionamiento de un futuro Sistema Mundial de Socorro y Seguridad Aeronáutico </w:t>
      </w:r>
      <w:r w:rsidRPr="00BE4984">
        <w:rPr>
          <w:rFonts w:eastAsia="SimSun"/>
          <w:szCs w:val="24"/>
        </w:rPr>
        <w:t>(GADSS);</w:t>
      </w:r>
    </w:p>
    <w:p w:rsidR="00C31EDF" w:rsidRPr="00BE4984" w:rsidRDefault="00C31EDF" w:rsidP="00C31EDF">
      <w:pPr>
        <w:tabs>
          <w:tab w:val="left" w:pos="1080"/>
          <w:tab w:val="left" w:pos="1170"/>
          <w:tab w:val="left" w:pos="1800"/>
        </w:tabs>
        <w:rPr>
          <w:szCs w:val="24"/>
        </w:rPr>
      </w:pPr>
      <w:r w:rsidRPr="00BE4984">
        <w:rPr>
          <w:i/>
          <w:szCs w:val="24"/>
        </w:rPr>
        <w:t>b)</w:t>
      </w:r>
      <w:r w:rsidRPr="00BE4984">
        <w:rPr>
          <w:szCs w:val="24"/>
        </w:rPr>
        <w:tab/>
        <w:t>que</w:t>
      </w:r>
      <w:r w:rsidRPr="00BE4984">
        <w:rPr>
          <w:szCs w:val="24"/>
          <w:lang w:val="es-ES"/>
        </w:rPr>
        <w:t>,</w:t>
      </w:r>
      <w:r w:rsidRPr="00BE4984">
        <w:rPr>
          <w:szCs w:val="24"/>
        </w:rPr>
        <w:t xml:space="preserve"> en el caso </w:t>
      </w:r>
      <w:r w:rsidRPr="00BE4984">
        <w:rPr>
          <w:szCs w:val="24"/>
          <w:lang w:val="es-ES"/>
        </w:rPr>
        <w:t xml:space="preserve">de </w:t>
      </w:r>
      <w:r w:rsidRPr="00BE4984">
        <w:rPr>
          <w:szCs w:val="24"/>
        </w:rPr>
        <w:t xml:space="preserve">vuelos de aeronaves en </w:t>
      </w:r>
      <w:r w:rsidRPr="00BE4984">
        <w:rPr>
          <w:szCs w:val="24"/>
          <w:lang w:val="es-ES"/>
        </w:rPr>
        <w:t>situaciones de emergencia, es probable que se requiera efectuar comunicaciones adicionales</w:t>
      </w:r>
      <w:r w:rsidRPr="00BE4984">
        <w:rPr>
          <w:szCs w:val="24"/>
        </w:rPr>
        <w:t>;</w:t>
      </w:r>
    </w:p>
    <w:p w:rsidR="00C31EDF" w:rsidRPr="00BE4984" w:rsidRDefault="00C31EDF" w:rsidP="00C31EDF">
      <w:pPr>
        <w:tabs>
          <w:tab w:val="left" w:pos="1080"/>
          <w:tab w:val="left" w:pos="1170"/>
          <w:tab w:val="left" w:pos="1800"/>
        </w:tabs>
        <w:rPr>
          <w:szCs w:val="24"/>
        </w:rPr>
      </w:pPr>
      <w:r w:rsidRPr="00BE4984">
        <w:rPr>
          <w:i/>
          <w:iCs/>
          <w:szCs w:val="24"/>
        </w:rPr>
        <w:t>c)</w:t>
      </w:r>
      <w:r w:rsidRPr="00BE4984">
        <w:rPr>
          <w:szCs w:val="24"/>
        </w:rPr>
        <w:tab/>
        <w:t>que toda disposición reglamentaria relacionada con la implementación del GADSS debería velar por proteger los servicios ya existentes,</w:t>
      </w:r>
    </w:p>
    <w:p w:rsidR="00C31EDF" w:rsidRPr="00BE4984" w:rsidRDefault="00C31EDF" w:rsidP="00C31EDF">
      <w:pPr>
        <w:pStyle w:val="Call"/>
        <w:rPr>
          <w:lang w:val="es-ES"/>
        </w:rPr>
      </w:pPr>
      <w:r w:rsidRPr="00BE4984">
        <w:rPr>
          <w:rStyle w:val="hps"/>
          <w:color w:val="222222"/>
          <w:szCs w:val="24"/>
          <w:lang w:val="es-ES"/>
        </w:rPr>
        <w:lastRenderedPageBreak/>
        <w:t>reconociendo</w:t>
      </w:r>
    </w:p>
    <w:p w:rsidR="00C31EDF" w:rsidRPr="00BE4984" w:rsidRDefault="00C31EDF" w:rsidP="00C31EDF">
      <w:pPr>
        <w:tabs>
          <w:tab w:val="left" w:pos="1080"/>
        </w:tabs>
        <w:spacing w:after="240"/>
        <w:rPr>
          <w:szCs w:val="24"/>
        </w:rPr>
      </w:pPr>
      <w:r w:rsidRPr="00BE4984">
        <w:rPr>
          <w:i/>
          <w:szCs w:val="24"/>
        </w:rPr>
        <w:t>a)</w:t>
      </w:r>
      <w:r w:rsidRPr="00BE4984">
        <w:rPr>
          <w:i/>
          <w:szCs w:val="24"/>
        </w:rPr>
        <w:tab/>
      </w:r>
      <w:r w:rsidRPr="00BE4984">
        <w:rPr>
          <w:szCs w:val="24"/>
        </w:rPr>
        <w:t xml:space="preserve">que </w:t>
      </w:r>
      <w:r w:rsidRPr="00BE4984">
        <w:rPr>
          <w:szCs w:val="24"/>
          <w:lang w:val="es-ES"/>
        </w:rPr>
        <w:t xml:space="preserve">aunque </w:t>
      </w:r>
      <w:r w:rsidRPr="00BE4984">
        <w:rPr>
          <w:szCs w:val="24"/>
        </w:rPr>
        <w:t xml:space="preserve">los elementos constitutivos del GADSS indicados en </w:t>
      </w:r>
      <w:r w:rsidRPr="00BE4984">
        <w:rPr>
          <w:szCs w:val="24"/>
          <w:lang w:val="es-ES"/>
        </w:rPr>
        <w:t xml:space="preserve">el párrafo </w:t>
      </w:r>
      <w:r w:rsidRPr="00BE4984">
        <w:rPr>
          <w:i/>
          <w:szCs w:val="24"/>
        </w:rPr>
        <w:t>considerando (a)</w:t>
      </w:r>
      <w:r w:rsidRPr="00BE4984">
        <w:rPr>
          <w:szCs w:val="24"/>
        </w:rPr>
        <w:t xml:space="preserve"> </w:t>
      </w:r>
      <w:r w:rsidRPr="00BE4984">
        <w:rPr>
          <w:szCs w:val="24"/>
          <w:lang w:val="es-ES"/>
        </w:rPr>
        <w:t>todavía no han sido definidos por la OACI</w:t>
      </w:r>
      <w:r w:rsidRPr="00BE4984">
        <w:rPr>
          <w:szCs w:val="24"/>
        </w:rPr>
        <w:t xml:space="preserve">, </w:t>
      </w:r>
      <w:r w:rsidRPr="00BE4984">
        <w:rPr>
          <w:szCs w:val="24"/>
          <w:lang w:val="es-ES"/>
        </w:rPr>
        <w:t>está previsto que estarán disponibles oportunamente para orientar los estudios que UIT-R realizará y completará para la CMR</w:t>
      </w:r>
      <w:r w:rsidRPr="00BE4984">
        <w:rPr>
          <w:szCs w:val="24"/>
        </w:rPr>
        <w:t>-19;</w:t>
      </w:r>
    </w:p>
    <w:p w:rsidR="00C31EDF" w:rsidRPr="00BE4984" w:rsidRDefault="00C31EDF" w:rsidP="00C31EDF">
      <w:pPr>
        <w:tabs>
          <w:tab w:val="left" w:pos="1080"/>
        </w:tabs>
        <w:rPr>
          <w:szCs w:val="24"/>
        </w:rPr>
      </w:pPr>
      <w:r w:rsidRPr="00BE4984">
        <w:rPr>
          <w:i/>
          <w:szCs w:val="24"/>
        </w:rPr>
        <w:t>b)</w:t>
      </w:r>
      <w:r w:rsidRPr="00BE4984">
        <w:rPr>
          <w:szCs w:val="24"/>
        </w:rPr>
        <w:tab/>
        <w:t xml:space="preserve">que la CMR-19 </w:t>
      </w:r>
      <w:r w:rsidRPr="00BE4984">
        <w:rPr>
          <w:szCs w:val="24"/>
          <w:lang w:val="es-ES"/>
        </w:rPr>
        <w:t>aprobó el</w:t>
      </w:r>
      <w:r w:rsidRPr="00BE4984">
        <w:rPr>
          <w:szCs w:val="24"/>
        </w:rPr>
        <w:t xml:space="preserve"> </w:t>
      </w:r>
      <w:r w:rsidRPr="00BE4984">
        <w:rPr>
          <w:b/>
          <w:szCs w:val="24"/>
        </w:rPr>
        <w:t>No. 5.</w:t>
      </w:r>
      <w:r w:rsidR="0071771D">
        <w:rPr>
          <w:b/>
          <w:szCs w:val="24"/>
        </w:rPr>
        <w:t>AGFT</w:t>
      </w:r>
      <w:r w:rsidRPr="00BE4984">
        <w:rPr>
          <w:szCs w:val="24"/>
        </w:rPr>
        <w:t xml:space="preserve"> que atr</w:t>
      </w:r>
      <w:r>
        <w:rPr>
          <w:szCs w:val="24"/>
        </w:rPr>
        <w:t>ibuye la banda</w:t>
      </w:r>
      <w:r w:rsidR="0071771D">
        <w:rPr>
          <w:szCs w:val="24"/>
        </w:rPr>
        <w:t xml:space="preserve"> de frecuencias 1 087,7</w:t>
      </w:r>
      <w:r w:rsidR="0071771D">
        <w:rPr>
          <w:szCs w:val="24"/>
        </w:rPr>
        <w:noBreakHyphen/>
        <w:t>1 </w:t>
      </w:r>
      <w:r>
        <w:rPr>
          <w:szCs w:val="24"/>
        </w:rPr>
        <w:t>092,</w:t>
      </w:r>
      <w:r w:rsidRPr="00BE4984">
        <w:rPr>
          <w:szCs w:val="24"/>
        </w:rPr>
        <w:t xml:space="preserve">3 MHz </w:t>
      </w:r>
      <w:r w:rsidRPr="00BE4984">
        <w:rPr>
          <w:szCs w:val="24"/>
          <w:lang w:val="es-ES"/>
        </w:rPr>
        <w:t>al servicio móvil aeronáutico</w:t>
      </w:r>
      <w:r w:rsidRPr="00BE4984">
        <w:rPr>
          <w:bCs/>
          <w:szCs w:val="24"/>
        </w:rPr>
        <w:t xml:space="preserve"> (R) (</w:t>
      </w:r>
      <w:r w:rsidRPr="00BE4984">
        <w:rPr>
          <w:bCs/>
          <w:szCs w:val="24"/>
          <w:lang w:val="es-ES"/>
        </w:rPr>
        <w:t>Tierra a espacio</w:t>
      </w:r>
      <w:r w:rsidRPr="00BE4984">
        <w:rPr>
          <w:bCs/>
          <w:szCs w:val="24"/>
        </w:rPr>
        <w:t xml:space="preserve">) </w:t>
      </w:r>
      <w:r w:rsidRPr="00BE4984">
        <w:rPr>
          <w:bCs/>
          <w:szCs w:val="24"/>
          <w:lang w:val="es-ES"/>
        </w:rPr>
        <w:t xml:space="preserve">a título primario exclusivamente a estaciones de radiocomunicación espacial que reciben comunicaciones de un </w:t>
      </w:r>
      <w:r w:rsidRPr="00BE4984">
        <w:rPr>
          <w:bCs/>
          <w:szCs w:val="24"/>
        </w:rPr>
        <w:t>ADS-B</w:t>
      </w:r>
      <w:r w:rsidRPr="00BE4984">
        <w:rPr>
          <w:bCs/>
          <w:szCs w:val="24"/>
          <w:lang w:val="es-ES"/>
        </w:rPr>
        <w:t>,</w:t>
      </w:r>
      <w:r w:rsidRPr="00BE4984">
        <w:rPr>
          <w:bCs/>
          <w:szCs w:val="24"/>
        </w:rPr>
        <w:t xml:space="preserve"> de conformidad con las normas de aeronáutica internacionalmente reconocidas</w:t>
      </w:r>
      <w:r w:rsidRPr="00BE4984">
        <w:rPr>
          <w:bCs/>
          <w:szCs w:val="24"/>
          <w:lang w:val="es-ES"/>
        </w:rPr>
        <w:t xml:space="preserve"> y</w:t>
      </w:r>
      <w:r w:rsidRPr="00BE4984">
        <w:rPr>
          <w:bCs/>
          <w:szCs w:val="24"/>
        </w:rPr>
        <w:t xml:space="preserve"> con el fin de ampliar las capacidades </w:t>
      </w:r>
      <w:r w:rsidRPr="00BE4984">
        <w:rPr>
          <w:bCs/>
          <w:szCs w:val="24"/>
          <w:lang w:val="es-ES"/>
        </w:rPr>
        <w:t>de vigilancia de la infraestructura de gestión del tránsito aéreo</w:t>
      </w:r>
      <w:r w:rsidRPr="00BE4984">
        <w:rPr>
          <w:bCs/>
          <w:szCs w:val="24"/>
        </w:rPr>
        <w:t xml:space="preserve"> </w:t>
      </w:r>
      <w:r w:rsidRPr="00BE4984">
        <w:rPr>
          <w:bCs/>
          <w:szCs w:val="24"/>
          <w:lang w:val="es-ES"/>
        </w:rPr>
        <w:t>para localizar aeronaves, especialmente en espacios aéreos oceánicos, polares y remotos</w:t>
      </w:r>
      <w:r>
        <w:rPr>
          <w:bCs/>
          <w:szCs w:val="24"/>
          <w:lang w:val="es-ES"/>
        </w:rPr>
        <w:t>,</w:t>
      </w:r>
      <w:r w:rsidRPr="00BE4984">
        <w:rPr>
          <w:bCs/>
          <w:szCs w:val="24"/>
        </w:rPr>
        <w:t xml:space="preserve"> </w:t>
      </w:r>
    </w:p>
    <w:p w:rsidR="00C31EDF" w:rsidRPr="00BE4984" w:rsidRDefault="00C31EDF" w:rsidP="00C31EDF">
      <w:pPr>
        <w:pStyle w:val="Call"/>
      </w:pPr>
      <w:r w:rsidRPr="00BE4984">
        <w:rPr>
          <w:lang w:val="es-ES" w:eastAsia="en-CA"/>
        </w:rPr>
        <w:t xml:space="preserve">resuelve invitar al </w:t>
      </w:r>
      <w:r w:rsidRPr="00BE4984">
        <w:t>CMR-19</w:t>
      </w:r>
    </w:p>
    <w:p w:rsidR="00C31EDF" w:rsidRPr="00BE4984" w:rsidRDefault="00C31EDF" w:rsidP="00D14BC3">
      <w:pPr>
        <w:tabs>
          <w:tab w:val="left" w:pos="990"/>
        </w:tabs>
        <w:rPr>
          <w:szCs w:val="24"/>
        </w:rPr>
      </w:pPr>
      <w:r w:rsidRPr="00BE4984">
        <w:rPr>
          <w:szCs w:val="24"/>
        </w:rPr>
        <w:t xml:space="preserve">tomando en cuenta los resultados de los estudios efectuados por UIT-R, a examinar las medidas reglamentarias, incluyendo atribuciones de espectro, que podrían ser necesarias para suministrar los elementos indicados en el párrafo </w:t>
      </w:r>
      <w:r w:rsidRPr="00BE4984">
        <w:rPr>
          <w:i/>
          <w:szCs w:val="24"/>
        </w:rPr>
        <w:t>considerando a)</w:t>
      </w:r>
      <w:r w:rsidRPr="00BE4984">
        <w:rPr>
          <w:szCs w:val="24"/>
        </w:rPr>
        <w:t>, evitando al mismo tiempo que los sistemas ya existentes queden indebidamente restringidos,</w:t>
      </w:r>
    </w:p>
    <w:p w:rsidR="00C31EDF" w:rsidRPr="00C31EDF" w:rsidRDefault="00C31EDF" w:rsidP="00C31EDF">
      <w:pPr>
        <w:pStyle w:val="Call"/>
        <w:rPr>
          <w:lang w:val="es-ES" w:eastAsia="en-CA"/>
        </w:rPr>
      </w:pPr>
      <w:r w:rsidRPr="00C31EDF">
        <w:rPr>
          <w:lang w:val="es-ES" w:eastAsia="en-CA"/>
        </w:rPr>
        <w:t>resuelve invitar al UIT-R</w:t>
      </w:r>
    </w:p>
    <w:p w:rsidR="00C31EDF" w:rsidRPr="00BE4984" w:rsidRDefault="00C31EDF" w:rsidP="00D14BC3">
      <w:pPr>
        <w:tabs>
          <w:tab w:val="left" w:pos="1170"/>
        </w:tabs>
        <w:spacing w:after="240"/>
        <w:rPr>
          <w:color w:val="000000"/>
          <w:szCs w:val="24"/>
        </w:rPr>
      </w:pPr>
      <w:r w:rsidRPr="00BE4984">
        <w:rPr>
          <w:color w:val="000000"/>
          <w:szCs w:val="24"/>
        </w:rPr>
        <w:t xml:space="preserve">a realizar, a tiempo para la </w:t>
      </w:r>
      <w:r w:rsidRPr="00BE4984">
        <w:rPr>
          <w:szCs w:val="24"/>
        </w:rPr>
        <w:t>CMR-19</w:t>
      </w:r>
      <w:r w:rsidRPr="00BE4984">
        <w:rPr>
          <w:color w:val="000000"/>
          <w:szCs w:val="24"/>
        </w:rPr>
        <w:t xml:space="preserve">, los estudios de compartición y de compatibilidad que sean necesarios para </w:t>
      </w:r>
      <w:r w:rsidRPr="00BE4984">
        <w:rPr>
          <w:color w:val="000000"/>
          <w:szCs w:val="24"/>
          <w:lang w:val="es-ES"/>
        </w:rPr>
        <w:t xml:space="preserve">salvaguardar los servicios ya existentes en las bandas de frecuencias que puedan resultar seleccionadas para los elementos indicados en el párrafo </w:t>
      </w:r>
      <w:r w:rsidRPr="00BE4984">
        <w:rPr>
          <w:i/>
          <w:iCs/>
          <w:color w:val="000000"/>
          <w:szCs w:val="24"/>
          <w:shd w:val="clear" w:color="auto" w:fill="FDFDFD"/>
        </w:rPr>
        <w:t>considerando</w:t>
      </w:r>
      <w:r w:rsidRPr="00BE4984">
        <w:rPr>
          <w:i/>
          <w:iCs/>
          <w:color w:val="000000"/>
          <w:szCs w:val="24"/>
          <w:shd w:val="clear" w:color="auto" w:fill="FDFDFD"/>
          <w:lang w:val="es-ES"/>
        </w:rPr>
        <w:t xml:space="preserve"> </w:t>
      </w:r>
      <w:r w:rsidRPr="00BE4984">
        <w:rPr>
          <w:i/>
          <w:iCs/>
          <w:color w:val="000000"/>
          <w:szCs w:val="24"/>
          <w:shd w:val="clear" w:color="auto" w:fill="FDFDFD"/>
        </w:rPr>
        <w:t>a)</w:t>
      </w:r>
      <w:r w:rsidRPr="00BE4984">
        <w:rPr>
          <w:color w:val="000000"/>
          <w:szCs w:val="24"/>
        </w:rPr>
        <w:t>,</w:t>
      </w:r>
    </w:p>
    <w:p w:rsidR="00C31EDF" w:rsidRPr="00C31EDF" w:rsidRDefault="00C31EDF" w:rsidP="00C31EDF">
      <w:pPr>
        <w:pStyle w:val="Call"/>
        <w:rPr>
          <w:lang w:val="es-ES" w:eastAsia="en-CA"/>
        </w:rPr>
      </w:pPr>
      <w:r w:rsidRPr="00C31EDF">
        <w:rPr>
          <w:lang w:val="es-ES" w:eastAsia="en-CA"/>
        </w:rPr>
        <w:t>invita a las administraciones</w:t>
      </w:r>
    </w:p>
    <w:p w:rsidR="00C31EDF" w:rsidRPr="00BE4984" w:rsidRDefault="00C31EDF" w:rsidP="00C31EDF">
      <w:pPr>
        <w:spacing w:after="240"/>
        <w:rPr>
          <w:szCs w:val="24"/>
        </w:rPr>
      </w:pPr>
      <w:r w:rsidRPr="00BE4984">
        <w:rPr>
          <w:szCs w:val="24"/>
        </w:rPr>
        <w:t>a participar activamente en los estudios y a suministrar</w:t>
      </w:r>
      <w:r w:rsidRPr="00BE4984">
        <w:rPr>
          <w:szCs w:val="24"/>
          <w:lang w:val="es-ES"/>
        </w:rPr>
        <w:t xml:space="preserve"> </w:t>
      </w:r>
      <w:r w:rsidRPr="00BE4984">
        <w:rPr>
          <w:szCs w:val="24"/>
        </w:rPr>
        <w:t xml:space="preserve">las características </w:t>
      </w:r>
      <w:r w:rsidRPr="00BE4984">
        <w:rPr>
          <w:szCs w:val="24"/>
          <w:lang w:val="es-ES"/>
        </w:rPr>
        <w:t>técnicas y operacionales de los sistemas en cuestión enviando dicha información al UIT-</w:t>
      </w:r>
      <w:r w:rsidRPr="00BE4984">
        <w:rPr>
          <w:szCs w:val="24"/>
        </w:rPr>
        <w:t xml:space="preserve">R, </w:t>
      </w:r>
    </w:p>
    <w:p w:rsidR="00C31EDF" w:rsidRPr="00C31EDF" w:rsidRDefault="00C31EDF" w:rsidP="00C31EDF">
      <w:pPr>
        <w:pStyle w:val="Call"/>
        <w:rPr>
          <w:lang w:val="es-ES" w:eastAsia="en-CA"/>
        </w:rPr>
      </w:pPr>
      <w:r w:rsidRPr="00C31EDF">
        <w:rPr>
          <w:lang w:eastAsia="en-CA"/>
        </w:rPr>
        <w:t>invita además</w:t>
      </w:r>
    </w:p>
    <w:p w:rsidR="00C31EDF" w:rsidRPr="00BE4984" w:rsidRDefault="00C31EDF" w:rsidP="00C31EDF">
      <w:pPr>
        <w:spacing w:after="240"/>
        <w:rPr>
          <w:szCs w:val="24"/>
        </w:rPr>
      </w:pPr>
      <w:r w:rsidRPr="00BE4984">
        <w:rPr>
          <w:szCs w:val="24"/>
        </w:rPr>
        <w:t xml:space="preserve">a la Organización de Aviación Civil Internacional (OACI), a la Asociación del Transporte Aéreo Internacional (IATA), a las administraciones y </w:t>
      </w:r>
      <w:r w:rsidRPr="00BE4984">
        <w:rPr>
          <w:szCs w:val="24"/>
          <w:lang w:val="es-ES"/>
        </w:rPr>
        <w:t xml:space="preserve">a los </w:t>
      </w:r>
      <w:r w:rsidRPr="00BE4984">
        <w:rPr>
          <w:szCs w:val="24"/>
        </w:rPr>
        <w:t xml:space="preserve">demás organismos pertinentes a participar en los estudios mencionados en el antedicho párrafo </w:t>
      </w:r>
      <w:r w:rsidRPr="00BE4984">
        <w:rPr>
          <w:i/>
          <w:szCs w:val="24"/>
        </w:rPr>
        <w:t>invita a</w:t>
      </w:r>
      <w:r w:rsidR="00D14BC3">
        <w:rPr>
          <w:i/>
          <w:szCs w:val="24"/>
        </w:rPr>
        <w:t>l</w:t>
      </w:r>
      <w:r w:rsidRPr="00BE4984">
        <w:rPr>
          <w:i/>
          <w:szCs w:val="24"/>
        </w:rPr>
        <w:t xml:space="preserve"> UIT</w:t>
      </w:r>
      <w:r w:rsidRPr="00BE4984">
        <w:rPr>
          <w:i/>
          <w:iCs/>
          <w:szCs w:val="24"/>
        </w:rPr>
        <w:noBreakHyphen/>
        <w:t>R</w:t>
      </w:r>
      <w:r w:rsidRPr="00BE4984">
        <w:rPr>
          <w:szCs w:val="24"/>
        </w:rPr>
        <w:t>,</w:t>
      </w:r>
    </w:p>
    <w:p w:rsidR="00C31EDF" w:rsidRPr="00C31EDF" w:rsidRDefault="00C31EDF" w:rsidP="00C31EDF">
      <w:pPr>
        <w:pStyle w:val="Call"/>
        <w:rPr>
          <w:lang w:eastAsia="en-CA"/>
        </w:rPr>
      </w:pPr>
      <w:r w:rsidRPr="00C31EDF">
        <w:rPr>
          <w:lang w:eastAsia="en-CA"/>
        </w:rPr>
        <w:t>encarga al Secretario General</w:t>
      </w:r>
    </w:p>
    <w:p w:rsidR="00C31EDF" w:rsidRPr="00BE4984" w:rsidRDefault="00C31EDF" w:rsidP="00C31EDF">
      <w:r w:rsidRPr="00BE4984">
        <w:t xml:space="preserve">presentar esta resolución a la atención de la Organización de Aviación Civil Internacional y expresar la necesidad de contar oportunamente con la información </w:t>
      </w:r>
      <w:r w:rsidRPr="00BE4984">
        <w:rPr>
          <w:lang w:val="es-ES"/>
        </w:rPr>
        <w:t xml:space="preserve">– </w:t>
      </w:r>
      <w:r w:rsidRPr="00BE4984">
        <w:t xml:space="preserve">sobre características </w:t>
      </w:r>
      <w:r w:rsidRPr="00BE4984">
        <w:rPr>
          <w:lang w:val="es-ES"/>
        </w:rPr>
        <w:t xml:space="preserve">técnicas y necesidades de espectro – relacionada con la implementación del </w:t>
      </w:r>
      <w:r w:rsidRPr="00BE4984">
        <w:t>GADSS</w:t>
      </w:r>
      <w:r w:rsidRPr="00BE4984">
        <w:rPr>
          <w:lang w:val="es-ES"/>
        </w:rPr>
        <w:t xml:space="preserve">, de preferencia antes del 31 de diciembre de 2016, a fin de que los estudios emprendidos por UIT-R puedan ser completados antes de la </w:t>
      </w:r>
      <w:r w:rsidRPr="00BE4984">
        <w:t>CMR-19.</w:t>
      </w:r>
    </w:p>
    <w:p w:rsidR="00E81E15" w:rsidRDefault="001771D8">
      <w:pPr>
        <w:pStyle w:val="Reasons"/>
      </w:pPr>
      <w:r>
        <w:rPr>
          <w:b/>
        </w:rPr>
        <w:t>Motivos:</w:t>
      </w:r>
      <w:r>
        <w:tab/>
      </w:r>
      <w:r w:rsidR="00FE3048" w:rsidRPr="00FE3048">
        <w:t>Una resolución apoyará los estudios necesarios que UIT-R emprenderá en virtud del punto pertinente del orden del día de la CMR-19 agenda.</w:t>
      </w:r>
    </w:p>
    <w:p w:rsidR="00D14BC3" w:rsidRDefault="00D14BC3">
      <w:pPr>
        <w:pStyle w:val="Reasons"/>
      </w:pPr>
    </w:p>
    <w:p w:rsidR="00D14BC3" w:rsidRDefault="00D14BC3">
      <w:pPr>
        <w:pStyle w:val="Reasons"/>
      </w:pPr>
    </w:p>
    <w:p w:rsidR="00D14BC3" w:rsidRDefault="00D14BC3">
      <w:pPr>
        <w:pStyle w:val="Reasons"/>
      </w:pPr>
    </w:p>
    <w:p w:rsidR="00D14BC3" w:rsidRDefault="00D14BC3">
      <w:pPr>
        <w:pStyle w:val="Reasons"/>
      </w:pPr>
    </w:p>
    <w:p w:rsidR="00D14BC3" w:rsidRDefault="00D14BC3">
      <w:pPr>
        <w:pStyle w:val="Reasons"/>
      </w:pPr>
      <w:r w:rsidRPr="00D14BC3">
        <w:rPr>
          <w:b/>
          <w:bCs/>
        </w:rPr>
        <w:t>Adjunto:</w:t>
      </w:r>
      <w:r>
        <w:t xml:space="preserve"> 1</w:t>
      </w:r>
    </w:p>
    <w:p w:rsidR="00DB6C3F" w:rsidRDefault="00DB6C3F">
      <w:pPr>
        <w:tabs>
          <w:tab w:val="clear" w:pos="1134"/>
          <w:tab w:val="clear" w:pos="1871"/>
          <w:tab w:val="clear" w:pos="2268"/>
        </w:tabs>
        <w:overflowPunct/>
        <w:autoSpaceDE/>
        <w:autoSpaceDN/>
        <w:adjustRightInd/>
        <w:spacing w:before="0"/>
        <w:textAlignment w:val="auto"/>
      </w:pPr>
      <w:r>
        <w:br w:type="page"/>
      </w:r>
    </w:p>
    <w:p w:rsidR="00DB6C3F" w:rsidRPr="00BE50D0" w:rsidRDefault="00DB6C3F" w:rsidP="00D104D5">
      <w:pPr>
        <w:pStyle w:val="AnnexNo"/>
        <w:spacing w:before="0"/>
        <w:rPr>
          <w:lang w:val="es-ES"/>
        </w:rPr>
      </w:pPr>
      <w:r w:rsidRPr="00BE50D0">
        <w:rPr>
          <w:lang w:val="es-ES"/>
        </w:rPr>
        <w:lastRenderedPageBreak/>
        <w:t>ADJUNTO</w:t>
      </w:r>
    </w:p>
    <w:p w:rsidR="00DB6C3F" w:rsidRDefault="00DB6C3F" w:rsidP="000332C4">
      <w:pPr>
        <w:pStyle w:val="Annextitle"/>
        <w:spacing w:before="100" w:after="100"/>
        <w:rPr>
          <w:lang w:val="es-ES"/>
        </w:rPr>
      </w:pPr>
      <w:r w:rsidRPr="00BE50D0">
        <w:rPr>
          <w:lang w:val="es-ES"/>
        </w:rPr>
        <w:t xml:space="preserve">PROPUESTA PARA UN PUNTO ADICIONAL EN EL ORDEN DEL DÍA </w:t>
      </w:r>
      <w:r>
        <w:rPr>
          <w:lang w:val="es-ES"/>
        </w:rPr>
        <w:t xml:space="preserve">RESPECTO DEL </w:t>
      </w:r>
      <w:r w:rsidRPr="00D66D3B">
        <w:rPr>
          <w:lang w:val="es-ES"/>
        </w:rPr>
        <w:t>SISTEMA MUNDIAL DE SOCORRO</w:t>
      </w:r>
      <w:r w:rsidR="00D14BC3">
        <w:rPr>
          <w:lang w:val="es-ES"/>
        </w:rPr>
        <w:br/>
      </w:r>
      <w:r w:rsidRPr="00D66D3B">
        <w:rPr>
          <w:lang w:val="es-ES"/>
        </w:rPr>
        <w:t xml:space="preserve"> Y SEGURIDAD AERONÁUTICOS (GADSS)</w:t>
      </w:r>
    </w:p>
    <w:p w:rsidR="00DB6C3F" w:rsidRPr="00FF107A" w:rsidRDefault="00DB6C3F" w:rsidP="000332C4">
      <w:pPr>
        <w:keepNext/>
        <w:spacing w:before="100"/>
        <w:rPr>
          <w:b/>
          <w:color w:val="000000"/>
          <w:szCs w:val="24"/>
        </w:rPr>
      </w:pPr>
      <w:r w:rsidRPr="00472DF6">
        <w:rPr>
          <w:b/>
          <w:i/>
          <w:color w:val="000000"/>
          <w:szCs w:val="24"/>
        </w:rPr>
        <w:t>Asunto:</w:t>
      </w:r>
      <w:r w:rsidRPr="00FF107A">
        <w:rPr>
          <w:b/>
          <w:color w:val="000000"/>
          <w:szCs w:val="24"/>
        </w:rPr>
        <w:t xml:space="preserve"> </w:t>
      </w:r>
      <w:r>
        <w:rPr>
          <w:color w:val="000000"/>
          <w:szCs w:val="24"/>
        </w:rPr>
        <w:t>P</w:t>
      </w:r>
      <w:r w:rsidRPr="00FF107A">
        <w:rPr>
          <w:color w:val="000000"/>
          <w:szCs w:val="24"/>
        </w:rPr>
        <w:t>ropuesta de punto adicional para el futuro orden del día de la C</w:t>
      </w:r>
      <w:r w:rsidRPr="00FF107A">
        <w:rPr>
          <w:szCs w:val="24"/>
        </w:rPr>
        <w:t>MR-19, presentad</w:t>
      </w:r>
      <w:r>
        <w:rPr>
          <w:szCs w:val="24"/>
        </w:rPr>
        <w:t>a</w:t>
      </w:r>
      <w:r w:rsidRPr="00FF107A">
        <w:rPr>
          <w:szCs w:val="24"/>
        </w:rPr>
        <w:t xml:space="preserve"> para apoyar las actividades permanentes que realiza la Organización de Aviación Civil Internacional para facilitar las comunicaciones con aeronaves en situaciones de emergencia.</w:t>
      </w:r>
    </w:p>
    <w:p w:rsidR="00DB6C3F" w:rsidRPr="00FF107A" w:rsidRDefault="00DB6C3F" w:rsidP="008022B4">
      <w:pPr>
        <w:pBdr>
          <w:bottom w:val="single" w:sz="12" w:space="1" w:color="auto"/>
        </w:pBdr>
        <w:tabs>
          <w:tab w:val="left" w:pos="794"/>
          <w:tab w:val="left" w:pos="1191"/>
          <w:tab w:val="left" w:pos="1588"/>
          <w:tab w:val="left" w:pos="1985"/>
        </w:tabs>
        <w:spacing w:before="0"/>
        <w:rPr>
          <w:color w:val="000000"/>
          <w:szCs w:val="24"/>
        </w:rPr>
      </w:pPr>
    </w:p>
    <w:p w:rsidR="00DB6C3F" w:rsidRPr="00571CE3" w:rsidRDefault="00DB6C3F" w:rsidP="008022B4">
      <w:pPr>
        <w:spacing w:before="0"/>
        <w:rPr>
          <w:color w:val="000000"/>
          <w:szCs w:val="24"/>
          <w:lang w:val="es-ES"/>
        </w:rPr>
      </w:pPr>
      <w:r w:rsidRPr="00472DF6">
        <w:rPr>
          <w:b/>
          <w:i/>
          <w:color w:val="000000"/>
          <w:szCs w:val="24"/>
        </w:rPr>
        <w:t>Origen</w:t>
      </w:r>
      <w:r w:rsidRPr="00472DF6">
        <w:rPr>
          <w:i/>
          <w:color w:val="000000"/>
          <w:szCs w:val="24"/>
        </w:rPr>
        <w:t>:</w:t>
      </w:r>
      <w:r w:rsidRPr="00FF107A">
        <w:rPr>
          <w:color w:val="000000"/>
          <w:szCs w:val="24"/>
        </w:rPr>
        <w:t xml:space="preserve"> </w:t>
      </w:r>
      <w:r w:rsidRPr="00D17C7B">
        <w:rPr>
          <w:lang w:val="es-CO"/>
        </w:rPr>
        <w:t>Estados Miembros de la Comisión Interamericana de Telecomunicaciones (CITEL)</w:t>
      </w:r>
    </w:p>
    <w:p w:rsidR="00DB6C3F" w:rsidRPr="00FF107A" w:rsidRDefault="00DB6C3F" w:rsidP="008022B4">
      <w:pPr>
        <w:pBdr>
          <w:bottom w:val="single" w:sz="12" w:space="1" w:color="auto"/>
        </w:pBdr>
        <w:tabs>
          <w:tab w:val="left" w:pos="794"/>
          <w:tab w:val="left" w:pos="1191"/>
          <w:tab w:val="left" w:pos="1588"/>
          <w:tab w:val="left" w:pos="1985"/>
        </w:tabs>
        <w:spacing w:before="0"/>
        <w:rPr>
          <w:color w:val="000000"/>
          <w:szCs w:val="24"/>
        </w:rPr>
      </w:pPr>
    </w:p>
    <w:p w:rsidR="00DB6C3F" w:rsidRPr="00FF107A" w:rsidRDefault="00DB6C3F" w:rsidP="008022B4">
      <w:pPr>
        <w:tabs>
          <w:tab w:val="left" w:pos="360"/>
          <w:tab w:val="left" w:pos="900"/>
        </w:tabs>
        <w:spacing w:before="0"/>
        <w:rPr>
          <w:b/>
          <w:iCs/>
          <w:color w:val="000000"/>
          <w:szCs w:val="24"/>
        </w:rPr>
      </w:pPr>
      <w:r w:rsidRPr="00472DF6">
        <w:rPr>
          <w:b/>
          <w:bCs/>
          <w:i/>
          <w:color w:val="000000"/>
          <w:szCs w:val="24"/>
        </w:rPr>
        <w:t>Propuesta</w:t>
      </w:r>
      <w:r w:rsidRPr="00472DF6">
        <w:rPr>
          <w:b/>
          <w:i/>
          <w:iCs/>
          <w:color w:val="000000"/>
          <w:szCs w:val="24"/>
        </w:rPr>
        <w:t>:</w:t>
      </w:r>
      <w:r w:rsidRPr="00FF107A">
        <w:rPr>
          <w:iCs/>
          <w:color w:val="000000"/>
          <w:szCs w:val="24"/>
        </w:rPr>
        <w:t xml:space="preserve"> </w:t>
      </w:r>
      <w:r w:rsidRPr="00FF107A">
        <w:rPr>
          <w:szCs w:val="24"/>
        </w:rPr>
        <w:t>atender las diversas necesidades del Sistema Mundial de Socorro y Seguridad Aeronáuticos</w:t>
      </w:r>
      <w:r w:rsidRPr="00FF107A">
        <w:rPr>
          <w:iCs/>
          <w:color w:val="000000"/>
          <w:szCs w:val="24"/>
        </w:rPr>
        <w:t>.</w:t>
      </w:r>
    </w:p>
    <w:p w:rsidR="00DB6C3F" w:rsidRPr="00FF107A" w:rsidRDefault="00DB6C3F" w:rsidP="008022B4">
      <w:pPr>
        <w:pBdr>
          <w:bottom w:val="single" w:sz="12" w:space="1" w:color="auto"/>
        </w:pBdr>
        <w:tabs>
          <w:tab w:val="left" w:pos="794"/>
          <w:tab w:val="left" w:pos="1191"/>
          <w:tab w:val="left" w:pos="1588"/>
          <w:tab w:val="left" w:pos="1985"/>
        </w:tabs>
        <w:spacing w:before="0"/>
        <w:rPr>
          <w:color w:val="000000"/>
          <w:szCs w:val="24"/>
        </w:rPr>
      </w:pPr>
    </w:p>
    <w:p w:rsidR="00DB6C3F" w:rsidRPr="00FF107A" w:rsidRDefault="00DB6C3F" w:rsidP="008022B4">
      <w:pPr>
        <w:spacing w:before="0"/>
        <w:rPr>
          <w:szCs w:val="24"/>
        </w:rPr>
      </w:pPr>
      <w:r w:rsidRPr="00FF107A">
        <w:rPr>
          <w:b/>
          <w:i/>
          <w:color w:val="000000"/>
          <w:szCs w:val="24"/>
        </w:rPr>
        <w:t>Antecedentes/</w:t>
      </w:r>
      <w:r>
        <w:rPr>
          <w:b/>
          <w:i/>
          <w:color w:val="000000"/>
          <w:szCs w:val="24"/>
        </w:rPr>
        <w:t>motivos</w:t>
      </w:r>
      <w:r w:rsidRPr="00FF107A">
        <w:rPr>
          <w:b/>
          <w:bCs/>
          <w:i/>
          <w:iCs/>
          <w:color w:val="000000"/>
          <w:szCs w:val="24"/>
        </w:rPr>
        <w:t>:</w:t>
      </w:r>
      <w:r w:rsidRPr="00FF107A">
        <w:rPr>
          <w:szCs w:val="24"/>
        </w:rPr>
        <w:t xml:space="preserve"> </w:t>
      </w:r>
    </w:p>
    <w:p w:rsidR="00DB6C3F" w:rsidRPr="00FF107A" w:rsidRDefault="00DB6C3F" w:rsidP="000332C4">
      <w:pPr>
        <w:spacing w:before="80"/>
        <w:rPr>
          <w:rFonts w:eastAsia="SimSun"/>
          <w:szCs w:val="24"/>
        </w:rPr>
      </w:pPr>
      <w:r w:rsidRPr="00FF107A">
        <w:rPr>
          <w:rFonts w:eastAsia="SimSun"/>
          <w:szCs w:val="24"/>
        </w:rPr>
        <w:t xml:space="preserve">La </w:t>
      </w:r>
      <w:r w:rsidRPr="00FF107A">
        <w:rPr>
          <w:szCs w:val="24"/>
        </w:rPr>
        <w:t xml:space="preserve">Organización de Aviación Civil Internacional </w:t>
      </w:r>
      <w:r w:rsidRPr="00FF107A">
        <w:rPr>
          <w:rFonts w:eastAsia="SimSun"/>
          <w:szCs w:val="24"/>
        </w:rPr>
        <w:t xml:space="preserve">(OACI) ha elaborado un concepto de funcionamiento para apoyar el futuro desarrollo de un </w:t>
      </w:r>
      <w:r w:rsidRPr="00FF107A">
        <w:rPr>
          <w:szCs w:val="24"/>
        </w:rPr>
        <w:t>Sistema Mundial de Socorro y Seguridad Aeronáuticos</w:t>
      </w:r>
      <w:r w:rsidRPr="00FF107A">
        <w:rPr>
          <w:rFonts w:eastAsia="SimSun"/>
          <w:szCs w:val="24"/>
        </w:rPr>
        <w:t xml:space="preserve"> (GADSS).</w:t>
      </w:r>
      <w:r w:rsidR="001771D8">
        <w:rPr>
          <w:rFonts w:eastAsia="SimSun"/>
          <w:szCs w:val="24"/>
        </w:rPr>
        <w:t xml:space="preserve"> </w:t>
      </w:r>
      <w:r w:rsidRPr="00FF107A">
        <w:rPr>
          <w:color w:val="000000"/>
          <w:szCs w:val="24"/>
        </w:rPr>
        <w:t xml:space="preserve">La 2ª Conferencia de Seguridad de Alto Nivel de la OACI (2ª HLSC) ha recomendado que la </w:t>
      </w:r>
      <w:r w:rsidRPr="00FF107A">
        <w:rPr>
          <w:rFonts w:eastAsia="SimSun"/>
          <w:szCs w:val="24"/>
        </w:rPr>
        <w:t>OACI</w:t>
      </w:r>
      <w:r w:rsidRPr="00FF107A">
        <w:rPr>
          <w:color w:val="000000"/>
          <w:szCs w:val="24"/>
        </w:rPr>
        <w:t xml:space="preserve"> concluya y utilice con celeridad el GADSS para implementar el seguimiento de los vuelos de comportamiento normal y anómalo; el seguimiento autónomo de los vuelos en estado de emergencia; las actividades de rescate y salvamento; la extracción automática de la información contenida en las grabadoras de voz y de datos de vuelo situadas en el puesto de pilotaje; y los procedimientos correspondientes, tales como la gestión de dicha información.</w:t>
      </w:r>
      <w:r w:rsidRPr="00571CE3">
        <w:rPr>
          <w:color w:val="000000"/>
          <w:szCs w:val="24"/>
          <w:lang w:val="es-ES"/>
        </w:rPr>
        <w:t xml:space="preserve"> Debido a la complejidad de los asuntos abordados, el complemento de requisitos reglamentarios de la OACI para el </w:t>
      </w:r>
      <w:r w:rsidRPr="00FF107A">
        <w:rPr>
          <w:rFonts w:eastAsia="SimSun"/>
          <w:szCs w:val="24"/>
        </w:rPr>
        <w:t xml:space="preserve">GADSS </w:t>
      </w:r>
      <w:r w:rsidRPr="00571CE3">
        <w:rPr>
          <w:rFonts w:eastAsia="SimSun"/>
          <w:szCs w:val="24"/>
          <w:lang w:val="es-ES"/>
        </w:rPr>
        <w:t xml:space="preserve">no pudo ser examinado en su totalidad en la </w:t>
      </w:r>
      <w:r w:rsidRPr="00FF107A">
        <w:rPr>
          <w:szCs w:val="24"/>
        </w:rPr>
        <w:t>CMR-1</w:t>
      </w:r>
      <w:r>
        <w:rPr>
          <w:szCs w:val="24"/>
        </w:rPr>
        <w:t>5</w:t>
      </w:r>
      <w:r w:rsidRPr="00FF107A">
        <w:rPr>
          <w:rFonts w:eastAsia="SimSun"/>
          <w:szCs w:val="24"/>
        </w:rPr>
        <w:t>.</w:t>
      </w:r>
      <w:r w:rsidR="001771D8">
        <w:rPr>
          <w:rFonts w:eastAsia="SimSun"/>
          <w:szCs w:val="24"/>
        </w:rPr>
        <w:t xml:space="preserve"> </w:t>
      </w:r>
    </w:p>
    <w:p w:rsidR="00DB6C3F" w:rsidRPr="00FF107A" w:rsidRDefault="00DB6C3F" w:rsidP="008022B4">
      <w:pPr>
        <w:pBdr>
          <w:bottom w:val="single" w:sz="12" w:space="1" w:color="auto"/>
        </w:pBdr>
        <w:spacing w:before="0"/>
        <w:rPr>
          <w:color w:val="000000"/>
          <w:szCs w:val="24"/>
        </w:rPr>
      </w:pPr>
    </w:p>
    <w:p w:rsidR="00DB6C3F" w:rsidRPr="00571CE3" w:rsidRDefault="00DB6C3F" w:rsidP="008022B4">
      <w:pPr>
        <w:spacing w:before="0"/>
        <w:rPr>
          <w:bCs/>
          <w:color w:val="000000"/>
          <w:szCs w:val="24"/>
          <w:lang w:val="es-ES"/>
        </w:rPr>
      </w:pPr>
      <w:r w:rsidRPr="00FF107A">
        <w:rPr>
          <w:b/>
          <w:i/>
          <w:color w:val="000000"/>
          <w:szCs w:val="24"/>
          <w:lang w:val="es-ES"/>
        </w:rPr>
        <w:t>Servicios de radiocomunicaciones en cuestión</w:t>
      </w:r>
      <w:r w:rsidRPr="00571CE3">
        <w:rPr>
          <w:b/>
          <w:bCs/>
          <w:i/>
          <w:iCs/>
          <w:color w:val="000000"/>
          <w:szCs w:val="24"/>
          <w:lang w:val="es-ES"/>
        </w:rPr>
        <w:t xml:space="preserve">: </w:t>
      </w:r>
      <w:r w:rsidRPr="00571CE3">
        <w:rPr>
          <w:bCs/>
          <w:iCs/>
          <w:color w:val="000000"/>
          <w:szCs w:val="24"/>
          <w:lang w:val="es-ES"/>
        </w:rPr>
        <w:t>Servicio fijo por satélite, servicio móvil por satélite, servicio móvil</w:t>
      </w:r>
    </w:p>
    <w:p w:rsidR="00DB6C3F" w:rsidRPr="00571CE3" w:rsidRDefault="00DB6C3F" w:rsidP="008022B4">
      <w:pPr>
        <w:pBdr>
          <w:bottom w:val="single" w:sz="12" w:space="1" w:color="auto"/>
        </w:pBdr>
        <w:spacing w:before="0"/>
        <w:rPr>
          <w:color w:val="000000"/>
          <w:szCs w:val="24"/>
          <w:lang w:val="es-ES"/>
        </w:rPr>
      </w:pPr>
    </w:p>
    <w:p w:rsidR="00DB6C3F" w:rsidRPr="00571CE3" w:rsidRDefault="00DB6C3F" w:rsidP="008022B4">
      <w:pPr>
        <w:spacing w:before="0"/>
        <w:rPr>
          <w:b/>
          <w:bCs/>
          <w:i/>
          <w:color w:val="000000"/>
          <w:szCs w:val="24"/>
          <w:lang w:val="es-ES"/>
        </w:rPr>
      </w:pPr>
      <w:r w:rsidRPr="00FF107A">
        <w:rPr>
          <w:b/>
          <w:i/>
          <w:color w:val="000000"/>
          <w:szCs w:val="24"/>
          <w:lang w:val="es-ES"/>
        </w:rPr>
        <w:t>Indicación de posibles dificultades</w:t>
      </w:r>
      <w:r w:rsidRPr="00571CE3">
        <w:rPr>
          <w:b/>
          <w:bCs/>
          <w:i/>
          <w:iCs/>
          <w:color w:val="000000"/>
          <w:szCs w:val="24"/>
          <w:lang w:val="es-ES"/>
        </w:rPr>
        <w:t>:</w:t>
      </w:r>
      <w:r w:rsidRPr="00571CE3">
        <w:rPr>
          <w:bCs/>
          <w:iCs/>
          <w:color w:val="000000"/>
          <w:szCs w:val="24"/>
          <w:lang w:val="es-ES"/>
        </w:rPr>
        <w:t xml:space="preserve"> </w:t>
      </w:r>
      <w:r w:rsidRPr="00FF107A">
        <w:rPr>
          <w:rStyle w:val="hps"/>
          <w:color w:val="222222"/>
          <w:szCs w:val="24"/>
          <w:lang w:val="es-ES"/>
        </w:rPr>
        <w:t>No se prevé ninguna</w:t>
      </w:r>
    </w:p>
    <w:p w:rsidR="00DB6C3F" w:rsidRPr="00571CE3" w:rsidRDefault="00DB6C3F" w:rsidP="008022B4">
      <w:pPr>
        <w:pBdr>
          <w:bottom w:val="single" w:sz="12" w:space="1" w:color="auto"/>
        </w:pBdr>
        <w:spacing w:before="0"/>
        <w:rPr>
          <w:color w:val="000000"/>
          <w:szCs w:val="24"/>
          <w:lang w:val="es-ES"/>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5245"/>
        <w:gridCol w:w="4091"/>
      </w:tblGrid>
      <w:tr w:rsidR="00DB6C3F" w:rsidRPr="00FF107A" w:rsidTr="00C61C4D">
        <w:trPr>
          <w:jc w:val="center"/>
        </w:trPr>
        <w:tc>
          <w:tcPr>
            <w:tcW w:w="5245" w:type="dxa"/>
          </w:tcPr>
          <w:p w:rsidR="00DB6C3F" w:rsidRPr="00571CE3" w:rsidRDefault="00DB6C3F" w:rsidP="00C61C4D">
            <w:pPr>
              <w:framePr w:hSpace="181" w:wrap="notBeside" w:vAnchor="text" w:hAnchor="page" w:x="1170" w:y="973"/>
              <w:tabs>
                <w:tab w:val="left" w:pos="4366"/>
              </w:tabs>
              <w:rPr>
                <w:b/>
                <w:bCs/>
                <w:i/>
                <w:iCs/>
                <w:color w:val="000000"/>
                <w:szCs w:val="24"/>
                <w:lang w:val="es-ES"/>
              </w:rPr>
            </w:pPr>
            <w:r w:rsidRPr="00FF107A">
              <w:rPr>
                <w:b/>
                <w:i/>
                <w:color w:val="000000"/>
                <w:szCs w:val="24"/>
                <w:lang w:val="es-ES"/>
              </w:rPr>
              <w:t>Estudios que han de efectuarse a cargo de</w:t>
            </w:r>
            <w:r w:rsidRPr="00571CE3">
              <w:rPr>
                <w:b/>
                <w:bCs/>
                <w:i/>
                <w:iCs/>
                <w:color w:val="000000"/>
                <w:szCs w:val="24"/>
                <w:lang w:val="es-ES"/>
              </w:rPr>
              <w:t xml:space="preserve"> : </w:t>
            </w:r>
            <w:r w:rsidRPr="00DB6C3F">
              <w:rPr>
                <w:color w:val="000000"/>
                <w:szCs w:val="24"/>
                <w:lang w:val="es-ES"/>
              </w:rPr>
              <w:t>CE</w:t>
            </w:r>
            <w:r w:rsidR="00D14BC3">
              <w:rPr>
                <w:color w:val="000000"/>
                <w:szCs w:val="24"/>
                <w:lang w:val="es-ES"/>
              </w:rPr>
              <w:t xml:space="preserve"> </w:t>
            </w:r>
            <w:r w:rsidRPr="00DB6C3F">
              <w:rPr>
                <w:color w:val="000000"/>
                <w:szCs w:val="24"/>
                <w:lang w:val="es-ES"/>
              </w:rPr>
              <w:t>5</w:t>
            </w:r>
          </w:p>
        </w:tc>
        <w:tc>
          <w:tcPr>
            <w:tcW w:w="4091" w:type="dxa"/>
          </w:tcPr>
          <w:p w:rsidR="00DB6C3F" w:rsidRPr="00D14BC3" w:rsidRDefault="00DB6C3F" w:rsidP="00C61C4D">
            <w:pPr>
              <w:framePr w:hSpace="181" w:wrap="notBeside" w:vAnchor="text" w:hAnchor="page" w:x="1170" w:y="973"/>
              <w:tabs>
                <w:tab w:val="left" w:pos="360"/>
                <w:tab w:val="left" w:pos="900"/>
                <w:tab w:val="left" w:pos="4366"/>
              </w:tabs>
              <w:ind w:left="113"/>
              <w:rPr>
                <w:iCs/>
                <w:color w:val="000000"/>
                <w:szCs w:val="24"/>
              </w:rPr>
            </w:pPr>
            <w:r w:rsidRPr="00FF107A">
              <w:rPr>
                <w:b/>
                <w:i/>
                <w:color w:val="000000"/>
                <w:szCs w:val="24"/>
                <w:lang w:val="es-ES"/>
              </w:rPr>
              <w:t>con la participación de</w:t>
            </w:r>
            <w:r w:rsidRPr="00D14BC3">
              <w:rPr>
                <w:i/>
                <w:iCs/>
                <w:color w:val="000000"/>
                <w:szCs w:val="24"/>
              </w:rPr>
              <w:t xml:space="preserve"> :</w:t>
            </w:r>
            <w:r w:rsidRPr="00D14BC3">
              <w:rPr>
                <w:color w:val="000000"/>
                <w:szCs w:val="24"/>
              </w:rPr>
              <w:t>CE</w:t>
            </w:r>
            <w:r w:rsidR="00D14BC3" w:rsidRPr="00D14BC3">
              <w:rPr>
                <w:color w:val="000000"/>
                <w:szCs w:val="24"/>
              </w:rPr>
              <w:t xml:space="preserve"> </w:t>
            </w:r>
            <w:r w:rsidRPr="00D14BC3">
              <w:rPr>
                <w:color w:val="000000"/>
                <w:szCs w:val="24"/>
              </w:rPr>
              <w:t>4</w:t>
            </w:r>
          </w:p>
          <w:p w:rsidR="00DB6C3F" w:rsidRPr="00D14BC3" w:rsidRDefault="00DB6C3F" w:rsidP="00C61C4D">
            <w:pPr>
              <w:framePr w:hSpace="181" w:wrap="notBeside" w:vAnchor="text" w:hAnchor="page" w:x="1170" w:y="973"/>
              <w:tabs>
                <w:tab w:val="left" w:pos="4366"/>
              </w:tabs>
              <w:rPr>
                <w:b/>
                <w:bCs/>
                <w:i/>
                <w:iCs/>
                <w:color w:val="000000"/>
                <w:szCs w:val="24"/>
              </w:rPr>
            </w:pPr>
          </w:p>
        </w:tc>
      </w:tr>
    </w:tbl>
    <w:p w:rsidR="00DB6C3F" w:rsidRPr="00571CE3" w:rsidRDefault="00DB6C3F" w:rsidP="008022B4">
      <w:pPr>
        <w:spacing w:before="0"/>
        <w:rPr>
          <w:b/>
          <w:bCs/>
          <w:i/>
          <w:color w:val="000000"/>
          <w:szCs w:val="24"/>
          <w:lang w:val="es-ES"/>
        </w:rPr>
      </w:pPr>
      <w:r w:rsidRPr="00FF107A">
        <w:rPr>
          <w:b/>
          <w:i/>
          <w:color w:val="000000"/>
          <w:szCs w:val="24"/>
          <w:lang w:val="es-ES"/>
        </w:rPr>
        <w:t>Estudios previos o en curso sobre el tema</w:t>
      </w:r>
      <w:r w:rsidRPr="00571CE3">
        <w:rPr>
          <w:b/>
          <w:bCs/>
          <w:i/>
          <w:iCs/>
          <w:color w:val="000000"/>
          <w:szCs w:val="24"/>
          <w:lang w:val="es-ES"/>
        </w:rPr>
        <w:t>:</w:t>
      </w:r>
      <w:r w:rsidRPr="00571CE3">
        <w:rPr>
          <w:bCs/>
          <w:iCs/>
          <w:color w:val="000000"/>
          <w:szCs w:val="24"/>
          <w:lang w:val="es-ES"/>
        </w:rPr>
        <w:t xml:space="preserve"> </w:t>
      </w:r>
      <w:r w:rsidRPr="00FF107A">
        <w:rPr>
          <w:rStyle w:val="hps"/>
          <w:color w:val="222222"/>
          <w:szCs w:val="24"/>
          <w:lang w:val="es-ES"/>
        </w:rPr>
        <w:t>Ninguno</w:t>
      </w:r>
      <w:r w:rsidRPr="00FF107A">
        <w:rPr>
          <w:rStyle w:val="shorttext"/>
          <w:color w:val="222222"/>
          <w:szCs w:val="24"/>
          <w:lang w:val="es-ES"/>
        </w:rPr>
        <w:t xml:space="preserve"> </w:t>
      </w:r>
      <w:r w:rsidRPr="00FF107A">
        <w:rPr>
          <w:rStyle w:val="hps"/>
          <w:color w:val="222222"/>
          <w:szCs w:val="24"/>
          <w:lang w:val="es-ES"/>
        </w:rPr>
        <w:t>hasta la fecha</w:t>
      </w:r>
    </w:p>
    <w:p w:rsidR="00DB6C3F" w:rsidRPr="00571CE3" w:rsidRDefault="00DB6C3F" w:rsidP="008022B4">
      <w:pPr>
        <w:pBdr>
          <w:bottom w:val="single" w:sz="12" w:space="1" w:color="auto"/>
        </w:pBdr>
        <w:spacing w:before="0"/>
        <w:rPr>
          <w:color w:val="000000"/>
          <w:szCs w:val="24"/>
          <w:lang w:val="es-ES"/>
        </w:rPr>
      </w:pPr>
    </w:p>
    <w:p w:rsidR="00DB6C3F" w:rsidRPr="00571CE3" w:rsidRDefault="00DB6C3F" w:rsidP="008022B4">
      <w:pPr>
        <w:spacing w:before="0"/>
        <w:rPr>
          <w:bCs/>
          <w:color w:val="000000"/>
          <w:szCs w:val="24"/>
          <w:lang w:val="es-ES"/>
        </w:rPr>
      </w:pPr>
      <w:r w:rsidRPr="00FF107A">
        <w:rPr>
          <w:b/>
          <w:i/>
          <w:color w:val="000000"/>
          <w:szCs w:val="24"/>
          <w:lang w:val="es-ES"/>
        </w:rPr>
        <w:t>Comisiones de Estudio del UIT-R interesados</w:t>
      </w:r>
      <w:r w:rsidRPr="00571CE3">
        <w:rPr>
          <w:b/>
          <w:bCs/>
          <w:i/>
          <w:iCs/>
          <w:color w:val="000000"/>
          <w:szCs w:val="24"/>
          <w:lang w:val="es-ES"/>
        </w:rPr>
        <w:t xml:space="preserve">: </w:t>
      </w:r>
      <w:r w:rsidRPr="00DB6C3F">
        <w:rPr>
          <w:color w:val="000000"/>
          <w:szCs w:val="24"/>
          <w:lang w:val="es-ES"/>
        </w:rPr>
        <w:t>CE</w:t>
      </w:r>
      <w:r w:rsidR="00D14BC3">
        <w:rPr>
          <w:color w:val="000000"/>
          <w:szCs w:val="24"/>
          <w:lang w:val="es-ES"/>
        </w:rPr>
        <w:t xml:space="preserve"> </w:t>
      </w:r>
      <w:r w:rsidRPr="00571CE3">
        <w:rPr>
          <w:bCs/>
          <w:iCs/>
          <w:color w:val="000000"/>
          <w:szCs w:val="24"/>
          <w:lang w:val="es-ES"/>
        </w:rPr>
        <w:t xml:space="preserve">4, </w:t>
      </w:r>
      <w:r>
        <w:rPr>
          <w:bCs/>
          <w:iCs/>
          <w:color w:val="000000"/>
          <w:szCs w:val="24"/>
          <w:lang w:val="es-ES"/>
        </w:rPr>
        <w:t>CE</w:t>
      </w:r>
      <w:r w:rsidR="00D14BC3">
        <w:rPr>
          <w:bCs/>
          <w:iCs/>
          <w:color w:val="000000"/>
          <w:szCs w:val="24"/>
          <w:lang w:val="es-ES"/>
        </w:rPr>
        <w:t xml:space="preserve"> </w:t>
      </w:r>
      <w:r w:rsidRPr="00571CE3">
        <w:rPr>
          <w:bCs/>
          <w:iCs/>
          <w:color w:val="000000"/>
          <w:szCs w:val="24"/>
          <w:lang w:val="es-ES"/>
        </w:rPr>
        <w:t>5</w:t>
      </w:r>
    </w:p>
    <w:p w:rsidR="00DB6C3F" w:rsidRPr="00571CE3" w:rsidRDefault="00DB6C3F" w:rsidP="000332C4">
      <w:pPr>
        <w:pBdr>
          <w:bottom w:val="single" w:sz="12" w:space="1" w:color="auto"/>
        </w:pBdr>
        <w:spacing w:before="40"/>
        <w:rPr>
          <w:color w:val="000000"/>
          <w:szCs w:val="24"/>
          <w:lang w:val="es-ES"/>
        </w:rPr>
      </w:pPr>
    </w:p>
    <w:p w:rsidR="00DB6C3F" w:rsidRPr="00FF107A" w:rsidRDefault="00DB6C3F" w:rsidP="000332C4">
      <w:pPr>
        <w:tabs>
          <w:tab w:val="left" w:pos="360"/>
          <w:tab w:val="left" w:pos="900"/>
        </w:tabs>
        <w:spacing w:before="0"/>
        <w:rPr>
          <w:i/>
          <w:iCs/>
          <w:color w:val="000000"/>
          <w:szCs w:val="24"/>
          <w:lang w:val="es-ES"/>
        </w:rPr>
      </w:pPr>
      <w:r w:rsidRPr="00FF107A">
        <w:rPr>
          <w:b/>
          <w:i/>
          <w:color w:val="000000"/>
          <w:szCs w:val="24"/>
          <w:lang w:val="es-ES"/>
        </w:rPr>
        <w:t xml:space="preserve">Consecuencias en los recursos de la UIT, incluidas las implicaciones financieras (véase el CV126): </w:t>
      </w:r>
      <w:r w:rsidRPr="00FF107A">
        <w:rPr>
          <w:rStyle w:val="hps"/>
          <w:color w:val="222222"/>
          <w:szCs w:val="24"/>
          <w:lang w:val="es-ES"/>
        </w:rPr>
        <w:t>Mínimo</w:t>
      </w:r>
    </w:p>
    <w:p w:rsidR="00DB6C3F" w:rsidRPr="00571CE3" w:rsidRDefault="00DB6C3F" w:rsidP="008022B4">
      <w:pPr>
        <w:pBdr>
          <w:bottom w:val="single" w:sz="12" w:space="1" w:color="auto"/>
        </w:pBdr>
        <w:spacing w:before="0"/>
        <w:rPr>
          <w:color w:val="000000"/>
          <w:szCs w:val="24"/>
          <w:lang w:val="es-ES"/>
        </w:rPr>
      </w:pPr>
    </w:p>
    <w:p w:rsidR="00DB6C3F" w:rsidRPr="00571CE3" w:rsidRDefault="00DB6C3F" w:rsidP="00DB6C3F">
      <w:pPr>
        <w:tabs>
          <w:tab w:val="left" w:pos="4366"/>
        </w:tabs>
        <w:spacing w:before="0"/>
        <w:rPr>
          <w:color w:val="000000"/>
          <w:szCs w:val="24"/>
          <w:lang w:val="es-ES"/>
        </w:rPr>
      </w:pPr>
      <w:r w:rsidRPr="00FF107A">
        <w:rPr>
          <w:b/>
          <w:i/>
          <w:color w:val="000000"/>
          <w:szCs w:val="24"/>
          <w:lang w:val="es-ES"/>
        </w:rPr>
        <w:t>Propuesta regional común</w:t>
      </w:r>
      <w:r w:rsidRPr="00571CE3">
        <w:rPr>
          <w:b/>
          <w:bCs/>
          <w:i/>
          <w:iCs/>
          <w:color w:val="000000"/>
          <w:szCs w:val="24"/>
          <w:lang w:val="es-ES"/>
        </w:rPr>
        <w:t>:</w:t>
      </w:r>
      <w:r w:rsidRPr="00571CE3">
        <w:rPr>
          <w:color w:val="000000"/>
          <w:szCs w:val="24"/>
          <w:lang w:val="es-ES"/>
        </w:rPr>
        <w:t xml:space="preserve"> Si/no</w:t>
      </w:r>
      <w:r w:rsidRPr="00571CE3">
        <w:rPr>
          <w:color w:val="000000"/>
          <w:szCs w:val="24"/>
          <w:lang w:val="es-ES"/>
        </w:rPr>
        <w:tab/>
      </w:r>
      <w:r w:rsidRPr="00FF107A">
        <w:rPr>
          <w:b/>
          <w:i/>
          <w:color w:val="000000"/>
          <w:szCs w:val="24"/>
          <w:lang w:val="es-ES"/>
        </w:rPr>
        <w:t>Propuesta presentada por más de un país</w:t>
      </w:r>
      <w:r w:rsidRPr="00571CE3">
        <w:rPr>
          <w:b/>
          <w:bCs/>
          <w:i/>
          <w:iCs/>
          <w:color w:val="000000"/>
          <w:szCs w:val="24"/>
          <w:lang w:val="es-ES"/>
        </w:rPr>
        <w:t xml:space="preserve">: </w:t>
      </w:r>
      <w:r w:rsidRPr="00571CE3">
        <w:rPr>
          <w:color w:val="000000"/>
          <w:szCs w:val="24"/>
          <w:lang w:val="es-ES"/>
        </w:rPr>
        <w:t>Si/no</w:t>
      </w:r>
    </w:p>
    <w:p w:rsidR="00DB6C3F" w:rsidRPr="00FF107A" w:rsidRDefault="00DB6C3F" w:rsidP="00DB6C3F">
      <w:pPr>
        <w:tabs>
          <w:tab w:val="left" w:pos="360"/>
          <w:tab w:val="left" w:pos="900"/>
          <w:tab w:val="left" w:pos="4366"/>
        </w:tabs>
        <w:spacing w:before="0"/>
        <w:rPr>
          <w:i/>
          <w:iCs/>
          <w:color w:val="000000"/>
          <w:szCs w:val="24"/>
        </w:rPr>
      </w:pPr>
      <w:r w:rsidRPr="00571CE3">
        <w:rPr>
          <w:i/>
          <w:iCs/>
          <w:color w:val="000000"/>
          <w:szCs w:val="24"/>
          <w:lang w:val="es-ES"/>
        </w:rPr>
        <w:tab/>
      </w:r>
      <w:r w:rsidRPr="00571CE3">
        <w:rPr>
          <w:i/>
          <w:iCs/>
          <w:color w:val="000000"/>
          <w:szCs w:val="24"/>
          <w:lang w:val="es-ES"/>
        </w:rPr>
        <w:tab/>
      </w:r>
      <w:r w:rsidRPr="00571CE3">
        <w:rPr>
          <w:i/>
          <w:iCs/>
          <w:color w:val="000000"/>
          <w:szCs w:val="24"/>
          <w:lang w:val="es-ES"/>
        </w:rPr>
        <w:tab/>
        <w:t xml:space="preserve">                                                      </w:t>
      </w:r>
      <w:r w:rsidRPr="00B554C4">
        <w:rPr>
          <w:i/>
          <w:iCs/>
          <w:color w:val="000000"/>
          <w:szCs w:val="24"/>
          <w:lang w:val="es-ES"/>
        </w:rPr>
        <w:t>Número de países</w:t>
      </w:r>
      <w:r w:rsidRPr="00FF107A">
        <w:rPr>
          <w:i/>
          <w:iCs/>
          <w:color w:val="000000"/>
          <w:szCs w:val="24"/>
        </w:rPr>
        <w:t>:</w:t>
      </w:r>
    </w:p>
    <w:p w:rsidR="00DB6C3F" w:rsidRPr="00FF107A" w:rsidRDefault="00DB6C3F" w:rsidP="008022B4">
      <w:pPr>
        <w:pBdr>
          <w:bottom w:val="single" w:sz="12" w:space="0" w:color="auto"/>
        </w:pBdr>
        <w:spacing w:before="0"/>
        <w:rPr>
          <w:color w:val="000000"/>
          <w:szCs w:val="24"/>
        </w:rPr>
      </w:pPr>
    </w:p>
    <w:p w:rsidR="00DB6C3F" w:rsidRPr="00FF107A" w:rsidRDefault="00DB6C3F" w:rsidP="00DB6C3F">
      <w:pPr>
        <w:spacing w:before="0"/>
        <w:rPr>
          <w:b/>
          <w:szCs w:val="24"/>
          <w:lang w:val="es-ES"/>
        </w:rPr>
      </w:pPr>
      <w:r w:rsidRPr="00FF107A">
        <w:rPr>
          <w:b/>
          <w:bCs/>
          <w:i/>
          <w:iCs/>
          <w:color w:val="000000"/>
          <w:szCs w:val="24"/>
          <w:lang w:val="es-ES"/>
        </w:rPr>
        <w:t>Observaciones</w:t>
      </w:r>
    </w:p>
    <w:p w:rsidR="00B554C4" w:rsidRDefault="00B554C4" w:rsidP="008022B4">
      <w:pPr>
        <w:pStyle w:val="Reasons"/>
        <w:spacing w:before="0"/>
      </w:pPr>
    </w:p>
    <w:p w:rsidR="00B554C4" w:rsidRDefault="00B554C4">
      <w:pPr>
        <w:jc w:val="center"/>
      </w:pPr>
      <w:r>
        <w:t>______________</w:t>
      </w:r>
    </w:p>
    <w:sectPr w:rsidR="00B554C4">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E361E9" w:rsidRDefault="0077084A">
    <w:pPr>
      <w:ind w:right="360"/>
    </w:pPr>
    <w:r>
      <w:fldChar w:fldCharType="begin"/>
    </w:r>
    <w:r w:rsidRPr="00E361E9">
      <w:instrText xml:space="preserve"> FILENAME \p  \* MERGEFORMAT </w:instrText>
    </w:r>
    <w:r>
      <w:fldChar w:fldCharType="separate"/>
    </w:r>
    <w:r w:rsidR="00E361E9" w:rsidRPr="00E361E9">
      <w:rPr>
        <w:noProof/>
      </w:rPr>
      <w:t>P:\ESP\ITU-R\CONF-R\CMR15\000\007ADD24ADD03S.docx</w:t>
    </w:r>
    <w:r>
      <w:fldChar w:fldCharType="end"/>
    </w:r>
    <w:r w:rsidRPr="00E361E9">
      <w:tab/>
    </w:r>
    <w:r>
      <w:fldChar w:fldCharType="begin"/>
    </w:r>
    <w:r>
      <w:instrText xml:space="preserve"> SAVEDATE \@ DD.MM.YY </w:instrText>
    </w:r>
    <w:r>
      <w:fldChar w:fldCharType="separate"/>
    </w:r>
    <w:r w:rsidR="00E361E9">
      <w:rPr>
        <w:noProof/>
      </w:rPr>
      <w:t>15.10.15</w:t>
    </w:r>
    <w:r>
      <w:fldChar w:fldCharType="end"/>
    </w:r>
    <w:r w:rsidRPr="00E361E9">
      <w:tab/>
    </w:r>
    <w:r>
      <w:fldChar w:fldCharType="begin"/>
    </w:r>
    <w:r>
      <w:instrText xml:space="preserve"> PRINTDATE \@ DD.MM.YY </w:instrText>
    </w:r>
    <w:r>
      <w:fldChar w:fldCharType="separate"/>
    </w:r>
    <w:r w:rsidR="00E361E9">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CB2" w:rsidRDefault="00E361E9" w:rsidP="00686CB2">
    <w:pPr>
      <w:pStyle w:val="Footer"/>
    </w:pPr>
    <w:r>
      <w:fldChar w:fldCharType="begin"/>
    </w:r>
    <w:r>
      <w:instrText xml:space="preserve"> FILENAME \p  \* MERGEFORMAT </w:instrText>
    </w:r>
    <w:r>
      <w:fldChar w:fldCharType="separate"/>
    </w:r>
    <w:r>
      <w:t>P:\ESP\ITU-R\CONF-R\CMR15\000\007ADD24ADD03S.docx</w:t>
    </w:r>
    <w:r>
      <w:fldChar w:fldCharType="end"/>
    </w:r>
    <w:r w:rsidR="00686CB2">
      <w:t xml:space="preserve"> (387564)</w:t>
    </w:r>
    <w:r w:rsidR="00686CB2">
      <w:tab/>
    </w:r>
    <w:r w:rsidR="00686CB2">
      <w:fldChar w:fldCharType="begin"/>
    </w:r>
    <w:r w:rsidR="00686CB2">
      <w:instrText xml:space="preserve"> SAVEDATE \@ DD.MM.YY </w:instrText>
    </w:r>
    <w:r w:rsidR="00686CB2">
      <w:fldChar w:fldCharType="separate"/>
    </w:r>
    <w:r>
      <w:t>15.10.15</w:t>
    </w:r>
    <w:r w:rsidR="00686CB2">
      <w:fldChar w:fldCharType="end"/>
    </w:r>
    <w:r w:rsidR="00686CB2">
      <w:tab/>
    </w:r>
    <w:r w:rsidR="00686CB2">
      <w:fldChar w:fldCharType="begin"/>
    </w:r>
    <w:r w:rsidR="00686CB2">
      <w:instrText xml:space="preserve"> PRINTDATE \@ DD.MM.YY </w:instrText>
    </w:r>
    <w:r w:rsidR="00686CB2">
      <w:fldChar w:fldCharType="separate"/>
    </w:r>
    <w:r>
      <w:t>15.10.15</w:t>
    </w:r>
    <w:r w:rsidR="00686CB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CB2" w:rsidRDefault="00624729">
    <w:pPr>
      <w:pStyle w:val="Footer"/>
    </w:pPr>
    <w:fldSimple w:instr=" FILENAME \p  \* MERGEFORMAT ">
      <w:r w:rsidR="00E361E9">
        <w:t>P:\ESP\ITU-R\CONF-R\CMR15\000\007ADD24ADD03S.docx</w:t>
      </w:r>
    </w:fldSimple>
    <w:r w:rsidR="00686CB2">
      <w:t xml:space="preserve"> (387564)</w:t>
    </w:r>
    <w:r w:rsidR="00686CB2">
      <w:tab/>
    </w:r>
    <w:r w:rsidR="00686CB2">
      <w:fldChar w:fldCharType="begin"/>
    </w:r>
    <w:r w:rsidR="00686CB2">
      <w:instrText xml:space="preserve"> SAVEDATE \@ DD.MM.YY </w:instrText>
    </w:r>
    <w:r w:rsidR="00686CB2">
      <w:fldChar w:fldCharType="separate"/>
    </w:r>
    <w:r w:rsidR="00E361E9">
      <w:t>15.10.15</w:t>
    </w:r>
    <w:r w:rsidR="00686CB2">
      <w:fldChar w:fldCharType="end"/>
    </w:r>
    <w:r w:rsidR="00686CB2">
      <w:tab/>
    </w:r>
    <w:r w:rsidR="00686CB2">
      <w:fldChar w:fldCharType="begin"/>
    </w:r>
    <w:r w:rsidR="00686CB2">
      <w:instrText xml:space="preserve"> PRINTDATE \@ DD.MM.YY </w:instrText>
    </w:r>
    <w:r w:rsidR="00686CB2">
      <w:fldChar w:fldCharType="separate"/>
    </w:r>
    <w:r w:rsidR="00E361E9">
      <w:t>15.10.15</w:t>
    </w:r>
    <w:r w:rsidR="00686CB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361E9">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7(Add.24)(Add.3)-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32C4"/>
    <w:rsid w:val="00087AE8"/>
    <w:rsid w:val="000A5B9A"/>
    <w:rsid w:val="000E5BF9"/>
    <w:rsid w:val="000F0E6D"/>
    <w:rsid w:val="00121170"/>
    <w:rsid w:val="00123CC5"/>
    <w:rsid w:val="0015142D"/>
    <w:rsid w:val="001616DC"/>
    <w:rsid w:val="00163962"/>
    <w:rsid w:val="001771D8"/>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24729"/>
    <w:rsid w:val="00662BA0"/>
    <w:rsid w:val="00686CB2"/>
    <w:rsid w:val="00692AAE"/>
    <w:rsid w:val="006D6E67"/>
    <w:rsid w:val="006E1A13"/>
    <w:rsid w:val="00701C20"/>
    <w:rsid w:val="00702F3D"/>
    <w:rsid w:val="0070518E"/>
    <w:rsid w:val="0071771D"/>
    <w:rsid w:val="007354E9"/>
    <w:rsid w:val="00765578"/>
    <w:rsid w:val="0077084A"/>
    <w:rsid w:val="007952C7"/>
    <w:rsid w:val="007C0B95"/>
    <w:rsid w:val="007C2317"/>
    <w:rsid w:val="007D330A"/>
    <w:rsid w:val="008022B4"/>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554C4"/>
    <w:rsid w:val="00B8288C"/>
    <w:rsid w:val="00B8582B"/>
    <w:rsid w:val="00B929C7"/>
    <w:rsid w:val="00BE2E80"/>
    <w:rsid w:val="00BE5EDD"/>
    <w:rsid w:val="00BE6A1F"/>
    <w:rsid w:val="00C126C4"/>
    <w:rsid w:val="00C31EDF"/>
    <w:rsid w:val="00C63EB5"/>
    <w:rsid w:val="00CC01E0"/>
    <w:rsid w:val="00CD5FEE"/>
    <w:rsid w:val="00CE60D2"/>
    <w:rsid w:val="00CE7431"/>
    <w:rsid w:val="00D0288A"/>
    <w:rsid w:val="00D104D5"/>
    <w:rsid w:val="00D14BC3"/>
    <w:rsid w:val="00D72A5D"/>
    <w:rsid w:val="00DB6C3F"/>
    <w:rsid w:val="00DC629B"/>
    <w:rsid w:val="00E05BFF"/>
    <w:rsid w:val="00E262F1"/>
    <w:rsid w:val="00E3176A"/>
    <w:rsid w:val="00E361E9"/>
    <w:rsid w:val="00E54754"/>
    <w:rsid w:val="00E56BD3"/>
    <w:rsid w:val="00E71D14"/>
    <w:rsid w:val="00E81E15"/>
    <w:rsid w:val="00F66597"/>
    <w:rsid w:val="00F675D0"/>
    <w:rsid w:val="00F8150C"/>
    <w:rsid w:val="00FE3048"/>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B14047A-8138-4BCF-A541-26EE3B97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uiPriority w:val="99"/>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hps">
    <w:name w:val="hps"/>
    <w:uiPriority w:val="99"/>
    <w:rsid w:val="00B929C7"/>
    <w:rPr>
      <w:rFonts w:cs="Times New Roman"/>
    </w:rPr>
  </w:style>
  <w:style w:type="character" w:customStyle="1" w:styleId="NormalaftertitleChar">
    <w:name w:val="Normal after title Char"/>
    <w:link w:val="Normalaftertitle"/>
    <w:uiPriority w:val="99"/>
    <w:locked/>
    <w:rsid w:val="00C31EDF"/>
    <w:rPr>
      <w:rFonts w:ascii="Times New Roman" w:hAnsi="Times New Roman"/>
      <w:sz w:val="24"/>
      <w:lang w:val="es-ES_tradnl" w:eastAsia="en-US"/>
    </w:rPr>
  </w:style>
  <w:style w:type="character" w:customStyle="1" w:styleId="CallChar">
    <w:name w:val="Call Char"/>
    <w:link w:val="Call"/>
    <w:uiPriority w:val="99"/>
    <w:locked/>
    <w:rsid w:val="00C31EDF"/>
    <w:rPr>
      <w:rFonts w:ascii="Times New Roman" w:hAnsi="Times New Roman"/>
      <w:i/>
      <w:sz w:val="24"/>
      <w:lang w:val="es-ES_tradnl" w:eastAsia="en-US"/>
    </w:rPr>
  </w:style>
  <w:style w:type="paragraph" w:customStyle="1" w:styleId="CAomplex12pt">
    <w:name w:val="CAomplex) 12 pt"/>
    <w:aliases w:val="(Complex) Italic"/>
    <w:basedOn w:val="Call"/>
    <w:rsid w:val="00C31EDF"/>
    <w:pPr>
      <w:spacing w:before="360" w:after="120"/>
    </w:pPr>
    <w:rPr>
      <w:iCs/>
      <w:szCs w:val="24"/>
      <w:lang w:val="es-ES" w:eastAsia="en-CA"/>
    </w:rPr>
  </w:style>
  <w:style w:type="character" w:customStyle="1" w:styleId="shorttext">
    <w:name w:val="short_text"/>
    <w:uiPriority w:val="99"/>
    <w:rsid w:val="00DB6C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R15-WRC15-C-0007!A24-A3!MSW-S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0DAB67C-2878-4E0F-A32B-D660B019633F}">
  <ds:schemaRefs>
    <ds:schemaRef ds:uri="http://purl.org/dc/terms/"/>
    <ds:schemaRef ds:uri="http://schemas.openxmlformats.org/package/2006/metadata/core-properties"/>
    <ds:schemaRef ds:uri="32a1a8c5-2265-4ebc-b7a0-2071e2c5c9bb"/>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996b2e75-67fd-4955-a3b0-5ab9934cb50b"/>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06DDF9-949D-4AFD-B82F-646A64BA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1416</Words>
  <Characters>8177</Characters>
  <Application>Microsoft Office Word</Application>
  <DocSecurity>0</DocSecurity>
  <Lines>170</Lines>
  <Paragraphs>75</Paragraphs>
  <ScaleCrop>false</ScaleCrop>
  <HeadingPairs>
    <vt:vector size="2" baseType="variant">
      <vt:variant>
        <vt:lpstr>Title</vt:lpstr>
      </vt:variant>
      <vt:variant>
        <vt:i4>1</vt:i4>
      </vt:variant>
    </vt:vector>
  </HeadingPairs>
  <TitlesOfParts>
    <vt:vector size="1" baseType="lpstr">
      <vt:lpstr>R15-WRC15-C-0007!A24-A3!MSW-S</vt:lpstr>
    </vt:vector>
  </TitlesOfParts>
  <Manager>Secretaría General - Pool</Manager>
  <Company>Unión Internacional de Telecomunicaciones (UIT)</Company>
  <LinksUpToDate>false</LinksUpToDate>
  <CharactersWithSpaces>9518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R15-WRC15-C-0007!A24-A3!MSW-S</dc:title>
  <dc:subject>Conferencia Mundial de Radiocomunicaciones - 2015</dc:subject>
  <dc:creator>Documents Proposals Manager (DPM)</dc:creator>
  <cp:keywords>DPM_v5.2015.10.8_prod</cp:keywords>
  <dc:description/>
  <cp:lastModifiedBy>Spanish</cp:lastModifiedBy>
  <cp:revision>15</cp:revision>
  <cp:lastPrinted>2015-10-15T08:48:00Z</cp:lastPrinted>
  <dcterms:created xsi:type="dcterms:W3CDTF">2015-10-14T12:16:00Z</dcterms:created>
  <dcterms:modified xsi:type="dcterms:W3CDTF">2015-10-15T08:48:00Z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