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510F13" w:rsidRDefault="00280E04" w:rsidP="00D44350">
            <w:pPr>
              <w:pStyle w:val="Adress"/>
              <w:framePr w:hSpace="0" w:wrap="auto" w:xAlign="left" w:yAlign="inline"/>
              <w:rPr>
                <w:rFonts w:ascii="Verdana" w:hAnsi="Verdana"/>
                <w:rtl/>
              </w:rPr>
            </w:pPr>
          </w:p>
        </w:tc>
        <w:tc>
          <w:tcPr>
            <w:tcW w:w="3053" w:type="dxa"/>
            <w:tcBorders>
              <w:top w:val="single" w:sz="12" w:space="0" w:color="auto"/>
            </w:tcBorders>
          </w:tcPr>
          <w:p w:rsidR="00280E04" w:rsidRPr="00510F13" w:rsidRDefault="00280E04" w:rsidP="00D44350">
            <w:pPr>
              <w:pStyle w:val="Adress"/>
              <w:framePr w:hSpace="0" w:wrap="auto" w:xAlign="left" w:yAlign="inline"/>
              <w:rPr>
                <w:rFonts w:ascii="Verdana" w:hAnsi="Verdana"/>
              </w:rPr>
            </w:pPr>
          </w:p>
        </w:tc>
      </w:tr>
      <w:tr w:rsidR="003E1608" w:rsidTr="003E1608">
        <w:trPr>
          <w:cantSplit/>
        </w:trPr>
        <w:tc>
          <w:tcPr>
            <w:tcW w:w="6619" w:type="dxa"/>
            <w:shd w:val="clear" w:color="auto" w:fill="auto"/>
          </w:tcPr>
          <w:p w:rsidR="003E1608" w:rsidRPr="00510F13"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510F13">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510F13" w:rsidRDefault="003E1608" w:rsidP="003E1608">
            <w:pPr>
              <w:pStyle w:val="Adress"/>
              <w:framePr w:hSpace="0" w:wrap="auto" w:xAlign="left" w:yAlign="inline"/>
              <w:rPr>
                <w:rFonts w:ascii="Verdana" w:hAnsi="Verdana"/>
                <w:rtl/>
              </w:rPr>
            </w:pPr>
            <w:r w:rsidRPr="00510F13">
              <w:rPr>
                <w:rFonts w:ascii="Verdana" w:hAnsi="Verdana"/>
                <w:rtl/>
              </w:rPr>
              <w:t xml:space="preserve">الإضافة </w:t>
            </w:r>
            <w:r w:rsidRPr="00510F13">
              <w:rPr>
                <w:rFonts w:ascii="Verdana" w:hAnsi="Verdana"/>
              </w:rPr>
              <w:t>3</w:t>
            </w:r>
            <w:r w:rsidRPr="00510F13">
              <w:rPr>
                <w:rFonts w:ascii="Verdana" w:hAnsi="Verdana"/>
              </w:rPr>
              <w:br/>
            </w:r>
            <w:r w:rsidRPr="00510F13">
              <w:rPr>
                <w:rFonts w:ascii="Verdana" w:hAnsi="Verdana"/>
                <w:rtl/>
              </w:rPr>
              <w:t xml:space="preserve">للوثيقة </w:t>
            </w:r>
            <w:r w:rsidRPr="00510F13">
              <w:rPr>
                <w:rFonts w:ascii="Verdana" w:hAnsi="Verdana"/>
              </w:rPr>
              <w:t>7(Add.24)-</w:t>
            </w:r>
            <w:r w:rsidR="00510F13">
              <w:rPr>
                <w:rFonts w:ascii="Verdana" w:hAnsi="Verdana"/>
              </w:rPr>
              <w:t>A</w:t>
            </w:r>
          </w:p>
        </w:tc>
      </w:tr>
      <w:tr w:rsidR="00764079" w:rsidTr="003E1608">
        <w:trPr>
          <w:cantSplit/>
        </w:trPr>
        <w:tc>
          <w:tcPr>
            <w:tcW w:w="6619" w:type="dxa"/>
            <w:shd w:val="clear" w:color="auto" w:fill="auto"/>
          </w:tcPr>
          <w:p w:rsidR="00764079" w:rsidRPr="00510F13"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510F13" w:rsidRDefault="00764079" w:rsidP="00D44350">
            <w:pPr>
              <w:pStyle w:val="Adress"/>
              <w:framePr w:hSpace="0" w:wrap="auto" w:xAlign="left" w:yAlign="inline"/>
              <w:rPr>
                <w:rFonts w:ascii="Verdana" w:hAnsi="Verdana"/>
                <w:rtl/>
              </w:rPr>
            </w:pPr>
            <w:r w:rsidRPr="00510F13">
              <w:rPr>
                <w:rFonts w:ascii="Verdana" w:eastAsia="SimSun" w:hAnsi="Verdana"/>
              </w:rPr>
              <w:t>29</w:t>
            </w:r>
            <w:r w:rsidRPr="00510F13">
              <w:rPr>
                <w:rFonts w:ascii="Verdana" w:eastAsia="SimSun" w:hAnsi="Verdana"/>
                <w:rtl/>
              </w:rPr>
              <w:t xml:space="preserve"> سبتمبر </w:t>
            </w:r>
            <w:r w:rsidRPr="00510F13">
              <w:rPr>
                <w:rFonts w:ascii="Verdana" w:eastAsia="SimSun" w:hAnsi="Verdana"/>
              </w:rPr>
              <w:t>2015</w:t>
            </w:r>
          </w:p>
        </w:tc>
      </w:tr>
      <w:tr w:rsidR="00764079" w:rsidTr="003E1608">
        <w:trPr>
          <w:cantSplit/>
        </w:trPr>
        <w:tc>
          <w:tcPr>
            <w:tcW w:w="6619" w:type="dxa"/>
          </w:tcPr>
          <w:p w:rsidR="00764079" w:rsidRPr="00510F13" w:rsidRDefault="00764079" w:rsidP="00D44350">
            <w:pPr>
              <w:pStyle w:val="Adress"/>
              <w:framePr w:hSpace="0" w:wrap="auto" w:xAlign="left" w:yAlign="inline"/>
              <w:rPr>
                <w:rFonts w:ascii="Verdana" w:eastAsia="SimSun" w:hAnsi="Verdana"/>
                <w:rtl/>
              </w:rPr>
            </w:pPr>
          </w:p>
        </w:tc>
        <w:tc>
          <w:tcPr>
            <w:tcW w:w="3053" w:type="dxa"/>
            <w:vAlign w:val="center"/>
          </w:tcPr>
          <w:p w:rsidR="00764079" w:rsidRPr="00510F13" w:rsidRDefault="00764079" w:rsidP="00D44350">
            <w:pPr>
              <w:pStyle w:val="Adress"/>
              <w:framePr w:hSpace="0" w:wrap="auto" w:xAlign="left" w:yAlign="inline"/>
              <w:rPr>
                <w:rFonts w:ascii="Verdana" w:eastAsia="SimSun" w:hAnsi="Verdana"/>
              </w:rPr>
            </w:pPr>
            <w:r w:rsidRPr="00510F13">
              <w:rPr>
                <w:rFonts w:ascii="Verdana" w:eastAsia="SimSun" w:hAnsi="Verdana"/>
                <w:rtl/>
              </w:rPr>
              <w:t>الأصل: بالإنكليزية</w:t>
            </w:r>
          </w:p>
        </w:tc>
      </w:tr>
      <w:tr w:rsidR="00764079" w:rsidTr="003E1608">
        <w:trPr>
          <w:cantSplit/>
        </w:trPr>
        <w:tc>
          <w:tcPr>
            <w:tcW w:w="9672" w:type="dxa"/>
            <w:gridSpan w:val="2"/>
          </w:tcPr>
          <w:p w:rsidR="00764079" w:rsidRPr="00510F13" w:rsidRDefault="00764079" w:rsidP="00D44350">
            <w:pPr>
              <w:pStyle w:val="Adress"/>
              <w:framePr w:hSpace="0" w:wrap="auto" w:xAlign="left" w:yAlign="inline"/>
              <w:rPr>
                <w:rFonts w:ascii="Verdana" w:eastAsia="SimSun" w:hAnsi="Verdana"/>
              </w:rPr>
            </w:pPr>
          </w:p>
        </w:tc>
      </w:tr>
      <w:tr w:rsidR="00764079" w:rsidTr="003E1608">
        <w:trPr>
          <w:cantSplit/>
        </w:trPr>
        <w:tc>
          <w:tcPr>
            <w:tcW w:w="9672" w:type="dxa"/>
            <w:gridSpan w:val="2"/>
          </w:tcPr>
          <w:p w:rsidR="00764079" w:rsidRPr="00E621A3" w:rsidRDefault="00764079" w:rsidP="00510F13">
            <w:pPr>
              <w:pStyle w:val="Source"/>
              <w:rPr>
                <w:rtl/>
              </w:rPr>
            </w:pPr>
            <w:r w:rsidRPr="008204AC">
              <w:rPr>
                <w:rtl/>
              </w:rPr>
              <w:t xml:space="preserve">الدول الأعضاء في لجنة البلدان الأمريكية للاتصالات </w:t>
            </w:r>
            <w:r w:rsidR="00510F13">
              <w:t>(CITEL)</w:t>
            </w:r>
          </w:p>
        </w:tc>
      </w:tr>
      <w:tr w:rsidR="00764079" w:rsidTr="003E1608">
        <w:trPr>
          <w:cantSplit/>
        </w:trPr>
        <w:tc>
          <w:tcPr>
            <w:tcW w:w="9672" w:type="dxa"/>
            <w:gridSpan w:val="2"/>
          </w:tcPr>
          <w:p w:rsidR="00764079" w:rsidRPr="00BD6EF3" w:rsidRDefault="00510F13" w:rsidP="00D44350">
            <w:pPr>
              <w:pStyle w:val="Title1"/>
              <w:spacing w:before="240"/>
              <w:rPr>
                <w:rtl/>
              </w:rPr>
            </w:pPr>
            <w:r>
              <w:rPr>
                <w:rFonts w:hint="cs"/>
                <w:rtl/>
              </w:rPr>
              <w:t>مقترحات بشأن أعمال ال</w:t>
            </w:r>
            <w:r w:rsidR="00C06111">
              <w:rPr>
                <w:rFonts w:hint="cs"/>
                <w:rtl/>
              </w:rPr>
              <w:t>‍</w:t>
            </w:r>
            <w:r>
              <w:rPr>
                <w:rFonts w:hint="cs"/>
                <w:rtl/>
              </w:rPr>
              <w:t>مؤت</w:t>
            </w:r>
            <w:r w:rsidR="00C06111">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510F13">
            <w:pPr>
              <w:pStyle w:val="Agendaitem"/>
              <w:spacing w:before="240" w:line="192" w:lineRule="auto"/>
            </w:pPr>
            <w:r w:rsidRPr="008204AC">
              <w:rPr>
                <w:rtl/>
              </w:rPr>
              <w:t xml:space="preserve">البنـد </w:t>
            </w:r>
            <w:r w:rsidR="00510F13">
              <w:t>10</w:t>
            </w:r>
            <w:r w:rsidRPr="008204AC">
              <w:rPr>
                <w:rtl/>
              </w:rPr>
              <w:t xml:space="preserve"> من جدول الأعمال</w:t>
            </w:r>
          </w:p>
        </w:tc>
      </w:tr>
    </w:tbl>
    <w:p w:rsidR="00BE4A66" w:rsidRPr="00431196" w:rsidRDefault="000232F6" w:rsidP="00C06111">
      <w:pPr>
        <w:pStyle w:val="Normalaftertitle"/>
        <w:rPr>
          <w:rFonts w:eastAsia="SimSun"/>
          <w:rtl/>
        </w:rPr>
      </w:pPr>
      <w:r w:rsidRPr="00431196">
        <w:rPr>
          <w:rFonts w:eastAsia="SimSun"/>
        </w:rPr>
        <w:t>10</w:t>
      </w:r>
      <w:r w:rsidRPr="00431196">
        <w:rPr>
          <w:rFonts w:eastAsia="SimSun" w:hint="cs"/>
          <w:rtl/>
        </w:rPr>
        <w:tab/>
        <w:t xml:space="preserve">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 </w:t>
      </w:r>
      <w:r w:rsidRPr="00431196">
        <w:rPr>
          <w:rFonts w:eastAsia="SimSun"/>
        </w:rPr>
        <w:t>7</w:t>
      </w:r>
      <w:r w:rsidRPr="00431196">
        <w:rPr>
          <w:rFonts w:eastAsia="SimSun" w:hint="cs"/>
          <w:rtl/>
        </w:rPr>
        <w:t xml:space="preserve"> من الاتفاقية،</w:t>
      </w:r>
    </w:p>
    <w:p w:rsidR="00F16602" w:rsidRDefault="004B01D3" w:rsidP="00510F13">
      <w:pPr>
        <w:pStyle w:val="Headingb"/>
        <w:rPr>
          <w:rtl/>
        </w:rPr>
      </w:pPr>
      <w:r>
        <w:rPr>
          <w:rFonts w:hint="cs"/>
          <w:rtl/>
        </w:rPr>
        <w:t>معلومات أساسية</w:t>
      </w:r>
    </w:p>
    <w:p w:rsidR="00510F13" w:rsidRDefault="00ED71A8" w:rsidP="00D40062">
      <w:pPr>
        <w:rPr>
          <w:rtl/>
        </w:rPr>
      </w:pPr>
      <w:r w:rsidRPr="00ED71A8">
        <w:rPr>
          <w:rFonts w:hint="cs"/>
          <w:rtl/>
          <w:lang w:bidi="ar-EG"/>
        </w:rPr>
        <w:t xml:space="preserve">عقدت </w:t>
      </w:r>
      <w:r w:rsidRPr="00ED71A8">
        <w:rPr>
          <w:rtl/>
        </w:rPr>
        <w:t>منظمة الطيران المدني الدولي</w:t>
      </w:r>
      <w:r w:rsidRPr="00ED71A8">
        <w:rPr>
          <w:rFonts w:hint="cs"/>
          <w:rtl/>
        </w:rPr>
        <w:t xml:space="preserve"> اجتماعاً خاصاً بشأن</w:t>
      </w:r>
      <w:r w:rsidR="00CC00D6">
        <w:rPr>
          <w:rFonts w:hint="cs"/>
          <w:rtl/>
        </w:rPr>
        <w:t xml:space="preserve"> مسألة</w:t>
      </w:r>
      <w:r w:rsidRPr="00ED71A8">
        <w:rPr>
          <w:rFonts w:hint="cs"/>
          <w:rtl/>
        </w:rPr>
        <w:t xml:space="preserve"> </w:t>
      </w:r>
      <w:r w:rsidR="00CC00D6">
        <w:rPr>
          <w:rFonts w:hint="cs"/>
          <w:rtl/>
        </w:rPr>
        <w:t>التتبع العالمي ل</w:t>
      </w:r>
      <w:r w:rsidRPr="00ED71A8">
        <w:rPr>
          <w:rFonts w:hint="cs"/>
          <w:rtl/>
        </w:rPr>
        <w:t>رحلات الطائرات</w:t>
      </w:r>
      <w:r>
        <w:rPr>
          <w:rFonts w:hint="cs"/>
          <w:rtl/>
        </w:rPr>
        <w:t xml:space="preserve"> في </w:t>
      </w:r>
      <w:r w:rsidR="00510F13" w:rsidRPr="00ED71A8">
        <w:rPr>
          <w:rtl/>
        </w:rPr>
        <w:t>مونتريـال في</w:t>
      </w:r>
      <w:r w:rsidR="00510F13" w:rsidRPr="00ED71A8">
        <w:rPr>
          <w:rFonts w:hint="cs"/>
          <w:rtl/>
        </w:rPr>
        <w:t> </w:t>
      </w:r>
      <w:r w:rsidR="00510F13" w:rsidRPr="00ED71A8">
        <w:rPr>
          <w:rtl/>
        </w:rPr>
        <w:t>مايو</w:t>
      </w:r>
      <w:r w:rsidR="00510F13" w:rsidRPr="00ED71A8">
        <w:rPr>
          <w:rFonts w:hint="cs"/>
          <w:rtl/>
        </w:rPr>
        <w:t> </w:t>
      </w:r>
      <w:r w:rsidR="00510F13" w:rsidRPr="00E46B96">
        <w:rPr>
          <w:rFonts w:cs="Times New Roman"/>
          <w:szCs w:val="22"/>
          <w:rtl/>
          <w:lang w:val="en-GB" w:bidi="ar-EG"/>
        </w:rPr>
        <w:t>2014</w:t>
      </w:r>
      <w:r w:rsidR="00510F13" w:rsidRPr="00ED71A8">
        <w:rPr>
          <w:rtl/>
        </w:rPr>
        <w:t xml:space="preserve">، </w:t>
      </w:r>
      <w:r>
        <w:rPr>
          <w:rFonts w:hint="cs"/>
          <w:rtl/>
        </w:rPr>
        <w:t xml:space="preserve">وشكلت فرقة عمل مخصصة تابعة لها لاستحداث مفهوم للعمليات الرامية إلى دعم التطوير المستقبلي </w:t>
      </w:r>
      <w:r>
        <w:rPr>
          <w:rtl/>
        </w:rPr>
        <w:t>لنظام عالمي للاستغاثة والسلامة في مجال الطيران</w:t>
      </w:r>
      <w:r w:rsidR="00D40062">
        <w:rPr>
          <w:rFonts w:hint="eastAsia"/>
          <w:rtl/>
        </w:rPr>
        <w:t> </w:t>
      </w:r>
      <w:r w:rsidR="00D40062">
        <w:t>(</w:t>
      </w:r>
      <w:r w:rsidRPr="0003500C">
        <w:t>GADSS</w:t>
      </w:r>
      <w:r w:rsidR="00D40062">
        <w:t>)</w:t>
      </w:r>
      <w:r>
        <w:rPr>
          <w:rFonts w:hint="cs"/>
          <w:rtl/>
        </w:rPr>
        <w:t xml:space="preserve">. ووضعت الفرقة المذكورة مشروع نسخة لمفهوم عمليات النظام العالمي للاستغاثة والسلامة في مجال الطيران وطرحته على </w:t>
      </w:r>
      <w:r w:rsidR="00E46B96">
        <w:rPr>
          <w:rFonts w:hint="cs"/>
          <w:rtl/>
        </w:rPr>
        <w:t>المؤتمر الثاني رفيع المستوى للسلامة الذي عقدته منظمة الطيران المدني الدولي (</w:t>
      </w:r>
      <w:r w:rsidR="00E46B96" w:rsidRPr="00E46B96">
        <w:rPr>
          <w:rFonts w:cs="Times New Roman" w:hint="cs"/>
          <w:szCs w:val="22"/>
          <w:rtl/>
        </w:rPr>
        <w:t>2</w:t>
      </w:r>
      <w:r w:rsidR="00E46B96">
        <w:rPr>
          <w:rFonts w:hint="cs"/>
          <w:rtl/>
        </w:rPr>
        <w:t>-</w:t>
      </w:r>
      <w:r w:rsidR="00E46B96" w:rsidRPr="00E46B96">
        <w:rPr>
          <w:rFonts w:cs="Times New Roman" w:hint="cs"/>
          <w:szCs w:val="22"/>
          <w:rtl/>
        </w:rPr>
        <w:t>5</w:t>
      </w:r>
      <w:r w:rsidR="00D40062">
        <w:rPr>
          <w:rFonts w:hint="eastAsia"/>
          <w:rtl/>
        </w:rPr>
        <w:t> </w:t>
      </w:r>
      <w:r w:rsidR="00E46B96">
        <w:rPr>
          <w:rFonts w:hint="cs"/>
          <w:rtl/>
        </w:rPr>
        <w:t>فبراير</w:t>
      </w:r>
      <w:r w:rsidR="00D40062">
        <w:rPr>
          <w:rFonts w:hint="eastAsia"/>
          <w:rtl/>
        </w:rPr>
        <w:t> </w:t>
      </w:r>
      <w:r w:rsidR="00E46B96" w:rsidRPr="00E46B96">
        <w:rPr>
          <w:rFonts w:cs="Times New Roman" w:hint="cs"/>
          <w:szCs w:val="22"/>
          <w:rtl/>
        </w:rPr>
        <w:t>2015</w:t>
      </w:r>
      <w:r w:rsidR="00E46B96">
        <w:rPr>
          <w:rFonts w:hint="cs"/>
          <w:rtl/>
        </w:rPr>
        <w:t xml:space="preserve">). وأوصى هذا المؤتمر بأن تنجز المنظمة المذكورة على وجه السرعة وتستخدم </w:t>
      </w:r>
      <w:r w:rsidR="00B905F4">
        <w:rPr>
          <w:rFonts w:hint="cs"/>
          <w:rtl/>
        </w:rPr>
        <w:t>النظام العالمي للاستغاثة والسلامة في مجال الطيران</w:t>
      </w:r>
      <w:r w:rsidR="00E46B96">
        <w:rPr>
          <w:rFonts w:hint="cs"/>
          <w:rtl/>
        </w:rPr>
        <w:t xml:space="preserve"> من</w:t>
      </w:r>
      <w:r w:rsidR="00D40062">
        <w:rPr>
          <w:rFonts w:hint="eastAsia"/>
          <w:rtl/>
        </w:rPr>
        <w:t> </w:t>
      </w:r>
      <w:r w:rsidR="00E46B96">
        <w:rPr>
          <w:rFonts w:hint="cs"/>
          <w:rtl/>
        </w:rPr>
        <w:t>أجل تنفيذ التتبع العادي وغير</w:t>
      </w:r>
      <w:r w:rsidR="00D40062">
        <w:rPr>
          <w:rFonts w:hint="eastAsia"/>
          <w:rtl/>
        </w:rPr>
        <w:t> </w:t>
      </w:r>
      <w:r w:rsidR="00E46B96">
        <w:rPr>
          <w:rFonts w:hint="cs"/>
          <w:rtl/>
        </w:rPr>
        <w:t>العادي للطائرات؛ و</w:t>
      </w:r>
      <w:r w:rsidR="00E46B96">
        <w:rPr>
          <w:rtl/>
        </w:rPr>
        <w:t>التتبُّع التلقائي للاستغاث</w:t>
      </w:r>
      <w:r w:rsidR="00E46B96">
        <w:rPr>
          <w:rFonts w:hint="cs"/>
          <w:rtl/>
        </w:rPr>
        <w:t xml:space="preserve">ة في رحلات الطائرات، وأنشطة البحث والإنقاذ؛ والاسترجاع الآلي للبيانات من مسجلات أصوات </w:t>
      </w:r>
      <w:r w:rsidR="00B67569">
        <w:rPr>
          <w:rFonts w:hint="cs"/>
          <w:rtl/>
        </w:rPr>
        <w:t>قمرة القيادة</w:t>
      </w:r>
      <w:r w:rsidR="00E46B96">
        <w:rPr>
          <w:rFonts w:hint="cs"/>
          <w:rtl/>
        </w:rPr>
        <w:t xml:space="preserve"> وبيانات رحلات الطائرات؛ والإجراءات ذات</w:t>
      </w:r>
      <w:r w:rsidR="00D40062">
        <w:rPr>
          <w:rFonts w:hint="eastAsia"/>
          <w:rtl/>
        </w:rPr>
        <w:t> </w:t>
      </w:r>
      <w:r w:rsidR="00E46B96">
        <w:rPr>
          <w:rFonts w:hint="cs"/>
          <w:rtl/>
        </w:rPr>
        <w:t>الصلة بما</w:t>
      </w:r>
      <w:r w:rsidR="00D40062">
        <w:rPr>
          <w:rFonts w:hint="eastAsia"/>
          <w:rtl/>
        </w:rPr>
        <w:t> </w:t>
      </w:r>
      <w:r w:rsidR="00E46B96">
        <w:rPr>
          <w:rFonts w:hint="cs"/>
          <w:rtl/>
        </w:rPr>
        <w:t>في ذلك إدارة مثل هذه المعلومات. وفي يونيو</w:t>
      </w:r>
      <w:r w:rsidR="00D40062">
        <w:rPr>
          <w:rFonts w:hint="eastAsia"/>
          <w:rtl/>
        </w:rPr>
        <w:t> </w:t>
      </w:r>
      <w:r w:rsidR="00E46B96" w:rsidRPr="00E46B96">
        <w:rPr>
          <w:rFonts w:cs="Times New Roman" w:hint="cs"/>
          <w:szCs w:val="22"/>
          <w:rtl/>
        </w:rPr>
        <w:t>2015</w:t>
      </w:r>
      <w:r w:rsidR="00E46B96">
        <w:rPr>
          <w:rFonts w:hint="cs"/>
          <w:rtl/>
        </w:rPr>
        <w:t xml:space="preserve"> قدمت فرقة العمل المخصصة المذكورة نسخة نهائية من مفهوم </w:t>
      </w:r>
      <w:r w:rsidR="00B905F4">
        <w:rPr>
          <w:rFonts w:hint="cs"/>
          <w:rtl/>
        </w:rPr>
        <w:t>النظام العالمي للاستغاثة والسلامة في</w:t>
      </w:r>
      <w:r w:rsidR="00D40062">
        <w:rPr>
          <w:rFonts w:hint="eastAsia"/>
          <w:rtl/>
        </w:rPr>
        <w:t> </w:t>
      </w:r>
      <w:r w:rsidR="00B905F4">
        <w:rPr>
          <w:rFonts w:hint="cs"/>
          <w:rtl/>
        </w:rPr>
        <w:t xml:space="preserve">مجال الطيران </w:t>
      </w:r>
      <w:r w:rsidR="00E46B96">
        <w:rPr>
          <w:rFonts w:hint="cs"/>
          <w:rtl/>
        </w:rPr>
        <w:t>المتعلق بالعمليات إلى منظمة الطيران المدني الدولي، وذلك للنظر في نشرها كوثيقة من وثائق هذه المنظمة بموجب الصلاحية الممنوحة للأمين</w:t>
      </w:r>
      <w:r w:rsidR="00D40062">
        <w:rPr>
          <w:rFonts w:hint="eastAsia"/>
          <w:rtl/>
        </w:rPr>
        <w:t> </w:t>
      </w:r>
      <w:r w:rsidR="00E46B96">
        <w:rPr>
          <w:rFonts w:hint="cs"/>
          <w:rtl/>
        </w:rPr>
        <w:t xml:space="preserve">العام. ومن المنتظر أن تُنشر </w:t>
      </w:r>
      <w:r w:rsidR="00B905F4">
        <w:rPr>
          <w:rFonts w:hint="cs"/>
          <w:rtl/>
        </w:rPr>
        <w:t>الوثيقة</w:t>
      </w:r>
      <w:r w:rsidR="00E46B96">
        <w:rPr>
          <w:rFonts w:hint="cs"/>
          <w:rtl/>
        </w:rPr>
        <w:t xml:space="preserve"> النهائية لمفهوم عمليات النظام العالمي للاستغاثة والسلامة</w:t>
      </w:r>
      <w:r w:rsidR="00B905F4">
        <w:rPr>
          <w:rFonts w:hint="cs"/>
          <w:rtl/>
        </w:rPr>
        <w:t xml:space="preserve"> في مجال الطيران</w:t>
      </w:r>
      <w:r w:rsidR="00E46B96">
        <w:rPr>
          <w:rFonts w:hint="cs"/>
          <w:rtl/>
        </w:rPr>
        <w:t xml:space="preserve"> وتُتاح في الفصل</w:t>
      </w:r>
      <w:r w:rsidR="00D40062">
        <w:rPr>
          <w:rFonts w:hint="eastAsia"/>
          <w:rtl/>
        </w:rPr>
        <w:t> </w:t>
      </w:r>
      <w:r w:rsidR="00E46B96">
        <w:rPr>
          <w:rFonts w:hint="cs"/>
          <w:rtl/>
        </w:rPr>
        <w:t>الرابع من عام</w:t>
      </w:r>
      <w:r w:rsidR="00D40062">
        <w:rPr>
          <w:rFonts w:hint="eastAsia"/>
          <w:rtl/>
        </w:rPr>
        <w:t> </w:t>
      </w:r>
      <w:r w:rsidR="00E46B96" w:rsidRPr="00E46B96">
        <w:rPr>
          <w:rFonts w:cs="Times New Roman" w:hint="cs"/>
          <w:szCs w:val="22"/>
          <w:rtl/>
        </w:rPr>
        <w:t>2015</w:t>
      </w:r>
      <w:r w:rsidR="00E46B96">
        <w:rPr>
          <w:rFonts w:hint="cs"/>
          <w:rtl/>
        </w:rPr>
        <w:t>.</w:t>
      </w:r>
    </w:p>
    <w:p w:rsidR="00510F13" w:rsidRDefault="00444904" w:rsidP="00D40062">
      <w:pPr>
        <w:rPr>
          <w:rtl/>
          <w:lang w:bidi="ar-EG"/>
        </w:rPr>
      </w:pPr>
      <w:r>
        <w:rPr>
          <w:rFonts w:hint="cs"/>
          <w:rtl/>
          <w:lang w:bidi="ar-EG"/>
        </w:rPr>
        <w:t>ونتيجة للتطورات المنتظرة في تنفيذ مختلف عناصر تعديلات النظام العالمي للاستغاثة والسلامة</w:t>
      </w:r>
      <w:r w:rsidR="00B905F4">
        <w:rPr>
          <w:rFonts w:hint="cs"/>
          <w:rtl/>
          <w:lang w:bidi="ar-EG"/>
        </w:rPr>
        <w:t xml:space="preserve"> في مجال الطيران</w:t>
      </w:r>
      <w:r>
        <w:rPr>
          <w:rFonts w:hint="cs"/>
          <w:rtl/>
          <w:lang w:bidi="ar-EG"/>
        </w:rPr>
        <w:t xml:space="preserve"> فقد يتطلب الأمر تعديل لوائح</w:t>
      </w:r>
      <w:r w:rsidR="00D40062">
        <w:rPr>
          <w:rFonts w:hint="eastAsia"/>
          <w:rtl/>
          <w:lang w:bidi="ar-EG"/>
        </w:rPr>
        <w:t> </w:t>
      </w:r>
      <w:r>
        <w:rPr>
          <w:rFonts w:hint="cs"/>
          <w:rtl/>
          <w:lang w:bidi="ar-EG"/>
        </w:rPr>
        <w:t xml:space="preserve">الراديو لتيسير الاحتياجات الناشئة لمجتمع الطيران والوكالات المعنية بالاستغاثة والسلامة. ولذلك فإن من المقترح اعتماد </w:t>
      </w:r>
      <w:r>
        <w:rPr>
          <w:rFonts w:hint="cs"/>
          <w:rtl/>
          <w:lang w:bidi="ar-EG"/>
        </w:rPr>
        <w:lastRenderedPageBreak/>
        <w:t>بند لجدول</w:t>
      </w:r>
      <w:r w:rsidR="00D40062">
        <w:rPr>
          <w:rFonts w:hint="eastAsia"/>
          <w:rtl/>
          <w:lang w:bidi="ar-EG"/>
        </w:rPr>
        <w:t> </w:t>
      </w:r>
      <w:r>
        <w:rPr>
          <w:rFonts w:hint="cs"/>
          <w:rtl/>
          <w:lang w:bidi="ar-EG"/>
        </w:rPr>
        <w:t>أعمال مؤتمر</w:t>
      </w:r>
      <w:r w:rsidR="00D40062">
        <w:rPr>
          <w:rFonts w:hint="eastAsia"/>
          <w:rtl/>
          <w:lang w:bidi="ar-EG"/>
        </w:rPr>
        <w:t> </w:t>
      </w:r>
      <w:r w:rsidRPr="0003500C">
        <w:t>WRC</w:t>
      </w:r>
      <w:r w:rsidR="00D40062">
        <w:noBreakHyphen/>
      </w:r>
      <w:r w:rsidRPr="0003500C">
        <w:t>19</w:t>
      </w:r>
      <w:r>
        <w:rPr>
          <w:rFonts w:hint="cs"/>
          <w:rtl/>
        </w:rPr>
        <w:t xml:space="preserve"> وبمرونة كافية تتيح تناول التعديلات المحتملة على لوائح الراديو اللازمة للسماح بتنفيذ النظام العالمي للاستغاثة والسلامة</w:t>
      </w:r>
      <w:r w:rsidR="00B905F4">
        <w:rPr>
          <w:rFonts w:hint="cs"/>
          <w:rtl/>
        </w:rPr>
        <w:t xml:space="preserve"> في مجال الطيران</w:t>
      </w:r>
      <w:r>
        <w:rPr>
          <w:rFonts w:hint="cs"/>
          <w:rtl/>
        </w:rPr>
        <w:t>، بما</w:t>
      </w:r>
      <w:r w:rsidR="00D40062">
        <w:rPr>
          <w:rFonts w:hint="eastAsia"/>
          <w:rtl/>
        </w:rPr>
        <w:t> </w:t>
      </w:r>
      <w:r>
        <w:rPr>
          <w:rFonts w:hint="cs"/>
          <w:rtl/>
        </w:rPr>
        <w:t>يراعي الخدمات القائمة التي قد تتأثر نتيجة هذه التعديلات المحتملة.</w:t>
      </w:r>
    </w:p>
    <w:p w:rsidR="00510F13" w:rsidRDefault="00510F13" w:rsidP="00510F13">
      <w:pPr>
        <w:pStyle w:val="Headingb"/>
      </w:pPr>
      <w:r>
        <w:rPr>
          <w:rFonts w:hint="cs"/>
          <w:rtl/>
        </w:rPr>
        <w:t>المقترحات</w:t>
      </w:r>
    </w:p>
    <w:p w:rsidR="00CC5554" w:rsidRDefault="000232F6">
      <w:pPr>
        <w:pStyle w:val="Proposal"/>
      </w:pPr>
      <w:r>
        <w:t>SUP</w:t>
      </w:r>
      <w:r>
        <w:tab/>
        <w:t>IAP/7A24A3/1</w:t>
      </w:r>
    </w:p>
    <w:p w:rsidR="00A21FE4" w:rsidRDefault="000232F6" w:rsidP="00A21FE4">
      <w:pPr>
        <w:pStyle w:val="ResNo"/>
      </w:pPr>
      <w:bookmarkStart w:id="1" w:name="_Toc327956791"/>
      <w:r>
        <w:rPr>
          <w:rFonts w:hint="cs"/>
          <w:rtl/>
        </w:rPr>
        <w:t xml:space="preserve">القـرار </w:t>
      </w:r>
      <w:r w:rsidRPr="0090043D">
        <w:t>808</w:t>
      </w:r>
      <w:r w:rsidRPr="0041594A">
        <w:rPr>
          <w:lang w:val="en-GB"/>
        </w:rPr>
        <w:t xml:space="preserve"> (WRC</w:t>
      </w:r>
      <w:r w:rsidRPr="0041594A">
        <w:rPr>
          <w:lang w:val="en-GB"/>
        </w:rPr>
        <w:noBreakHyphen/>
        <w:t>12)</w:t>
      </w:r>
      <w:bookmarkEnd w:id="1"/>
    </w:p>
    <w:p w:rsidR="00A21FE4" w:rsidRPr="0074234B" w:rsidRDefault="000232F6" w:rsidP="00A21FE4">
      <w:pPr>
        <w:pStyle w:val="Restitle"/>
      </w:pPr>
      <w:bookmarkStart w:id="2" w:name="_Toc327956792"/>
      <w:r w:rsidRPr="00416994">
        <w:rPr>
          <w:rFonts w:hint="cs"/>
          <w:rtl/>
        </w:rPr>
        <w:t xml:space="preserve">جدول الأعمال التمهيدي للمؤتمر العالمي للاتصالات الراديوية لعام </w:t>
      </w:r>
      <w:r w:rsidRPr="00416994">
        <w:t>201</w:t>
      </w:r>
      <w:r>
        <w:t>8</w:t>
      </w:r>
      <w:bookmarkEnd w:id="2"/>
    </w:p>
    <w:p w:rsidR="00CC5554" w:rsidRPr="00444904" w:rsidRDefault="000232F6" w:rsidP="00D40062">
      <w:pPr>
        <w:pStyle w:val="Reasons"/>
        <w:spacing w:before="240"/>
        <w:rPr>
          <w:b w:val="0"/>
          <w:bCs w:val="0"/>
          <w:rtl/>
          <w:lang w:bidi="ar-EG"/>
        </w:rPr>
      </w:pPr>
      <w:r>
        <w:rPr>
          <w:rtl/>
        </w:rPr>
        <w:t>الأسباب:</w:t>
      </w:r>
      <w:r>
        <w:tab/>
      </w:r>
      <w:r w:rsidR="00444904">
        <w:rPr>
          <w:rFonts w:hint="cs"/>
          <w:b w:val="0"/>
          <w:bCs w:val="0"/>
          <w:rtl/>
          <w:lang w:bidi="ar-EG"/>
        </w:rPr>
        <w:t>من الواجب إلغاء هذا القرار حيث أن مؤتمر</w:t>
      </w:r>
      <w:r w:rsidR="00D40062">
        <w:rPr>
          <w:rFonts w:hint="eastAsia"/>
          <w:b w:val="0"/>
          <w:bCs w:val="0"/>
          <w:rtl/>
          <w:lang w:bidi="ar-EG"/>
        </w:rPr>
        <w:t> </w:t>
      </w:r>
      <w:r w:rsidR="00444904" w:rsidRPr="00444904">
        <w:rPr>
          <w:b w:val="0"/>
          <w:bCs w:val="0"/>
          <w:lang w:bidi="ar-EG"/>
        </w:rPr>
        <w:t>WRC</w:t>
      </w:r>
      <w:r w:rsidR="00D40062">
        <w:rPr>
          <w:b w:val="0"/>
          <w:bCs w:val="0"/>
          <w:lang w:bidi="ar-EG"/>
        </w:rPr>
        <w:noBreakHyphen/>
      </w:r>
      <w:r w:rsidR="00444904" w:rsidRPr="00444904">
        <w:rPr>
          <w:b w:val="0"/>
          <w:bCs w:val="0"/>
          <w:lang w:bidi="ar-EG"/>
        </w:rPr>
        <w:t>15</w:t>
      </w:r>
      <w:r w:rsidR="00444904">
        <w:rPr>
          <w:rFonts w:hint="cs"/>
          <w:b w:val="0"/>
          <w:bCs w:val="0"/>
          <w:rtl/>
          <w:lang w:bidi="ar-EG"/>
        </w:rPr>
        <w:t xml:space="preserve"> سيضع قراراً جديداً يتضمن جدول أعمال مؤتمر</w:t>
      </w:r>
      <w:r w:rsidR="00D40062">
        <w:rPr>
          <w:rFonts w:hint="eastAsia"/>
          <w:b w:val="0"/>
          <w:bCs w:val="0"/>
          <w:rtl/>
          <w:lang w:bidi="ar-EG"/>
        </w:rPr>
        <w:t> </w:t>
      </w:r>
      <w:r w:rsidR="00444904" w:rsidRPr="00444904">
        <w:rPr>
          <w:b w:val="0"/>
          <w:bCs w:val="0"/>
          <w:lang w:bidi="ar-EG"/>
        </w:rPr>
        <w:t>WRC</w:t>
      </w:r>
      <w:r w:rsidR="00D40062">
        <w:rPr>
          <w:b w:val="0"/>
          <w:bCs w:val="0"/>
          <w:lang w:bidi="ar-EG"/>
        </w:rPr>
        <w:noBreakHyphen/>
      </w:r>
      <w:r w:rsidR="00444904" w:rsidRPr="00444904">
        <w:rPr>
          <w:b w:val="0"/>
          <w:bCs w:val="0"/>
          <w:lang w:bidi="ar-EG"/>
        </w:rPr>
        <w:t>19</w:t>
      </w:r>
      <w:r w:rsidR="00444904">
        <w:rPr>
          <w:rFonts w:hint="cs"/>
          <w:b w:val="0"/>
          <w:bCs w:val="0"/>
          <w:rtl/>
          <w:lang w:bidi="ar-EG"/>
        </w:rPr>
        <w:t>.</w:t>
      </w:r>
    </w:p>
    <w:p w:rsidR="00CC5554" w:rsidRDefault="000232F6">
      <w:pPr>
        <w:pStyle w:val="Proposal"/>
      </w:pPr>
      <w:r>
        <w:t>ADD</w:t>
      </w:r>
      <w:r>
        <w:tab/>
        <w:t>IAP/7A24A3/2</w:t>
      </w:r>
    </w:p>
    <w:p w:rsidR="00CC5554" w:rsidRPr="00510F13" w:rsidRDefault="000232F6" w:rsidP="00C7617E">
      <w:pPr>
        <w:pStyle w:val="ResNo"/>
      </w:pPr>
      <w:r w:rsidRPr="00510F13">
        <w:rPr>
          <w:rtl/>
        </w:rPr>
        <w:t xml:space="preserve">مشـروع قـرار جديـد </w:t>
      </w:r>
      <w:r w:rsidR="00C03C9F">
        <w:t>[IAP-</w:t>
      </w:r>
      <w:bookmarkStart w:id="3" w:name="_GoBack"/>
      <w:bookmarkEnd w:id="3"/>
      <w:r w:rsidRPr="00510F13">
        <w:t>10C-2019]</w:t>
      </w:r>
      <w:r w:rsidR="003D7446">
        <w:t> (WRC</w:t>
      </w:r>
      <w:r w:rsidR="003D7446">
        <w:noBreakHyphen/>
        <w:t>15)</w:t>
      </w:r>
    </w:p>
    <w:p w:rsidR="00CC5554" w:rsidRDefault="005D1BC3" w:rsidP="005D1BC3">
      <w:pPr>
        <w:pStyle w:val="Restitle"/>
      </w:pPr>
      <w:r>
        <w:rPr>
          <w:rFonts w:hint="cs"/>
          <w:rtl/>
        </w:rPr>
        <w:t xml:space="preserve">جدول أعمال للمؤتمر العالمي للاتصالات الراديوية لعام </w:t>
      </w:r>
      <w:r>
        <w:t>2019</w:t>
      </w:r>
    </w:p>
    <w:p w:rsidR="003D7446" w:rsidRPr="00444904" w:rsidRDefault="00C7617E" w:rsidP="00D40062">
      <w:pPr>
        <w:rPr>
          <w:rtl/>
          <w:lang w:bidi="ar-EG"/>
        </w:rPr>
      </w:pPr>
      <w:r>
        <w:rPr>
          <w:lang w:bidi="ar-EG"/>
        </w:rPr>
        <w:t>[GADSS].1</w:t>
      </w:r>
      <w:r>
        <w:rPr>
          <w:rtl/>
          <w:lang w:bidi="ar-EG"/>
        </w:rPr>
        <w:tab/>
      </w:r>
      <w:r w:rsidR="00444904">
        <w:rPr>
          <w:rFonts w:hint="cs"/>
          <w:rtl/>
        </w:rPr>
        <w:t>النظر في التدابير التنظيمية، بما</w:t>
      </w:r>
      <w:r w:rsidR="00D40062">
        <w:rPr>
          <w:rFonts w:hint="eastAsia"/>
          <w:rtl/>
        </w:rPr>
        <w:t> </w:t>
      </w:r>
      <w:r w:rsidR="00444904">
        <w:rPr>
          <w:rFonts w:hint="cs"/>
          <w:rtl/>
        </w:rPr>
        <w:t xml:space="preserve">في ذلك توزيعات الطيف، لتلبية الاحتياجات الناشئة للنظام العالمي </w:t>
      </w:r>
      <w:r w:rsidR="00444904">
        <w:rPr>
          <w:rtl/>
        </w:rPr>
        <w:t>للاستغاثة والسلامة في مجال الطيران</w:t>
      </w:r>
      <w:r w:rsidR="009A654E">
        <w:rPr>
          <w:rFonts w:hint="cs"/>
          <w:rtl/>
        </w:rPr>
        <w:t xml:space="preserve"> بموجب القرار</w:t>
      </w:r>
      <w:r w:rsidR="00D40062">
        <w:rPr>
          <w:rFonts w:hint="eastAsia"/>
          <w:rtl/>
        </w:rPr>
        <w:t> </w:t>
      </w:r>
      <w:r w:rsidR="009A654E" w:rsidRPr="00586F70">
        <w:rPr>
          <w:b/>
        </w:rPr>
        <w:t>[IAP-</w:t>
      </w:r>
      <w:r w:rsidR="009A654E">
        <w:rPr>
          <w:b/>
        </w:rPr>
        <w:t>10C-</w:t>
      </w:r>
      <w:r w:rsidR="009A654E" w:rsidRPr="00586F70">
        <w:rPr>
          <w:b/>
        </w:rPr>
        <w:t>GADSS]</w:t>
      </w:r>
      <w:r w:rsidR="00D40062">
        <w:rPr>
          <w:b/>
        </w:rPr>
        <w:t> (</w:t>
      </w:r>
      <w:r w:rsidR="00D40062" w:rsidRPr="00586F70">
        <w:rPr>
          <w:b/>
        </w:rPr>
        <w:t>WRC-15</w:t>
      </w:r>
      <w:r w:rsidR="00D40062">
        <w:rPr>
          <w:b/>
        </w:rPr>
        <w:t>)</w:t>
      </w:r>
      <w:r w:rsidR="00D40062">
        <w:rPr>
          <w:rFonts w:hint="cs"/>
          <w:b/>
          <w:rtl/>
          <w:lang w:bidi="ar-EG"/>
        </w:rPr>
        <w:t>.</w:t>
      </w:r>
    </w:p>
    <w:p w:rsidR="003D7446" w:rsidRPr="00D40062" w:rsidRDefault="000232F6" w:rsidP="00D40062">
      <w:pPr>
        <w:pStyle w:val="Reasons"/>
        <w:rPr>
          <w:b w:val="0"/>
          <w:bCs w:val="0"/>
          <w:rtl/>
          <w:lang w:bidi="ar-EG"/>
        </w:rPr>
      </w:pPr>
      <w:r>
        <w:rPr>
          <w:rtl/>
        </w:rPr>
        <w:t>الأسباب:</w:t>
      </w:r>
      <w:r>
        <w:tab/>
      </w:r>
      <w:r w:rsidR="009A654E">
        <w:rPr>
          <w:rFonts w:hint="cs"/>
          <w:b w:val="0"/>
          <w:bCs w:val="0"/>
          <w:rtl/>
          <w:lang w:bidi="ar-EG"/>
        </w:rPr>
        <w:t>مساندة أنشطة منظمة الطيران المدني الدولي لتلبية المتطلبات التنظيمية في تنفيذ التتبع العادي وغير</w:t>
      </w:r>
      <w:r w:rsidR="00D40062">
        <w:rPr>
          <w:rFonts w:hint="eastAsia"/>
          <w:b w:val="0"/>
          <w:bCs w:val="0"/>
          <w:rtl/>
          <w:lang w:bidi="ar-EG"/>
        </w:rPr>
        <w:t> </w:t>
      </w:r>
      <w:r w:rsidR="009A654E">
        <w:rPr>
          <w:rFonts w:hint="cs"/>
          <w:b w:val="0"/>
          <w:bCs w:val="0"/>
          <w:rtl/>
          <w:lang w:bidi="ar-EG"/>
        </w:rPr>
        <w:t xml:space="preserve">العادي لرحلات الطائرات؛ </w:t>
      </w:r>
      <w:r w:rsidR="009A654E" w:rsidRPr="009A654E">
        <w:rPr>
          <w:b w:val="0"/>
          <w:bCs w:val="0"/>
          <w:rtl/>
          <w:lang w:bidi="ar-EG"/>
        </w:rPr>
        <w:t xml:space="preserve">والتتبُّع التلقائي للاستغاثة في رحلات الطائرات، وأنشطة البحث والإنقاذ؛ والاسترجاع الآلي للبيانات من مسجلات أصوات </w:t>
      </w:r>
      <w:r w:rsidR="00B67569">
        <w:rPr>
          <w:rFonts w:hint="cs"/>
          <w:b w:val="0"/>
          <w:bCs w:val="0"/>
          <w:rtl/>
          <w:lang w:bidi="ar-EG"/>
        </w:rPr>
        <w:t>قمرة القيادة</w:t>
      </w:r>
      <w:r w:rsidR="009A654E" w:rsidRPr="009A654E">
        <w:rPr>
          <w:b w:val="0"/>
          <w:bCs w:val="0"/>
          <w:rtl/>
          <w:lang w:bidi="ar-EG"/>
        </w:rPr>
        <w:t xml:space="preserve"> وبيانات رحلات الطائرات؛ والإجراءات ذات الصلة بما في ذلك إدارة مثل هذه المعلومات.</w:t>
      </w:r>
    </w:p>
    <w:p w:rsidR="00CC5554" w:rsidRDefault="000232F6">
      <w:pPr>
        <w:pStyle w:val="Proposal"/>
      </w:pPr>
      <w:r>
        <w:t>ADD</w:t>
      </w:r>
      <w:r>
        <w:tab/>
        <w:t>IAP/7A24A3/3</w:t>
      </w:r>
    </w:p>
    <w:p w:rsidR="00CC5554" w:rsidRPr="003D7446" w:rsidRDefault="000232F6" w:rsidP="007E2E20">
      <w:pPr>
        <w:pStyle w:val="ResNo"/>
      </w:pPr>
      <w:r w:rsidRPr="003D7446">
        <w:rPr>
          <w:rtl/>
        </w:rPr>
        <w:t xml:space="preserve">مشـروع قـرار جديـد </w:t>
      </w:r>
      <w:r w:rsidRPr="003D7446">
        <w:t>[IAP</w:t>
      </w:r>
      <w:r w:rsidR="007E2E20">
        <w:noBreakHyphen/>
      </w:r>
      <w:r w:rsidR="003D7446">
        <w:t>10C</w:t>
      </w:r>
      <w:r w:rsidR="007E2E20">
        <w:noBreakHyphen/>
      </w:r>
      <w:r w:rsidR="003D7446">
        <w:t>GADSS</w:t>
      </w:r>
      <w:r w:rsidRPr="003D7446">
        <w:t>]</w:t>
      </w:r>
      <w:r w:rsidR="003D7446">
        <w:t> (WRC</w:t>
      </w:r>
      <w:r w:rsidR="003D7446">
        <w:noBreakHyphen/>
        <w:t>15)</w:t>
      </w:r>
    </w:p>
    <w:p w:rsidR="00CC5554" w:rsidRDefault="008F1A63">
      <w:pPr>
        <w:pStyle w:val="Restitle"/>
        <w:rPr>
          <w:rtl/>
          <w:lang w:bidi="ar-EG"/>
        </w:rPr>
      </w:pPr>
      <w:r>
        <w:rPr>
          <w:rFonts w:hint="cs"/>
          <w:rtl/>
          <w:lang w:bidi="ar-EG"/>
        </w:rPr>
        <w:t xml:space="preserve">اتصالات </w:t>
      </w:r>
      <w:r>
        <w:rPr>
          <w:rFonts w:hint="cs"/>
          <w:rtl/>
        </w:rPr>
        <w:t>النظام العالمي للاستغاثة والسلامة في مجال الطيران</w:t>
      </w:r>
    </w:p>
    <w:p w:rsidR="003D7446" w:rsidRDefault="008062B4" w:rsidP="007E2E20">
      <w:pPr>
        <w:pStyle w:val="Normalaftertitle"/>
        <w:rPr>
          <w:rtl/>
          <w:lang w:bidi="ar-EG"/>
        </w:rPr>
      </w:pPr>
      <w:r>
        <w:rPr>
          <w:rFonts w:hint="cs"/>
          <w:rtl/>
          <w:lang w:bidi="ar-EG"/>
        </w:rPr>
        <w:t xml:space="preserve">إن المؤتمر العالمي للاتصالات الراديوية (جنيف، </w:t>
      </w:r>
      <w:r>
        <w:rPr>
          <w:lang w:bidi="ar-EG"/>
        </w:rPr>
        <w:t>2015</w:t>
      </w:r>
      <w:r>
        <w:rPr>
          <w:rFonts w:hint="cs"/>
          <w:rtl/>
          <w:lang w:bidi="ar-EG"/>
        </w:rPr>
        <w:t>)</w:t>
      </w:r>
    </w:p>
    <w:p w:rsidR="003D7446" w:rsidRDefault="008062B4" w:rsidP="007E2E20">
      <w:pPr>
        <w:pStyle w:val="Call"/>
        <w:rPr>
          <w:rtl/>
          <w:lang w:bidi="ar-EG"/>
        </w:rPr>
      </w:pPr>
      <w:r>
        <w:rPr>
          <w:rFonts w:hint="cs"/>
          <w:rtl/>
          <w:lang w:bidi="ar-EG"/>
        </w:rPr>
        <w:t>إذ يضع في اعتباره</w:t>
      </w:r>
    </w:p>
    <w:p w:rsidR="003D7446" w:rsidRPr="007E2E20" w:rsidRDefault="007E2E20" w:rsidP="00D40062">
      <w:pPr>
        <w:rPr>
          <w:rtl/>
          <w:lang w:bidi="ar-EG"/>
        </w:rPr>
      </w:pPr>
      <w:r w:rsidRPr="007E2E20">
        <w:rPr>
          <w:rFonts w:hint="cs"/>
          <w:i/>
          <w:iCs/>
          <w:rtl/>
          <w:lang w:bidi="ar-EG"/>
        </w:rPr>
        <w:t xml:space="preserve"> أ )</w:t>
      </w:r>
      <w:r>
        <w:rPr>
          <w:rtl/>
          <w:lang w:bidi="ar-EG"/>
        </w:rPr>
        <w:tab/>
      </w:r>
      <w:r w:rsidR="008F1A63">
        <w:rPr>
          <w:rFonts w:hint="cs"/>
          <w:rtl/>
          <w:lang w:bidi="ar-EG"/>
        </w:rPr>
        <w:t>أن منظمة الطيران المدني الدولي تقوم بتطوير عناصر عمليات للنظام العالمي المقبل للاستغاثة والسلامة في</w:t>
      </w:r>
      <w:r w:rsidR="00D40062">
        <w:rPr>
          <w:rFonts w:hint="eastAsia"/>
          <w:rtl/>
          <w:lang w:bidi="ar-EG"/>
        </w:rPr>
        <w:t> </w:t>
      </w:r>
      <w:r w:rsidR="008F1A63">
        <w:rPr>
          <w:rFonts w:hint="cs"/>
          <w:rtl/>
          <w:lang w:bidi="ar-EG"/>
        </w:rPr>
        <w:t>مجال</w:t>
      </w:r>
      <w:r w:rsidR="00D40062">
        <w:rPr>
          <w:rFonts w:hint="eastAsia"/>
          <w:rtl/>
          <w:lang w:bidi="ar-EG"/>
        </w:rPr>
        <w:t> </w:t>
      </w:r>
      <w:r w:rsidR="008F1A63">
        <w:rPr>
          <w:rFonts w:hint="cs"/>
          <w:rtl/>
          <w:lang w:bidi="ar-EG"/>
        </w:rPr>
        <w:t>الطيران؛</w:t>
      </w:r>
    </w:p>
    <w:p w:rsidR="003D7446" w:rsidRPr="008F1A63" w:rsidRDefault="007E2E20" w:rsidP="003D7446">
      <w:pPr>
        <w:rPr>
          <w:rtl/>
          <w:lang w:bidi="ar-EG"/>
        </w:rPr>
      </w:pPr>
      <w:r w:rsidRPr="007E2E20">
        <w:rPr>
          <w:rFonts w:hint="cs"/>
          <w:i/>
          <w:iCs/>
          <w:rtl/>
          <w:lang w:bidi="ar-EG"/>
        </w:rPr>
        <w:t>ب)</w:t>
      </w:r>
      <w:r w:rsidRPr="007E2E20">
        <w:rPr>
          <w:i/>
          <w:iCs/>
          <w:lang w:bidi="ar-EG"/>
        </w:rPr>
        <w:tab/>
      </w:r>
      <w:r w:rsidR="008F1A63">
        <w:rPr>
          <w:rFonts w:hint="cs"/>
          <w:rtl/>
          <w:lang w:bidi="ar-EG"/>
        </w:rPr>
        <w:t>وأن الحاجة قد تدعو في حالات استغاثة الطائرات إلى اتصالات إضافية؛</w:t>
      </w:r>
    </w:p>
    <w:p w:rsidR="003D7446" w:rsidRPr="008F1A63" w:rsidRDefault="007E2E20" w:rsidP="00D40062">
      <w:pPr>
        <w:rPr>
          <w:rtl/>
          <w:lang w:bidi="ar-EG"/>
        </w:rPr>
      </w:pPr>
      <w:r w:rsidRPr="007E2E20">
        <w:rPr>
          <w:rFonts w:hint="cs"/>
          <w:i/>
          <w:iCs/>
          <w:rtl/>
          <w:lang w:bidi="ar-EG"/>
        </w:rPr>
        <w:t>ج)</w:t>
      </w:r>
      <w:r w:rsidRPr="007E2E20">
        <w:rPr>
          <w:i/>
          <w:iCs/>
          <w:lang w:bidi="ar-EG"/>
        </w:rPr>
        <w:tab/>
      </w:r>
      <w:r w:rsidR="008F1A63">
        <w:rPr>
          <w:rFonts w:hint="cs"/>
          <w:rtl/>
          <w:lang w:bidi="ar-EG"/>
        </w:rPr>
        <w:t>وأن الأحكام التنظيمية المتعلقة بتنفيذ النظام العالمي للاستغاثة والسلامة في مجال الطيران ينبغي أن</w:t>
      </w:r>
      <w:r w:rsidR="00D40062">
        <w:rPr>
          <w:rFonts w:hint="eastAsia"/>
          <w:rtl/>
          <w:lang w:bidi="ar-EG"/>
        </w:rPr>
        <w:t> </w:t>
      </w:r>
      <w:r w:rsidR="008F1A63">
        <w:rPr>
          <w:rFonts w:hint="cs"/>
          <w:rtl/>
          <w:lang w:bidi="ar-EG"/>
        </w:rPr>
        <w:t>تكفل حماية الخدمات القائمة</w:t>
      </w:r>
      <w:r w:rsidR="00B905F4">
        <w:rPr>
          <w:rFonts w:hint="cs"/>
          <w:rtl/>
          <w:lang w:bidi="ar-EG"/>
        </w:rPr>
        <w:t>،</w:t>
      </w:r>
    </w:p>
    <w:p w:rsidR="003D7446" w:rsidRDefault="008062B4" w:rsidP="007E2E20">
      <w:pPr>
        <w:pStyle w:val="Call"/>
        <w:rPr>
          <w:rtl/>
          <w:lang w:bidi="ar-EG"/>
        </w:rPr>
      </w:pPr>
      <w:r w:rsidRPr="008F1A63">
        <w:rPr>
          <w:rFonts w:hint="cs"/>
          <w:rtl/>
          <w:lang w:bidi="ar-EG"/>
        </w:rPr>
        <w:lastRenderedPageBreak/>
        <w:t>وإذا يدرك</w:t>
      </w:r>
    </w:p>
    <w:p w:rsidR="007E2E20" w:rsidRDefault="00D40062" w:rsidP="000E612A">
      <w:pPr>
        <w:rPr>
          <w:rtl/>
        </w:rPr>
      </w:pPr>
      <w:r w:rsidRPr="00D40062">
        <w:rPr>
          <w:rFonts w:hint="cs"/>
          <w:i/>
          <w:iCs/>
          <w:rtl/>
          <w:lang w:bidi="ar-EG"/>
        </w:rPr>
        <w:t xml:space="preserve"> </w:t>
      </w:r>
      <w:r w:rsidR="007E2E20" w:rsidRPr="00D40062">
        <w:rPr>
          <w:rFonts w:hint="cs"/>
          <w:i/>
          <w:iCs/>
          <w:rtl/>
          <w:lang w:bidi="ar-EG"/>
        </w:rPr>
        <w:t>أ )</w:t>
      </w:r>
      <w:r w:rsidR="007E2E20">
        <w:rPr>
          <w:rtl/>
          <w:lang w:bidi="ar-EG"/>
        </w:rPr>
        <w:tab/>
      </w:r>
      <w:r w:rsidR="008F1A63">
        <w:rPr>
          <w:rFonts w:hint="cs"/>
          <w:rtl/>
          <w:lang w:bidi="ar-EG"/>
        </w:rPr>
        <w:t xml:space="preserve">أن منظمة الطيران المدني الدولي لم تحدد بعد العناصر المكوِّنة للنظام العالمي للاستغاثة والسلامة في مجال الطيران المشار إليها في الفقرة </w:t>
      </w:r>
      <w:r w:rsidR="00E9137E">
        <w:rPr>
          <w:rFonts w:hint="cs"/>
          <w:rtl/>
          <w:lang w:bidi="ar-EG"/>
        </w:rPr>
        <w:t>"</w:t>
      </w:r>
      <w:r w:rsidR="00E9137E">
        <w:rPr>
          <w:rFonts w:hint="cs"/>
          <w:i/>
          <w:iCs/>
          <w:rtl/>
          <w:lang w:bidi="ar-EG"/>
        </w:rPr>
        <w:t xml:space="preserve">إذ يضع في اعتباره أ)"، </w:t>
      </w:r>
      <w:r w:rsidR="008F1A63">
        <w:rPr>
          <w:rFonts w:hint="cs"/>
          <w:rtl/>
          <w:lang w:bidi="ar-EG"/>
        </w:rPr>
        <w:t xml:space="preserve">على أن من المنتظر أن </w:t>
      </w:r>
      <w:r w:rsidR="00B905F4">
        <w:rPr>
          <w:rFonts w:hint="cs"/>
          <w:rtl/>
          <w:lang w:bidi="ar-EG"/>
        </w:rPr>
        <w:t>تتوافر</w:t>
      </w:r>
      <w:r w:rsidR="008F1A63">
        <w:rPr>
          <w:rFonts w:hint="cs"/>
          <w:rtl/>
          <w:lang w:bidi="ar-EG"/>
        </w:rPr>
        <w:t xml:space="preserve"> في وقت يتيح </w:t>
      </w:r>
      <w:r w:rsidR="00B905F4">
        <w:rPr>
          <w:rFonts w:hint="cs"/>
          <w:rtl/>
          <w:lang w:bidi="ar-EG"/>
        </w:rPr>
        <w:t xml:space="preserve">لها أن توجِّه </w:t>
      </w:r>
      <w:r w:rsidR="008F1A63">
        <w:rPr>
          <w:rFonts w:hint="cs"/>
          <w:rtl/>
          <w:lang w:bidi="ar-EG"/>
        </w:rPr>
        <w:t>دراسات قطاع الاتصالات الراديوية التي ستُجرى وتُنجز لمؤتمر</w:t>
      </w:r>
      <w:r w:rsidR="000E612A">
        <w:rPr>
          <w:rFonts w:hint="eastAsia"/>
          <w:rtl/>
          <w:lang w:bidi="ar-EG"/>
        </w:rPr>
        <w:t> </w:t>
      </w:r>
      <w:r w:rsidR="008F1A63" w:rsidRPr="00586F70">
        <w:t>WRC</w:t>
      </w:r>
      <w:r w:rsidR="000E612A">
        <w:noBreakHyphen/>
      </w:r>
      <w:r w:rsidR="008F1A63" w:rsidRPr="00586F70">
        <w:t>19</w:t>
      </w:r>
      <w:r w:rsidR="008F1A63">
        <w:rPr>
          <w:rFonts w:hint="cs"/>
          <w:rtl/>
        </w:rPr>
        <w:t>؛</w:t>
      </w:r>
    </w:p>
    <w:p w:rsidR="00445AED" w:rsidRDefault="007E2E20" w:rsidP="000E612A">
      <w:pPr>
        <w:rPr>
          <w:rtl/>
        </w:rPr>
      </w:pPr>
      <w:r w:rsidRPr="007E2E20">
        <w:rPr>
          <w:rFonts w:hint="cs"/>
          <w:i/>
          <w:iCs/>
          <w:rtl/>
          <w:lang w:bidi="ar-EG"/>
        </w:rPr>
        <w:t>ب)</w:t>
      </w:r>
      <w:r w:rsidRPr="007E2E20">
        <w:rPr>
          <w:i/>
          <w:iCs/>
          <w:lang w:bidi="ar-EG"/>
        </w:rPr>
        <w:tab/>
      </w:r>
      <w:r w:rsidR="008F1A63">
        <w:rPr>
          <w:rFonts w:hint="cs"/>
          <w:rtl/>
          <w:lang w:bidi="ar-EG"/>
        </w:rPr>
        <w:t>وأن مؤتمر</w:t>
      </w:r>
      <w:r w:rsidR="000E612A">
        <w:rPr>
          <w:rFonts w:hint="eastAsia"/>
          <w:rtl/>
          <w:lang w:bidi="ar-EG"/>
        </w:rPr>
        <w:t> </w:t>
      </w:r>
      <w:r w:rsidR="008F1A63" w:rsidRPr="00586F70">
        <w:t>WRC</w:t>
      </w:r>
      <w:r w:rsidR="000E612A">
        <w:noBreakHyphen/>
      </w:r>
      <w:r w:rsidR="008F1A63" w:rsidRPr="00586F70">
        <w:t>15</w:t>
      </w:r>
      <w:r w:rsidR="008F1A63">
        <w:rPr>
          <w:rFonts w:hint="cs"/>
          <w:rtl/>
        </w:rPr>
        <w:t xml:space="preserve"> اعتمد الرقم </w:t>
      </w:r>
      <w:r w:rsidR="008F1A63" w:rsidRPr="00586F70">
        <w:rPr>
          <w:b/>
        </w:rPr>
        <w:t>5.</w:t>
      </w:r>
      <w:r w:rsidR="008F1A63">
        <w:rPr>
          <w:b/>
        </w:rPr>
        <w:t>AGFT</w:t>
      </w:r>
      <w:r w:rsidR="008F1A63">
        <w:rPr>
          <w:rFonts w:hint="cs"/>
          <w:rtl/>
        </w:rPr>
        <w:t xml:space="preserve"> الذي يوزع نطاق التردد </w:t>
      </w:r>
      <w:r w:rsidR="008F1A63" w:rsidRPr="00586F70">
        <w:t>1</w:t>
      </w:r>
      <w:r w:rsidR="000E612A">
        <w:t> </w:t>
      </w:r>
      <w:r w:rsidR="008F1A63" w:rsidRPr="00586F70">
        <w:t>087</w:t>
      </w:r>
      <w:r w:rsidR="000E612A">
        <w:t>,</w:t>
      </w:r>
      <w:r w:rsidR="008F1A63" w:rsidRPr="00586F70">
        <w:t>7</w:t>
      </w:r>
      <w:r w:rsidR="008F1A63">
        <w:rPr>
          <w:rFonts w:hint="cs"/>
          <w:rtl/>
        </w:rPr>
        <w:t>-</w:t>
      </w:r>
      <w:r w:rsidR="008F1A63" w:rsidRPr="00586F70">
        <w:t>1</w:t>
      </w:r>
      <w:r w:rsidR="000E612A">
        <w:t> </w:t>
      </w:r>
      <w:r w:rsidR="008F1A63" w:rsidRPr="00586F70">
        <w:t>092</w:t>
      </w:r>
      <w:r w:rsidR="000E612A">
        <w:t>,</w:t>
      </w:r>
      <w:r w:rsidR="008F1A63" w:rsidRPr="00586F70">
        <w:t>3</w:t>
      </w:r>
      <w:r w:rsidR="000E612A">
        <w:rPr>
          <w:rFonts w:hint="eastAsia"/>
          <w:rtl/>
        </w:rPr>
        <w:t> </w:t>
      </w:r>
      <w:r w:rsidR="008F1A63">
        <w:rPr>
          <w:rFonts w:hint="cs"/>
        </w:rPr>
        <w:t>MHz</w:t>
      </w:r>
      <w:r w:rsidR="00445AED">
        <w:rPr>
          <w:rFonts w:hint="cs"/>
          <w:rtl/>
        </w:rPr>
        <w:t xml:space="preserve"> على الخدمة ال</w:t>
      </w:r>
      <w:r w:rsidR="00445AED">
        <w:rPr>
          <w:rtl/>
        </w:rPr>
        <w:t xml:space="preserve">متنقلة </w:t>
      </w:r>
      <w:r w:rsidR="00445AED">
        <w:rPr>
          <w:rFonts w:hint="cs"/>
          <w:rtl/>
        </w:rPr>
        <w:t>ال</w:t>
      </w:r>
      <w:r w:rsidR="00445AED">
        <w:rPr>
          <w:rtl/>
        </w:rPr>
        <w:t>ساتلية للطيران</w:t>
      </w:r>
      <w:r w:rsidR="00445AED">
        <w:rPr>
          <w:rFonts w:hint="cs"/>
          <w:rtl/>
        </w:rPr>
        <w:t xml:space="preserve"> </w:t>
      </w:r>
      <w:r w:rsidR="00445AED">
        <w:t xml:space="preserve"> (R)</w:t>
      </w:r>
      <w:r w:rsidR="00445AED">
        <w:rPr>
          <w:rFonts w:hint="cs"/>
          <w:rtl/>
        </w:rPr>
        <w:t xml:space="preserve">(أرض-فضاء) على أساس أولي يقتصر على </w:t>
      </w:r>
      <w:r w:rsidR="00445AED">
        <w:rPr>
          <w:rtl/>
        </w:rPr>
        <w:t xml:space="preserve">استقبال </w:t>
      </w:r>
      <w:r w:rsidR="00445AED">
        <w:rPr>
          <w:rFonts w:hint="cs"/>
          <w:rtl/>
        </w:rPr>
        <w:t>المحطات الفضائية ل</w:t>
      </w:r>
      <w:r w:rsidR="00445AED">
        <w:rPr>
          <w:rtl/>
        </w:rPr>
        <w:t>إشارات الترصُّد التلقائي المعتمِد-بالإذاعة</w:t>
      </w:r>
      <w:r w:rsidR="00445AED">
        <w:t xml:space="preserve"> (ADS</w:t>
      </w:r>
      <w:r w:rsidR="000E612A">
        <w:noBreakHyphen/>
      </w:r>
      <w:r w:rsidR="00445AED">
        <w:t xml:space="preserve">B) </w:t>
      </w:r>
      <w:r w:rsidR="00445AED">
        <w:rPr>
          <w:rtl/>
        </w:rPr>
        <w:t xml:space="preserve">وفقاً </w:t>
      </w:r>
      <w:r w:rsidR="00E9137E">
        <w:rPr>
          <w:rFonts w:hint="cs"/>
          <w:rtl/>
        </w:rPr>
        <w:t xml:space="preserve">لمعايير الطيران الدولية المعتمدة بغية توسيع قدرة المراقبة في البنية التحتية لإدارة الحركة الجوية لتحديد موقع الطائرات في المجال الجوي البحري، والقطبي، </w:t>
      </w:r>
      <w:proofErr w:type="spellStart"/>
      <w:r w:rsidR="00E9137E">
        <w:rPr>
          <w:rFonts w:hint="cs"/>
          <w:rtl/>
        </w:rPr>
        <w:t>والنائي</w:t>
      </w:r>
      <w:proofErr w:type="spellEnd"/>
      <w:r w:rsidR="00E9137E">
        <w:rPr>
          <w:rFonts w:hint="cs"/>
          <w:rtl/>
        </w:rPr>
        <w:t>،</w:t>
      </w:r>
    </w:p>
    <w:p w:rsidR="003D7446" w:rsidRDefault="00445AED" w:rsidP="00445AED">
      <w:pPr>
        <w:pStyle w:val="Call"/>
        <w:rPr>
          <w:lang w:bidi="ar-EG"/>
        </w:rPr>
      </w:pPr>
      <w:r>
        <w:rPr>
          <w:rFonts w:hint="cs"/>
          <w:rtl/>
          <w:lang w:bidi="ar-EG"/>
        </w:rPr>
        <w:t xml:space="preserve"> </w:t>
      </w:r>
      <w:r w:rsidR="008062B4">
        <w:rPr>
          <w:rFonts w:hint="cs"/>
          <w:rtl/>
          <w:lang w:bidi="ar-EG"/>
        </w:rPr>
        <w:t xml:space="preserve">يقرر أن يدعو المؤتمر العالمي للاتصالات الراديوية لعام </w:t>
      </w:r>
      <w:r w:rsidR="008062B4">
        <w:rPr>
          <w:lang w:bidi="ar-EG"/>
        </w:rPr>
        <w:t>2019</w:t>
      </w:r>
    </w:p>
    <w:p w:rsidR="008062B4" w:rsidRDefault="00E9137E" w:rsidP="000E612A">
      <w:pPr>
        <w:rPr>
          <w:rtl/>
          <w:lang w:bidi="ar-EG"/>
        </w:rPr>
      </w:pPr>
      <w:r>
        <w:rPr>
          <w:rFonts w:hint="cs"/>
          <w:rtl/>
          <w:lang w:bidi="ar-EG"/>
        </w:rPr>
        <w:t>أن ينظر، بعد مراعاة نتائج دراسات قطاع الاتصالات الراديوية، في أية تدابير تنظيمية ضرورية، بما</w:t>
      </w:r>
      <w:r w:rsidR="000E612A">
        <w:rPr>
          <w:rFonts w:hint="eastAsia"/>
          <w:rtl/>
          <w:lang w:bidi="ar-EG"/>
        </w:rPr>
        <w:t> </w:t>
      </w:r>
      <w:r>
        <w:rPr>
          <w:rFonts w:hint="cs"/>
          <w:rtl/>
          <w:lang w:bidi="ar-EG"/>
        </w:rPr>
        <w:t>في ذلك توزيعات الطيف، لتوفير العناصر المشار إليها في الفقرة "</w:t>
      </w:r>
      <w:r>
        <w:rPr>
          <w:rFonts w:hint="cs"/>
          <w:i/>
          <w:iCs/>
          <w:rtl/>
          <w:lang w:bidi="ar-EG"/>
        </w:rPr>
        <w:t>إذ يضع في اعتباره أ)"، دون تقييد لا داع له للأنظمة القائمة،</w:t>
      </w:r>
    </w:p>
    <w:p w:rsidR="008062B4" w:rsidRDefault="008062B4" w:rsidP="008062B4">
      <w:pPr>
        <w:pStyle w:val="Call"/>
        <w:rPr>
          <w:lang w:bidi="ar-EG"/>
        </w:rPr>
      </w:pPr>
      <w:r>
        <w:rPr>
          <w:rFonts w:hint="cs"/>
          <w:rtl/>
          <w:lang w:bidi="ar-EG"/>
        </w:rPr>
        <w:t>يقرر أن يدعو قطاع الاتصالات الراديوية</w:t>
      </w:r>
    </w:p>
    <w:p w:rsidR="008062B4" w:rsidRDefault="00E9137E" w:rsidP="000E612A">
      <w:pPr>
        <w:rPr>
          <w:rtl/>
          <w:lang w:bidi="ar-EG"/>
        </w:rPr>
      </w:pPr>
      <w:r>
        <w:rPr>
          <w:rFonts w:hint="cs"/>
          <w:rtl/>
          <w:lang w:bidi="ar-EG"/>
        </w:rPr>
        <w:t>إلى أن يجري، في وقت مناسب لمؤتمر</w:t>
      </w:r>
      <w:r w:rsidR="000E612A">
        <w:rPr>
          <w:rFonts w:hint="eastAsia"/>
          <w:rtl/>
          <w:lang w:bidi="ar-EG"/>
        </w:rPr>
        <w:t> </w:t>
      </w:r>
      <w:r w:rsidRPr="00090A5C">
        <w:t>WRC</w:t>
      </w:r>
      <w:r w:rsidR="000E612A">
        <w:noBreakHyphen/>
      </w:r>
      <w:r w:rsidRPr="00090A5C">
        <w:t>19</w:t>
      </w:r>
      <w:r>
        <w:rPr>
          <w:rFonts w:hint="cs"/>
          <w:rtl/>
        </w:rPr>
        <w:t xml:space="preserve">، دراسات التقاسم والتوافق لضمان حماية الخدمات القائمة ضمن نطاقات التردد التي قد تُحدد للعناصر المشار إليها </w:t>
      </w:r>
      <w:r>
        <w:rPr>
          <w:rFonts w:hint="cs"/>
          <w:rtl/>
          <w:lang w:bidi="ar-EG"/>
        </w:rPr>
        <w:t xml:space="preserve"> في الفقرة "</w:t>
      </w:r>
      <w:r>
        <w:rPr>
          <w:rFonts w:hint="cs"/>
          <w:i/>
          <w:iCs/>
          <w:rtl/>
          <w:lang w:bidi="ar-EG"/>
        </w:rPr>
        <w:t>إذ يضع في اعتباره أ)"،</w:t>
      </w:r>
    </w:p>
    <w:p w:rsidR="003D7446" w:rsidRDefault="008062B4" w:rsidP="007E2E20">
      <w:pPr>
        <w:pStyle w:val="Call"/>
        <w:rPr>
          <w:rtl/>
          <w:lang w:bidi="ar-EG"/>
        </w:rPr>
      </w:pPr>
      <w:r>
        <w:rPr>
          <w:rFonts w:hint="cs"/>
          <w:rtl/>
          <w:lang w:bidi="ar-EG"/>
        </w:rPr>
        <w:t>يدعو الإدارات</w:t>
      </w:r>
    </w:p>
    <w:p w:rsidR="008062B4" w:rsidRDefault="00E9137E" w:rsidP="00E9137E">
      <w:pPr>
        <w:rPr>
          <w:rtl/>
          <w:lang w:bidi="ar-EG"/>
        </w:rPr>
      </w:pPr>
      <w:r>
        <w:rPr>
          <w:rFonts w:hint="cs"/>
          <w:rtl/>
          <w:lang w:bidi="ar-EG"/>
        </w:rPr>
        <w:t>إلى أن تشارك بنشاط في الدراسات وأن توفر السمات التقنية والتشغيلية للأنظمة المنخرطة وذلك بتقديم المساهما</w:t>
      </w:r>
      <w:r w:rsidR="000E612A">
        <w:rPr>
          <w:rFonts w:hint="cs"/>
          <w:rtl/>
          <w:lang w:bidi="ar-EG"/>
        </w:rPr>
        <w:t>ت إلى قطاع الاتصالات الراديوية،</w:t>
      </w:r>
    </w:p>
    <w:p w:rsidR="003D7446" w:rsidRDefault="007E2E20" w:rsidP="007E2E20">
      <w:pPr>
        <w:pStyle w:val="Call"/>
        <w:rPr>
          <w:rtl/>
          <w:lang w:bidi="ar-EG"/>
        </w:rPr>
      </w:pPr>
      <w:r>
        <w:rPr>
          <w:rFonts w:hint="cs"/>
          <w:rtl/>
          <w:lang w:bidi="ar-EG"/>
        </w:rPr>
        <w:t>يدعو كذلك</w:t>
      </w:r>
    </w:p>
    <w:p w:rsidR="007E2E20" w:rsidRPr="000E612A" w:rsidRDefault="007E2E20" w:rsidP="000E612A">
      <w:pPr>
        <w:rPr>
          <w:lang w:bidi="ar-EG"/>
        </w:rPr>
      </w:pPr>
      <w:r w:rsidRPr="00E9137E">
        <w:rPr>
          <w:rFonts w:hint="cs"/>
          <w:rtl/>
          <w:lang w:bidi="ar-EG"/>
        </w:rPr>
        <w:t>منظمة الطيران المدني الدولي واتحاد النقل الجوي الدولي</w:t>
      </w:r>
      <w:r w:rsidR="000E612A">
        <w:rPr>
          <w:rFonts w:hint="eastAsia"/>
          <w:rtl/>
          <w:lang w:bidi="ar-EG"/>
        </w:rPr>
        <w:t> </w:t>
      </w:r>
      <w:r w:rsidRPr="00E9137E">
        <w:rPr>
          <w:lang w:bidi="ar-EG"/>
        </w:rPr>
        <w:t>(IATA)</w:t>
      </w:r>
      <w:r w:rsidRPr="00E9137E">
        <w:rPr>
          <w:rFonts w:hint="cs"/>
          <w:rtl/>
          <w:lang w:bidi="ar-EG"/>
        </w:rPr>
        <w:t xml:space="preserve"> والإدارات والمنظمات الأخرى المعنية إلى المشاركة في</w:t>
      </w:r>
      <w:r w:rsidRPr="00E9137E">
        <w:rPr>
          <w:rFonts w:hint="eastAsia"/>
          <w:rtl/>
          <w:lang w:bidi="ar-EG"/>
        </w:rPr>
        <w:t> </w:t>
      </w:r>
      <w:r w:rsidRPr="00E9137E">
        <w:rPr>
          <w:rFonts w:hint="cs"/>
          <w:rtl/>
          <w:lang w:bidi="ar-EG"/>
        </w:rPr>
        <w:t>الدراسات المحددة في</w:t>
      </w:r>
      <w:r w:rsidR="00E9137E">
        <w:rPr>
          <w:rFonts w:hint="cs"/>
          <w:rtl/>
          <w:lang w:bidi="ar-EG"/>
        </w:rPr>
        <w:t xml:space="preserve"> الفقرة</w:t>
      </w:r>
      <w:r w:rsidRPr="00E9137E">
        <w:rPr>
          <w:rFonts w:hint="eastAsia"/>
          <w:rtl/>
          <w:lang w:bidi="ar-EG"/>
        </w:rPr>
        <w:t> </w:t>
      </w:r>
      <w:r w:rsidRPr="00E9137E">
        <w:rPr>
          <w:rFonts w:hint="cs"/>
          <w:rtl/>
          <w:lang w:bidi="ar-EG"/>
        </w:rPr>
        <w:t>"</w:t>
      </w:r>
      <w:r w:rsidRPr="00E9137E">
        <w:rPr>
          <w:rFonts w:hint="cs"/>
          <w:i/>
          <w:iCs/>
          <w:rtl/>
          <w:lang w:bidi="ar-EG"/>
        </w:rPr>
        <w:t>يدعو قطاع الاتصالات الراديوية</w:t>
      </w:r>
      <w:r w:rsidRPr="00E9137E">
        <w:rPr>
          <w:rFonts w:hint="cs"/>
          <w:rtl/>
          <w:lang w:bidi="ar-EG"/>
        </w:rPr>
        <w:t>" أعلاه،</w:t>
      </w:r>
    </w:p>
    <w:p w:rsidR="007E2E20" w:rsidRDefault="00E9137E" w:rsidP="00A313C8">
      <w:pPr>
        <w:pStyle w:val="Call"/>
        <w:rPr>
          <w:rtl/>
          <w:lang w:bidi="ar-EG"/>
        </w:rPr>
      </w:pPr>
      <w:r>
        <w:rPr>
          <w:rFonts w:hint="cs"/>
          <w:rtl/>
          <w:lang w:bidi="ar-EG"/>
        </w:rPr>
        <w:t xml:space="preserve">يكلف </w:t>
      </w:r>
      <w:r w:rsidR="00A313C8">
        <w:rPr>
          <w:rFonts w:hint="cs"/>
          <w:rtl/>
          <w:lang w:bidi="ar-EG"/>
        </w:rPr>
        <w:t>الأمين</w:t>
      </w:r>
      <w:r>
        <w:rPr>
          <w:rFonts w:hint="cs"/>
          <w:rtl/>
          <w:lang w:bidi="ar-EG"/>
        </w:rPr>
        <w:t xml:space="preserve"> العام</w:t>
      </w:r>
    </w:p>
    <w:p w:rsidR="003D7446" w:rsidRPr="003D7446" w:rsidRDefault="00A313C8" w:rsidP="000E612A">
      <w:pPr>
        <w:rPr>
          <w:rtl/>
          <w:lang w:bidi="ar-EG"/>
        </w:rPr>
      </w:pPr>
      <w:r>
        <w:rPr>
          <w:rFonts w:hint="cs"/>
          <w:rtl/>
          <w:lang w:bidi="ar-EG"/>
        </w:rPr>
        <w:t>أن يُبلغ هذا القرار إلى منظمة الطيران المدني الدولي وأن ي</w:t>
      </w:r>
      <w:r w:rsidR="000E612A">
        <w:rPr>
          <w:rFonts w:hint="cs"/>
          <w:rtl/>
          <w:lang w:bidi="ar-EG"/>
        </w:rPr>
        <w:t>ُ</w:t>
      </w:r>
      <w:r>
        <w:rPr>
          <w:rFonts w:hint="cs"/>
          <w:rtl/>
          <w:lang w:bidi="ar-EG"/>
        </w:rPr>
        <w:t xml:space="preserve">عرب عن الحاجة إلى معلومات عن السمات التقنية ومتطلبات الطيف المرتبطة بتنفيذ النظام العالمي للاستغاثة والسلامة في مجال الطيران في موعد مناسب، ومن الأفضل أن يكون ذلك بحلول </w:t>
      </w:r>
      <w:r w:rsidRPr="00B905F4">
        <w:rPr>
          <w:rFonts w:cs="Times New Roman" w:hint="cs"/>
          <w:szCs w:val="22"/>
          <w:rtl/>
          <w:lang w:bidi="ar-EG"/>
        </w:rPr>
        <w:t>31</w:t>
      </w:r>
      <w:r w:rsidR="000E612A">
        <w:rPr>
          <w:rFonts w:hint="eastAsia"/>
          <w:rtl/>
          <w:lang w:bidi="ar-EG"/>
        </w:rPr>
        <w:t> </w:t>
      </w:r>
      <w:r>
        <w:rPr>
          <w:rFonts w:hint="cs"/>
          <w:rtl/>
          <w:lang w:bidi="ar-EG"/>
        </w:rPr>
        <w:t>ديسمبر</w:t>
      </w:r>
      <w:r w:rsidR="000E612A">
        <w:rPr>
          <w:rFonts w:hint="eastAsia"/>
          <w:rtl/>
          <w:lang w:bidi="ar-EG"/>
        </w:rPr>
        <w:t> </w:t>
      </w:r>
      <w:r w:rsidRPr="00B905F4">
        <w:rPr>
          <w:rFonts w:cs="Times New Roman" w:hint="cs"/>
          <w:szCs w:val="22"/>
          <w:rtl/>
          <w:lang w:bidi="ar-EG"/>
        </w:rPr>
        <w:t>2016</w:t>
      </w:r>
      <w:r>
        <w:rPr>
          <w:rFonts w:hint="cs"/>
          <w:rtl/>
          <w:lang w:bidi="ar-EG"/>
        </w:rPr>
        <w:t>، بما يتيح إنجاز دراسات قطاع الاتصالات الراديوية قبل مؤتمر</w:t>
      </w:r>
      <w:r w:rsidR="000E612A">
        <w:rPr>
          <w:rFonts w:hint="eastAsia"/>
          <w:rtl/>
          <w:lang w:bidi="ar-EG"/>
        </w:rPr>
        <w:t> </w:t>
      </w:r>
      <w:r w:rsidRPr="00090A5C">
        <w:t>WRC</w:t>
      </w:r>
      <w:r w:rsidR="000E612A">
        <w:noBreakHyphen/>
      </w:r>
      <w:r w:rsidRPr="00B905F4">
        <w:rPr>
          <w:rFonts w:cs="Times New Roman"/>
          <w:szCs w:val="22"/>
        </w:rPr>
        <w:t>19</w:t>
      </w:r>
      <w:r>
        <w:rPr>
          <w:rFonts w:hint="cs"/>
          <w:rtl/>
        </w:rPr>
        <w:t>.</w:t>
      </w:r>
    </w:p>
    <w:p w:rsidR="00D35B2F" w:rsidRPr="00A313C8" w:rsidRDefault="000232F6" w:rsidP="000E612A">
      <w:pPr>
        <w:pStyle w:val="Reasons"/>
        <w:rPr>
          <w:b w:val="0"/>
          <w:bCs w:val="0"/>
        </w:rPr>
      </w:pPr>
      <w:r>
        <w:rPr>
          <w:rtl/>
        </w:rPr>
        <w:t>الأسباب:</w:t>
      </w:r>
      <w:r>
        <w:tab/>
      </w:r>
      <w:r w:rsidR="00A313C8">
        <w:rPr>
          <w:rFonts w:hint="cs"/>
          <w:b w:val="0"/>
          <w:bCs w:val="0"/>
          <w:rtl/>
        </w:rPr>
        <w:t>سيساند القرار دراسات قطاع الاتصالات الراديوية اللازمة في إطار البند ذي</w:t>
      </w:r>
      <w:r w:rsidR="000E612A">
        <w:rPr>
          <w:rFonts w:hint="eastAsia"/>
          <w:b w:val="0"/>
          <w:bCs w:val="0"/>
          <w:rtl/>
        </w:rPr>
        <w:t> </w:t>
      </w:r>
      <w:r w:rsidR="00A313C8">
        <w:rPr>
          <w:rFonts w:hint="cs"/>
          <w:b w:val="0"/>
          <w:bCs w:val="0"/>
          <w:rtl/>
        </w:rPr>
        <w:t>الصلة من بنود جدول أعمال مؤتمر</w:t>
      </w:r>
      <w:r w:rsidR="000E612A">
        <w:rPr>
          <w:rFonts w:hint="eastAsia"/>
          <w:b w:val="0"/>
          <w:bCs w:val="0"/>
          <w:rtl/>
        </w:rPr>
        <w:t> </w:t>
      </w:r>
      <w:r w:rsidR="00A313C8" w:rsidRPr="00A313C8">
        <w:rPr>
          <w:b w:val="0"/>
          <w:bCs w:val="0"/>
        </w:rPr>
        <w:t>WRC</w:t>
      </w:r>
      <w:r w:rsidR="000E612A">
        <w:rPr>
          <w:b w:val="0"/>
          <w:bCs w:val="0"/>
        </w:rPr>
        <w:noBreakHyphen/>
      </w:r>
      <w:r w:rsidR="00A313C8" w:rsidRPr="00A313C8">
        <w:rPr>
          <w:b w:val="0"/>
          <w:bCs w:val="0"/>
        </w:rPr>
        <w:t>19</w:t>
      </w:r>
      <w:r w:rsidR="00A313C8">
        <w:rPr>
          <w:rFonts w:hint="cs"/>
          <w:b w:val="0"/>
          <w:bCs w:val="0"/>
          <w:rtl/>
        </w:rPr>
        <w:t>.</w:t>
      </w:r>
    </w:p>
    <w:p w:rsidR="000E612A" w:rsidRDefault="000E612A" w:rsidP="000E612A"/>
    <w:p w:rsidR="000E612A" w:rsidRDefault="000E612A" w:rsidP="000E612A"/>
    <w:p w:rsidR="000E612A" w:rsidRDefault="000E612A" w:rsidP="000E612A"/>
    <w:p w:rsidR="000E612A" w:rsidRDefault="000E612A" w:rsidP="000E612A"/>
    <w:p w:rsidR="00D35B2F" w:rsidRDefault="00A313C8" w:rsidP="00D35B2F">
      <w:pPr>
        <w:pStyle w:val="Headingb"/>
      </w:pPr>
      <w:r>
        <w:rPr>
          <w:rFonts w:hint="cs"/>
          <w:rtl/>
        </w:rPr>
        <w:t>ال</w:t>
      </w:r>
      <w:r w:rsidR="00D35B2F">
        <w:rPr>
          <w:rFonts w:hint="cs"/>
          <w:rtl/>
        </w:rPr>
        <w:t xml:space="preserve">مرفقات: </w:t>
      </w:r>
      <w:r w:rsidR="00D35B2F" w:rsidRPr="00D35B2F">
        <w:t>1</w:t>
      </w:r>
    </w:p>
    <w:p w:rsidR="00D35B2F" w:rsidRDefault="00D35B2F">
      <w:pPr>
        <w:tabs>
          <w:tab w:val="clear" w:pos="1134"/>
        </w:tabs>
        <w:bidi w:val="0"/>
        <w:spacing w:before="0" w:line="240" w:lineRule="auto"/>
        <w:jc w:val="left"/>
        <w:rPr>
          <w:b/>
          <w:bCs/>
        </w:rPr>
      </w:pPr>
      <w:r>
        <w:rPr>
          <w:rtl/>
        </w:rPr>
        <w:br w:type="page"/>
      </w:r>
    </w:p>
    <w:p w:rsidR="00D35B2F" w:rsidRDefault="00D35B2F" w:rsidP="00D35B2F">
      <w:pPr>
        <w:pStyle w:val="AnnexNo"/>
        <w:rPr>
          <w:b/>
          <w:bCs/>
          <w:rtl/>
        </w:rPr>
      </w:pPr>
      <w:r w:rsidRPr="00D35B2F">
        <w:rPr>
          <w:rFonts w:hint="cs"/>
          <w:rtl/>
        </w:rPr>
        <w:lastRenderedPageBreak/>
        <w:t>مرفق</w:t>
      </w:r>
    </w:p>
    <w:p w:rsidR="00947A1C" w:rsidRPr="004E2CDC" w:rsidRDefault="00947A1C" w:rsidP="000E612A">
      <w:pPr>
        <w:pStyle w:val="Annextitle"/>
        <w:rPr>
          <w:rtl/>
        </w:rPr>
      </w:pPr>
      <w:r>
        <w:rPr>
          <w:color w:val="000000"/>
          <w:rtl/>
        </w:rPr>
        <w:t xml:space="preserve">مقترح ببند إضافي في جدول الأعمال </w:t>
      </w:r>
      <w:r>
        <w:rPr>
          <w:rFonts w:hint="cs"/>
          <w:color w:val="000000"/>
          <w:rtl/>
        </w:rPr>
        <w:t>بشأن</w:t>
      </w:r>
      <w:r w:rsidR="00A313C8" w:rsidRPr="00A313C8">
        <w:rPr>
          <w:rFonts w:hint="cs"/>
          <w:rtl/>
          <w:lang w:bidi="ar-EG"/>
        </w:rPr>
        <w:t xml:space="preserve"> </w:t>
      </w:r>
      <w:r w:rsidR="00A313C8">
        <w:rPr>
          <w:rFonts w:hint="cs"/>
          <w:rtl/>
          <w:lang w:bidi="ar-EG"/>
        </w:rPr>
        <w:t>النظام العالمي</w:t>
      </w:r>
      <w:r w:rsidR="000E612A">
        <w:rPr>
          <w:lang w:bidi="ar-EG"/>
        </w:rPr>
        <w:br/>
      </w:r>
      <w:r w:rsidR="00A313C8">
        <w:rPr>
          <w:rFonts w:hint="cs"/>
          <w:rtl/>
          <w:lang w:bidi="ar-EG"/>
        </w:rPr>
        <w:t>للاستغاثة</w:t>
      </w:r>
      <w:r w:rsidR="000E612A">
        <w:rPr>
          <w:lang w:bidi="ar-EG"/>
        </w:rPr>
        <w:t xml:space="preserve"> </w:t>
      </w:r>
      <w:r w:rsidR="00A313C8">
        <w:rPr>
          <w:rFonts w:hint="cs"/>
          <w:rtl/>
          <w:lang w:bidi="ar-EG"/>
        </w:rPr>
        <w:t>والسلامة في مجال الطيران</w:t>
      </w:r>
    </w:p>
    <w:p w:rsidR="00947A1C" w:rsidRPr="00A313C8" w:rsidRDefault="00947A1C" w:rsidP="000E612A">
      <w:pPr>
        <w:rPr>
          <w:rtl/>
        </w:rPr>
      </w:pPr>
      <w:r w:rsidRPr="00947A1C">
        <w:rPr>
          <w:rFonts w:hint="cs"/>
          <w:b/>
          <w:bCs/>
          <w:i/>
          <w:iCs/>
          <w:rtl/>
          <w:lang w:bidi="ar-EG"/>
        </w:rPr>
        <w:t>الموضوع</w:t>
      </w:r>
      <w:r w:rsidRPr="009E10B0">
        <w:rPr>
          <w:rFonts w:hint="cs"/>
          <w:b/>
          <w:bCs/>
          <w:rtl/>
          <w:lang w:bidi="ar-EG"/>
        </w:rPr>
        <w:t>:</w:t>
      </w:r>
      <w:r w:rsidRPr="009E10B0">
        <w:rPr>
          <w:rFonts w:hint="cs"/>
          <w:b/>
          <w:bCs/>
          <w:rtl/>
          <w:lang w:bidi="ar-EG"/>
        </w:rPr>
        <w:tab/>
      </w:r>
      <w:r w:rsidR="00A313C8">
        <w:rPr>
          <w:rFonts w:hint="cs"/>
          <w:rtl/>
          <w:lang w:bidi="ar-EG"/>
        </w:rPr>
        <w:t>بند مقترح لجدول الأعمال المقبل لمؤتمر</w:t>
      </w:r>
      <w:r w:rsidR="000E612A">
        <w:rPr>
          <w:rFonts w:hint="eastAsia"/>
          <w:rtl/>
          <w:lang w:bidi="ar-EG"/>
        </w:rPr>
        <w:t> </w:t>
      </w:r>
      <w:r w:rsidR="00A313C8" w:rsidRPr="00663E12">
        <w:rPr>
          <w:color w:val="000000"/>
          <w:szCs w:val="24"/>
        </w:rPr>
        <w:t>WRC</w:t>
      </w:r>
      <w:r w:rsidR="000E612A">
        <w:rPr>
          <w:color w:val="000000"/>
          <w:szCs w:val="24"/>
        </w:rPr>
        <w:noBreakHyphen/>
      </w:r>
      <w:r w:rsidR="00A313C8" w:rsidRPr="00663E12">
        <w:rPr>
          <w:color w:val="000000"/>
          <w:szCs w:val="24"/>
        </w:rPr>
        <w:t>19</w:t>
      </w:r>
      <w:r w:rsidR="00A313C8">
        <w:rPr>
          <w:rFonts w:hint="cs"/>
          <w:color w:val="000000"/>
          <w:szCs w:val="24"/>
          <w:rtl/>
        </w:rPr>
        <w:t xml:space="preserve"> </w:t>
      </w:r>
      <w:r w:rsidR="00A313C8">
        <w:rPr>
          <w:rFonts w:hint="cs"/>
          <w:rtl/>
        </w:rPr>
        <w:t>لمساندة الأنشطة الجارية لمنظمة الطيران المدني الدولي لتيسير اتصالات الطائرات في حالات الطوارئ</w:t>
      </w:r>
    </w:p>
    <w:p w:rsidR="00947A1C" w:rsidRPr="004E2CDC" w:rsidRDefault="00947A1C" w:rsidP="00947A1C">
      <w:pPr>
        <w:rPr>
          <w:rtl/>
        </w:rPr>
      </w:pPr>
      <w:r w:rsidRPr="009E10B0">
        <w:rPr>
          <w:rFonts w:hint="cs"/>
          <w:b/>
          <w:bCs/>
          <w:rtl/>
          <w:lang w:bidi="ar-EG"/>
        </w:rPr>
        <w:t>المصدر:</w:t>
      </w:r>
      <w:r w:rsidRPr="009E10B0">
        <w:rPr>
          <w:rFonts w:hint="cs"/>
          <w:rtl/>
          <w:lang w:bidi="ar-EG"/>
        </w:rPr>
        <w:tab/>
      </w:r>
      <w:r w:rsidRPr="008204AC">
        <w:rPr>
          <w:rtl/>
        </w:rPr>
        <w:t xml:space="preserve">الدول الأعضاء في لجنة البلدان الأمريكية للاتصالات </w:t>
      </w:r>
      <w:r>
        <w:t>(CITEL)</w:t>
      </w:r>
    </w:p>
    <w:p w:rsidR="00947A1C" w:rsidRPr="00A313C8" w:rsidRDefault="00947A1C" w:rsidP="00947A1C">
      <w:pPr>
        <w:rPr>
          <w:rtl/>
          <w:lang w:bidi="ar-EG"/>
        </w:rPr>
      </w:pPr>
      <w:r w:rsidRPr="009E10B0">
        <w:rPr>
          <w:rFonts w:hint="cs"/>
          <w:b/>
          <w:bCs/>
          <w:i/>
          <w:iCs/>
          <w:rtl/>
          <w:lang w:bidi="ar-EG"/>
        </w:rPr>
        <w:t>المقترح</w:t>
      </w:r>
      <w:r w:rsidRPr="009E10B0">
        <w:rPr>
          <w:rFonts w:hint="cs"/>
          <w:b/>
          <w:bCs/>
          <w:rtl/>
          <w:lang w:bidi="ar-EG"/>
        </w:rPr>
        <w:t xml:space="preserve">: </w:t>
      </w:r>
      <w:r w:rsidR="00A313C8">
        <w:rPr>
          <w:b/>
          <w:bCs/>
          <w:rtl/>
          <w:lang w:bidi="ar-EG"/>
        </w:rPr>
        <w:tab/>
      </w:r>
      <w:r w:rsidR="00A313C8">
        <w:rPr>
          <w:rFonts w:hint="cs"/>
          <w:rtl/>
          <w:lang w:bidi="ar-EG"/>
        </w:rPr>
        <w:t>تلبية الاحتياجات الناشئة للنظام العالمي للاستغاثة والسلامة في مجال الطيران</w:t>
      </w:r>
    </w:p>
    <w:p w:rsidR="00947A1C" w:rsidRDefault="00947A1C" w:rsidP="00947A1C">
      <w:pPr>
        <w:rPr>
          <w:rtl/>
          <w:lang w:bidi="ar-EG"/>
        </w:rPr>
      </w:pPr>
      <w:r w:rsidRPr="009E10B0">
        <w:rPr>
          <w:rFonts w:hint="cs"/>
          <w:b/>
          <w:bCs/>
          <w:i/>
          <w:iCs/>
          <w:rtl/>
          <w:lang w:bidi="ar-EG"/>
        </w:rPr>
        <w:t>معلومات أساسية/الأسباب</w:t>
      </w:r>
      <w:r w:rsidRPr="009E10B0">
        <w:rPr>
          <w:rFonts w:hint="cs"/>
          <w:b/>
          <w:bCs/>
          <w:rtl/>
          <w:lang w:bidi="ar-EG"/>
        </w:rPr>
        <w:t>:</w:t>
      </w:r>
    </w:p>
    <w:p w:rsidR="00947A1C" w:rsidRDefault="00CC00D6" w:rsidP="000E612A">
      <w:pPr>
        <w:rPr>
          <w:rtl/>
          <w:lang w:bidi="ar-EG"/>
        </w:rPr>
      </w:pPr>
      <w:r>
        <w:rPr>
          <w:rFonts w:hint="cs"/>
          <w:rtl/>
          <w:lang w:bidi="ar-EG"/>
        </w:rPr>
        <w:t>استحدثت</w:t>
      </w:r>
      <w:r w:rsidRPr="00CC00D6">
        <w:rPr>
          <w:rtl/>
          <w:lang w:bidi="ar-EG"/>
        </w:rPr>
        <w:t xml:space="preserve"> منظمة الطيران المدني الدولي </w:t>
      </w:r>
      <w:r>
        <w:rPr>
          <w:rFonts w:hint="cs"/>
          <w:rtl/>
          <w:lang w:bidi="ar-EG"/>
        </w:rPr>
        <w:t>مفهوماً</w:t>
      </w:r>
      <w:r w:rsidRPr="00CC00D6">
        <w:rPr>
          <w:rtl/>
          <w:lang w:bidi="ar-EG"/>
        </w:rPr>
        <w:t xml:space="preserve"> للعمليات الرامية إلى دعم التطوير المستقبلي لنظام عالمي للاستغاثة والسلامة في</w:t>
      </w:r>
      <w:r w:rsidR="000E612A">
        <w:rPr>
          <w:lang w:bidi="ar-EG"/>
        </w:rPr>
        <w:t> </w:t>
      </w:r>
      <w:r w:rsidRPr="00CC00D6">
        <w:rPr>
          <w:rtl/>
          <w:lang w:bidi="ar-EG"/>
        </w:rPr>
        <w:t xml:space="preserve">مجال الطيران. </w:t>
      </w:r>
      <w:r>
        <w:rPr>
          <w:rFonts w:hint="cs"/>
          <w:rtl/>
          <w:lang w:bidi="ar-EG"/>
        </w:rPr>
        <w:t>وأوصى</w:t>
      </w:r>
      <w:r w:rsidRPr="00CC00D6">
        <w:rPr>
          <w:rtl/>
          <w:lang w:bidi="ar-EG"/>
        </w:rPr>
        <w:t xml:space="preserve"> المؤتمر الثاني رفيع المستوى للسلامة </w:t>
      </w:r>
      <w:r>
        <w:rPr>
          <w:rFonts w:hint="cs"/>
          <w:rtl/>
          <w:lang w:bidi="ar-EG"/>
        </w:rPr>
        <w:t>التابع ل</w:t>
      </w:r>
      <w:r w:rsidRPr="00CC00D6">
        <w:rPr>
          <w:rtl/>
          <w:lang w:bidi="ar-EG"/>
        </w:rPr>
        <w:t xml:space="preserve">منظمة الطيران المدني الدولي بأن تنجز المنظمة على وجه السرعة وتستخدم النظام العالمي </w:t>
      </w:r>
      <w:r>
        <w:rPr>
          <w:rFonts w:hint="cs"/>
          <w:rtl/>
          <w:lang w:bidi="ar-EG"/>
        </w:rPr>
        <w:t>للاستغاثة والسلامة في مجال الطيران</w:t>
      </w:r>
      <w:r w:rsidRPr="00CC00D6">
        <w:rPr>
          <w:rtl/>
          <w:lang w:bidi="ar-EG"/>
        </w:rPr>
        <w:t xml:space="preserve"> من أجل تنفيذ التتبع العادي وغير</w:t>
      </w:r>
      <w:r w:rsidR="000E612A">
        <w:rPr>
          <w:rFonts w:hint="cs"/>
          <w:rtl/>
          <w:lang w:bidi="ar-EG"/>
        </w:rPr>
        <w:t> </w:t>
      </w:r>
      <w:r w:rsidRPr="00CC00D6">
        <w:rPr>
          <w:rtl/>
          <w:lang w:bidi="ar-EG"/>
        </w:rPr>
        <w:t>العادي للطائرات؛ والتتبُّع التلقائي للاستغاثة في</w:t>
      </w:r>
      <w:r w:rsidR="000E612A">
        <w:rPr>
          <w:lang w:bidi="ar-EG"/>
        </w:rPr>
        <w:t> </w:t>
      </w:r>
      <w:r w:rsidRPr="00CC00D6">
        <w:rPr>
          <w:rtl/>
          <w:lang w:bidi="ar-EG"/>
        </w:rPr>
        <w:t xml:space="preserve">رحلات الطائرات، وأنشطة البحث والإنقاذ؛ والاسترجاع الآلي للبيانات من مسجلات أصوات </w:t>
      </w:r>
      <w:r w:rsidR="00B67569">
        <w:rPr>
          <w:rFonts w:hint="cs"/>
          <w:rtl/>
          <w:lang w:bidi="ar-EG"/>
        </w:rPr>
        <w:t>قمرة القيادة</w:t>
      </w:r>
      <w:r w:rsidRPr="00CC00D6">
        <w:rPr>
          <w:rtl/>
          <w:lang w:bidi="ar-EG"/>
        </w:rPr>
        <w:t xml:space="preserve"> وبيانات رحلات الطائرات؛ والإجراءات ذات</w:t>
      </w:r>
      <w:r w:rsidR="000E612A">
        <w:rPr>
          <w:rFonts w:hint="cs"/>
          <w:rtl/>
          <w:lang w:bidi="ar-EG"/>
        </w:rPr>
        <w:t> </w:t>
      </w:r>
      <w:r w:rsidRPr="00CC00D6">
        <w:rPr>
          <w:rtl/>
          <w:lang w:bidi="ar-EG"/>
        </w:rPr>
        <w:t>الصلة بما</w:t>
      </w:r>
      <w:r w:rsidR="000E612A">
        <w:rPr>
          <w:rFonts w:hint="cs"/>
          <w:rtl/>
          <w:lang w:bidi="ar-EG"/>
        </w:rPr>
        <w:t> </w:t>
      </w:r>
      <w:r w:rsidRPr="00CC00D6">
        <w:rPr>
          <w:rtl/>
          <w:lang w:bidi="ar-EG"/>
        </w:rPr>
        <w:t xml:space="preserve">في ذلك إدارة مثل هذه المعلومات. </w:t>
      </w:r>
      <w:r>
        <w:rPr>
          <w:rFonts w:hint="cs"/>
          <w:rtl/>
          <w:lang w:bidi="ar-EG"/>
        </w:rPr>
        <w:t>وبالنظر إلى تعقيد القضايا فإن من المتعذر تناول المجموعة الكاملة للمتطلبات التنظيمية للنظام العالمي للاستغاثة والسلامة في مجال الطيران التابع لمنظمة الطيران المدني الدولي بصورة تامة خلال مؤتمر</w:t>
      </w:r>
      <w:r w:rsidR="000E612A">
        <w:rPr>
          <w:rFonts w:hint="eastAsia"/>
          <w:rtl/>
          <w:lang w:bidi="ar-EG"/>
        </w:rPr>
        <w:t> </w:t>
      </w:r>
      <w:r w:rsidRPr="00663E12">
        <w:rPr>
          <w:rFonts w:eastAsia="SimSun"/>
          <w:szCs w:val="24"/>
        </w:rPr>
        <w:t>WRC</w:t>
      </w:r>
      <w:r w:rsidR="000E612A">
        <w:rPr>
          <w:rFonts w:eastAsia="SimSun"/>
          <w:szCs w:val="24"/>
        </w:rPr>
        <w:noBreakHyphen/>
      </w:r>
      <w:r w:rsidRPr="00663E12">
        <w:rPr>
          <w:rFonts w:eastAsia="SimSun"/>
          <w:szCs w:val="24"/>
        </w:rPr>
        <w:t>15</w:t>
      </w:r>
      <w:r>
        <w:rPr>
          <w:rFonts w:eastAsia="SimSun" w:hint="cs"/>
          <w:szCs w:val="24"/>
          <w:rtl/>
        </w:rPr>
        <w:t>.</w:t>
      </w:r>
    </w:p>
    <w:p w:rsidR="00947A1C" w:rsidRDefault="00947A1C" w:rsidP="00947A1C">
      <w:pPr>
        <w:rPr>
          <w:rtl/>
          <w:lang w:bidi="ar-EG"/>
        </w:rPr>
      </w:pPr>
    </w:p>
    <w:p w:rsidR="00947A1C" w:rsidRPr="009E10B0" w:rsidRDefault="00947A1C" w:rsidP="00947A1C">
      <w:pPr>
        <w:rPr>
          <w:b/>
          <w:bCs/>
          <w:rtl/>
          <w:lang w:bidi="ar-EG"/>
        </w:rPr>
      </w:pPr>
      <w:r w:rsidRPr="009E10B0">
        <w:rPr>
          <w:rFonts w:hint="cs"/>
          <w:b/>
          <w:bCs/>
          <w:i/>
          <w:iCs/>
          <w:rtl/>
          <w:lang w:bidi="ar-EG"/>
        </w:rPr>
        <w:t>خدمات الاتصالات الراديوية المعنية</w:t>
      </w:r>
      <w:r w:rsidRPr="009E10B0">
        <w:rPr>
          <w:rFonts w:hint="cs"/>
          <w:b/>
          <w:bCs/>
          <w:rtl/>
          <w:lang w:bidi="ar-EG"/>
        </w:rPr>
        <w:t xml:space="preserve">: </w:t>
      </w:r>
      <w:r w:rsidRPr="009E10B0">
        <w:rPr>
          <w:rFonts w:hint="cs"/>
          <w:rtl/>
          <w:lang w:bidi="ar-EG"/>
        </w:rPr>
        <w:t xml:space="preserve">الخدمة </w:t>
      </w:r>
      <w:r>
        <w:rPr>
          <w:rFonts w:hint="cs"/>
          <w:rtl/>
          <w:lang w:bidi="ar-EG"/>
        </w:rPr>
        <w:t>الثابتة الساتلية والخدمة المتنقلة الساتلية والخدمة المتنقلة</w:t>
      </w:r>
    </w:p>
    <w:p w:rsidR="00947A1C" w:rsidRPr="009E10B0" w:rsidRDefault="00947A1C" w:rsidP="00947A1C">
      <w:pPr>
        <w:rPr>
          <w:rtl/>
        </w:rPr>
      </w:pPr>
      <w:r w:rsidRPr="009E10B0">
        <w:rPr>
          <w:rFonts w:hint="cs"/>
          <w:b/>
          <w:bCs/>
          <w:i/>
          <w:iCs/>
          <w:rtl/>
          <w:lang w:bidi="ar-EG"/>
        </w:rPr>
        <w:t>بيان الصعوبات المحتملة</w:t>
      </w:r>
      <w:r w:rsidRPr="009E10B0">
        <w:rPr>
          <w:rFonts w:hint="cs"/>
          <w:rtl/>
          <w:lang w:bidi="ar-EG"/>
        </w:rPr>
        <w:t xml:space="preserve">: </w:t>
      </w:r>
      <w:r w:rsidR="00CC00D6">
        <w:rPr>
          <w:rFonts w:hint="cs"/>
          <w:rtl/>
          <w:lang w:bidi="ar-EG"/>
        </w:rPr>
        <w:t>ليس هناك من صعوبات متوقعة</w:t>
      </w:r>
    </w:p>
    <w:p w:rsidR="00947A1C" w:rsidRPr="009E10B0" w:rsidRDefault="00947A1C" w:rsidP="00EE223E">
      <w:r w:rsidRPr="009E10B0">
        <w:rPr>
          <w:rFonts w:hint="cs"/>
          <w:b/>
          <w:bCs/>
          <w:i/>
          <w:iCs/>
          <w:rtl/>
          <w:lang w:bidi="ar-EG"/>
        </w:rPr>
        <w:t>الدراسات السابقة/الجارية بشأن المسألة</w:t>
      </w:r>
      <w:r w:rsidRPr="009E10B0">
        <w:rPr>
          <w:rFonts w:hint="cs"/>
          <w:rtl/>
          <w:lang w:bidi="ar-EG"/>
        </w:rPr>
        <w:t xml:space="preserve">: </w:t>
      </w:r>
      <w:r w:rsidR="00CC00D6">
        <w:rPr>
          <w:rFonts w:hint="cs"/>
          <w:rtl/>
          <w:lang w:bidi="ar-EG"/>
        </w:rPr>
        <w:t>ليس هناك من دراسات حتى هذا التاريخ</w:t>
      </w:r>
    </w:p>
    <w:tbl>
      <w:tblPr>
        <w:tblStyle w:val="TableGrid"/>
        <w:bidiVisual/>
        <w:tblW w:w="0" w:type="auto"/>
        <w:tblBorders>
          <w:left w:val="none" w:sz="0" w:space="0" w:color="auto"/>
          <w:right w:val="none" w:sz="0" w:space="0" w:color="auto"/>
        </w:tblBorders>
        <w:tblLook w:val="04A0" w:firstRow="1" w:lastRow="0" w:firstColumn="1" w:lastColumn="0" w:noHBand="0" w:noVBand="1"/>
      </w:tblPr>
      <w:tblGrid>
        <w:gridCol w:w="4786"/>
        <w:gridCol w:w="4787"/>
      </w:tblGrid>
      <w:tr w:rsidR="00947A1C" w:rsidRPr="009E10B0" w:rsidTr="00D510B0">
        <w:tc>
          <w:tcPr>
            <w:tcW w:w="4786" w:type="dxa"/>
          </w:tcPr>
          <w:p w:rsidR="00947A1C" w:rsidRPr="009E10B0" w:rsidRDefault="00947A1C" w:rsidP="00EE223E">
            <w:pPr>
              <w:rPr>
                <w:b/>
                <w:bCs/>
                <w:i/>
                <w:iCs/>
              </w:rPr>
            </w:pPr>
            <w:r w:rsidRPr="009E10B0">
              <w:rPr>
                <w:rFonts w:hint="cs"/>
                <w:b/>
                <w:bCs/>
                <w:i/>
                <w:iCs/>
                <w:rtl/>
                <w:lang w:bidi="ar-EG"/>
              </w:rPr>
              <w:t>الجهة التي ستقوم بالدراسات</w:t>
            </w:r>
            <w:r w:rsidRPr="009E10B0">
              <w:rPr>
                <w:rFonts w:hint="cs"/>
                <w:rtl/>
                <w:lang w:bidi="ar-EG"/>
              </w:rPr>
              <w:t>:</w:t>
            </w:r>
            <w:r w:rsidRPr="009E10B0">
              <w:rPr>
                <w:rFonts w:hint="cs"/>
                <w:b/>
                <w:bCs/>
                <w:i/>
                <w:iCs/>
                <w:rtl/>
                <w:lang w:bidi="ar-EG"/>
              </w:rPr>
              <w:t xml:space="preserve"> </w:t>
            </w:r>
            <w:r w:rsidR="00EE223E">
              <w:rPr>
                <w:rFonts w:hint="cs"/>
                <w:rtl/>
                <w:lang w:bidi="ar-EG"/>
              </w:rPr>
              <w:t>لجنة الدراسات </w:t>
            </w:r>
            <w:r w:rsidR="00EE223E">
              <w:rPr>
                <w:lang w:bidi="ar-EG"/>
              </w:rPr>
              <w:t>5</w:t>
            </w:r>
          </w:p>
        </w:tc>
        <w:tc>
          <w:tcPr>
            <w:tcW w:w="4787" w:type="dxa"/>
          </w:tcPr>
          <w:p w:rsidR="00947A1C" w:rsidRPr="009E10B0" w:rsidRDefault="00947A1C" w:rsidP="00EE223E">
            <w:pPr>
              <w:rPr>
                <w:b/>
                <w:bCs/>
                <w:lang w:bidi="ar-EG"/>
              </w:rPr>
            </w:pPr>
            <w:r w:rsidRPr="009E10B0">
              <w:rPr>
                <w:rFonts w:hint="cs"/>
                <w:b/>
                <w:bCs/>
                <w:i/>
                <w:iCs/>
                <w:rtl/>
                <w:lang w:bidi="ar-EG"/>
              </w:rPr>
              <w:t>بمشاركة</w:t>
            </w:r>
            <w:r w:rsidRPr="009E10B0">
              <w:rPr>
                <w:rFonts w:hint="cs"/>
                <w:b/>
                <w:bCs/>
                <w:rtl/>
                <w:lang w:bidi="ar-EG"/>
              </w:rPr>
              <w:t xml:space="preserve">: </w:t>
            </w:r>
            <w:r w:rsidR="00EE223E">
              <w:rPr>
                <w:rFonts w:hint="cs"/>
                <w:rtl/>
                <w:lang w:bidi="ar-EG"/>
              </w:rPr>
              <w:t>لجنة الدراسات </w:t>
            </w:r>
            <w:r w:rsidR="00EE223E">
              <w:rPr>
                <w:lang w:bidi="ar-EG"/>
              </w:rPr>
              <w:t>4</w:t>
            </w:r>
          </w:p>
        </w:tc>
      </w:tr>
      <w:tr w:rsidR="00947A1C" w:rsidRPr="009E10B0" w:rsidTr="00D510B0">
        <w:tc>
          <w:tcPr>
            <w:tcW w:w="9573" w:type="dxa"/>
            <w:gridSpan w:val="2"/>
          </w:tcPr>
          <w:p w:rsidR="00947A1C" w:rsidRPr="009E10B0" w:rsidRDefault="00947A1C" w:rsidP="00D510B0">
            <w:r w:rsidRPr="009E10B0">
              <w:rPr>
                <w:rFonts w:hint="cs"/>
                <w:b/>
                <w:bCs/>
                <w:i/>
                <w:iCs/>
                <w:rtl/>
                <w:lang w:bidi="ar-EG"/>
              </w:rPr>
              <w:t>لجان دراسات الاتصالات الراديوية المعنية:</w:t>
            </w:r>
            <w:r w:rsidRPr="009E10B0">
              <w:rPr>
                <w:rFonts w:hint="cs"/>
                <w:rtl/>
                <w:lang w:bidi="ar-EG"/>
              </w:rPr>
              <w:t xml:space="preserve"> لجنة الدراسات </w:t>
            </w:r>
            <w:r>
              <w:t>4</w:t>
            </w:r>
            <w:r w:rsidRPr="009E10B0">
              <w:rPr>
                <w:rFonts w:hint="cs"/>
                <w:rtl/>
              </w:rPr>
              <w:t xml:space="preserve"> ولجنة الدراسات </w:t>
            </w:r>
            <w:r>
              <w:t>5</w:t>
            </w:r>
          </w:p>
        </w:tc>
      </w:tr>
      <w:tr w:rsidR="00947A1C" w:rsidRPr="009E10B0" w:rsidTr="00D510B0">
        <w:tc>
          <w:tcPr>
            <w:tcW w:w="9573" w:type="dxa"/>
            <w:gridSpan w:val="2"/>
            <w:tcBorders>
              <w:bottom w:val="single" w:sz="4" w:space="0" w:color="auto"/>
            </w:tcBorders>
          </w:tcPr>
          <w:p w:rsidR="00947A1C" w:rsidRPr="00CC00D6" w:rsidRDefault="00947A1C" w:rsidP="000E612A">
            <w:pPr>
              <w:rPr>
                <w:rtl/>
              </w:rPr>
            </w:pPr>
            <w:r w:rsidRPr="00EE223E">
              <w:rPr>
                <w:rFonts w:hint="cs"/>
                <w:b/>
                <w:bCs/>
                <w:i/>
                <w:iCs/>
                <w:rtl/>
                <w:lang w:bidi="ar-EG"/>
              </w:rPr>
              <w:t>الآثار</w:t>
            </w:r>
            <w:r w:rsidRPr="00EE223E">
              <w:rPr>
                <w:b/>
                <w:bCs/>
                <w:i/>
                <w:iCs/>
                <w:rtl/>
                <w:lang w:bidi="ar-EG"/>
              </w:rPr>
              <w:t xml:space="preserve"> المترتبة على موارد الاتحاد الدولي للاتصالات بما في ذلك الآثار المالية (يرجى الرجوع إلى الرقم</w:t>
            </w:r>
            <w:r w:rsidRPr="00EE223E">
              <w:rPr>
                <w:rFonts w:hint="eastAsia"/>
                <w:b/>
                <w:bCs/>
                <w:i/>
                <w:iCs/>
                <w:rtl/>
                <w:lang w:bidi="ar-EG"/>
              </w:rPr>
              <w:t> </w:t>
            </w:r>
            <w:r w:rsidRPr="00EE223E">
              <w:rPr>
                <w:b/>
                <w:bCs/>
                <w:i/>
                <w:iCs/>
              </w:rPr>
              <w:t>126</w:t>
            </w:r>
            <w:r w:rsidRPr="00EE223E">
              <w:rPr>
                <w:b/>
                <w:bCs/>
                <w:i/>
                <w:iCs/>
                <w:rtl/>
                <w:lang w:bidi="ar-EG"/>
              </w:rPr>
              <w:t xml:space="preserve"> من</w:t>
            </w:r>
            <w:r w:rsidR="000E612A">
              <w:rPr>
                <w:rFonts w:hint="cs"/>
                <w:b/>
                <w:bCs/>
                <w:i/>
                <w:iCs/>
                <w:rtl/>
                <w:lang w:bidi="ar-EG"/>
              </w:rPr>
              <w:t> </w:t>
            </w:r>
            <w:r w:rsidRPr="00EE223E">
              <w:rPr>
                <w:b/>
                <w:bCs/>
                <w:i/>
                <w:iCs/>
                <w:rtl/>
                <w:lang w:bidi="ar-EG"/>
              </w:rPr>
              <w:t>الاتفاقية)</w:t>
            </w:r>
            <w:r w:rsidRPr="00EE223E">
              <w:rPr>
                <w:b/>
                <w:bCs/>
                <w:rtl/>
                <w:lang w:bidi="ar-EG"/>
              </w:rPr>
              <w:t>:</w:t>
            </w:r>
            <w:r w:rsidRPr="009E10B0">
              <w:rPr>
                <w:rFonts w:hint="cs"/>
                <w:b/>
                <w:bCs/>
                <w:rtl/>
                <w:lang w:bidi="ar-EG"/>
              </w:rPr>
              <w:t xml:space="preserve"> </w:t>
            </w:r>
            <w:r w:rsidR="00CC00D6">
              <w:rPr>
                <w:rFonts w:hint="cs"/>
                <w:rtl/>
                <w:lang w:bidi="ar-EG"/>
              </w:rPr>
              <w:t>ضئيلة</w:t>
            </w:r>
          </w:p>
        </w:tc>
      </w:tr>
      <w:tr w:rsidR="00947A1C" w:rsidRPr="009E10B0" w:rsidTr="00D510B0">
        <w:tc>
          <w:tcPr>
            <w:tcW w:w="4786" w:type="dxa"/>
            <w:tcBorders>
              <w:right w:val="nil"/>
            </w:tcBorders>
          </w:tcPr>
          <w:p w:rsidR="00947A1C" w:rsidRPr="009E10B0" w:rsidRDefault="00947A1C" w:rsidP="00D510B0">
            <w:pPr>
              <w:rPr>
                <w:rtl/>
                <w:lang w:bidi="ar-EG"/>
              </w:rPr>
            </w:pPr>
            <w:r w:rsidRPr="009E10B0">
              <w:rPr>
                <w:rFonts w:hint="cs"/>
                <w:b/>
                <w:bCs/>
                <w:i/>
                <w:iCs/>
                <w:rtl/>
                <w:lang w:bidi="ar-EG"/>
              </w:rPr>
              <w:t>مقترح إقليمي مشترك</w:t>
            </w:r>
            <w:r w:rsidRPr="009E10B0">
              <w:rPr>
                <w:rFonts w:hint="cs"/>
                <w:rtl/>
                <w:lang w:bidi="ar-EG"/>
              </w:rPr>
              <w:t>: نعم</w:t>
            </w:r>
            <w:r>
              <w:rPr>
                <w:rFonts w:hint="cs"/>
                <w:rtl/>
                <w:lang w:bidi="ar-EG"/>
              </w:rPr>
              <w:t>/لا</w:t>
            </w:r>
          </w:p>
        </w:tc>
        <w:tc>
          <w:tcPr>
            <w:tcW w:w="4787" w:type="dxa"/>
            <w:tcBorders>
              <w:left w:val="nil"/>
            </w:tcBorders>
          </w:tcPr>
          <w:p w:rsidR="00947A1C" w:rsidRPr="009E10B0" w:rsidRDefault="00947A1C" w:rsidP="00D510B0">
            <w:pPr>
              <w:rPr>
                <w:rtl/>
              </w:rPr>
            </w:pPr>
            <w:r w:rsidRPr="009E10B0">
              <w:rPr>
                <w:rFonts w:hint="cs"/>
                <w:b/>
                <w:bCs/>
                <w:i/>
                <w:iCs/>
                <w:rtl/>
                <w:lang w:bidi="ar-EG"/>
              </w:rPr>
              <w:t>مقترح من بلدان متعددة</w:t>
            </w:r>
            <w:r w:rsidRPr="009E10B0">
              <w:rPr>
                <w:rFonts w:hint="cs"/>
                <w:rtl/>
                <w:lang w:bidi="ar-EG"/>
              </w:rPr>
              <w:t xml:space="preserve">: </w:t>
            </w:r>
            <w:r>
              <w:rPr>
                <w:rFonts w:hint="cs"/>
                <w:rtl/>
              </w:rPr>
              <w:t>نعم/لا</w:t>
            </w:r>
          </w:p>
          <w:p w:rsidR="00947A1C" w:rsidRPr="009E10B0" w:rsidRDefault="00947A1C" w:rsidP="00D510B0">
            <w:pPr>
              <w:rPr>
                <w:rtl/>
              </w:rPr>
            </w:pPr>
            <w:r w:rsidRPr="009E10B0">
              <w:rPr>
                <w:rFonts w:hint="cs"/>
                <w:b/>
                <w:bCs/>
                <w:i/>
                <w:iCs/>
                <w:rtl/>
              </w:rPr>
              <w:t>عدد البلدان</w:t>
            </w:r>
            <w:r w:rsidRPr="009E10B0">
              <w:rPr>
                <w:rFonts w:hint="cs"/>
                <w:rtl/>
              </w:rPr>
              <w:t xml:space="preserve">: </w:t>
            </w:r>
          </w:p>
        </w:tc>
      </w:tr>
    </w:tbl>
    <w:p w:rsidR="00947A1C" w:rsidRDefault="00947A1C" w:rsidP="00947A1C">
      <w:pPr>
        <w:rPr>
          <w:b/>
          <w:bCs/>
          <w:i/>
          <w:iCs/>
          <w:rtl/>
        </w:rPr>
      </w:pPr>
      <w:r w:rsidRPr="009E10B0">
        <w:rPr>
          <w:rFonts w:hint="cs"/>
          <w:b/>
          <w:bCs/>
          <w:i/>
          <w:iCs/>
          <w:rtl/>
          <w:lang w:bidi="ar-EG"/>
        </w:rPr>
        <w:t>ملاحظات</w:t>
      </w:r>
    </w:p>
    <w:p w:rsidR="00EE223E" w:rsidRDefault="00EE223E" w:rsidP="00947A1C">
      <w:pPr>
        <w:rPr>
          <w:b/>
          <w:bCs/>
          <w:i/>
          <w:iCs/>
          <w:rtl/>
        </w:rPr>
      </w:pPr>
    </w:p>
    <w:p w:rsidR="00EE223E" w:rsidRDefault="00EE223E" w:rsidP="00947A1C">
      <w:pPr>
        <w:rPr>
          <w:b/>
          <w:bCs/>
          <w:i/>
          <w:iCs/>
          <w:rtl/>
        </w:rPr>
      </w:pPr>
    </w:p>
    <w:p w:rsidR="00EE223E" w:rsidRPr="009E10B0" w:rsidRDefault="00EE223E" w:rsidP="00EE223E">
      <w:pPr>
        <w:spacing w:before="600"/>
        <w:jc w:val="center"/>
      </w:pPr>
      <w:r>
        <w:rPr>
          <w:rFonts w:hint="cs"/>
          <w:rtl/>
        </w:rPr>
        <w:t>___________</w:t>
      </w:r>
    </w:p>
    <w:sectPr w:rsidR="00EE223E" w:rsidRPr="009E10B0">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7E2E20" w:rsidRDefault="00281F5F" w:rsidP="007E2E20">
    <w:pPr>
      <w:pStyle w:val="Footer"/>
      <w:tabs>
        <w:tab w:val="clear" w:pos="5812"/>
        <w:tab w:val="left" w:pos="6379"/>
      </w:tabs>
    </w:pPr>
    <w:r w:rsidRPr="00CB4300">
      <w:fldChar w:fldCharType="begin"/>
    </w:r>
    <w:r w:rsidRPr="007E2E20">
      <w:instrText xml:space="preserve"> FILENAME \p \* MERGEFORMAT </w:instrText>
    </w:r>
    <w:r w:rsidRPr="00CB4300">
      <w:fldChar w:fldCharType="separate"/>
    </w:r>
    <w:r w:rsidR="00973A60">
      <w:rPr>
        <w:noProof/>
      </w:rPr>
      <w:t>P:\ARA\ITU-R\CONF-R\CMR15\000\007ADD24ADD03A.docx</w:t>
    </w:r>
    <w:r w:rsidRPr="00CB4300">
      <w:fldChar w:fldCharType="end"/>
    </w:r>
    <w:r w:rsidRPr="007E2E20">
      <w:t xml:space="preserve">  (</w:t>
    </w:r>
    <w:r w:rsidR="007E2E20">
      <w:rPr>
        <w:rFonts w:hint="cs"/>
        <w:rtl/>
        <w:lang w:val="es-ES"/>
      </w:rPr>
      <w:t>387564</w:t>
    </w:r>
    <w:r w:rsidRPr="007E2E20">
      <w:t>)</w:t>
    </w:r>
    <w:r w:rsidRPr="007E2E20">
      <w:tab/>
    </w:r>
    <w:r w:rsidRPr="00CB4300">
      <w:fldChar w:fldCharType="begin"/>
    </w:r>
    <w:r w:rsidRPr="00CB4300">
      <w:instrText xml:space="preserve"> savedate \@ dd.MM.yy </w:instrText>
    </w:r>
    <w:r w:rsidRPr="00CB4300">
      <w:fldChar w:fldCharType="separate"/>
    </w:r>
    <w:r w:rsidR="00C03C9F">
      <w:rPr>
        <w:noProof/>
      </w:rPr>
      <w:t>23.10.15</w:t>
    </w:r>
    <w:r w:rsidRPr="00CB4300">
      <w:fldChar w:fldCharType="end"/>
    </w:r>
    <w:r w:rsidRPr="007E2E20">
      <w:tab/>
    </w:r>
    <w:r w:rsidRPr="00CB4300">
      <w:fldChar w:fldCharType="begin"/>
    </w:r>
    <w:r w:rsidRPr="00CB4300">
      <w:instrText xml:space="preserve"> printdate \@ dd.MM.yy </w:instrText>
    </w:r>
    <w:r w:rsidRPr="00CB4300">
      <w:fldChar w:fldCharType="separate"/>
    </w:r>
    <w:r w:rsidR="00973A60">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7E2E20" w:rsidRDefault="00281F5F" w:rsidP="007E2E20">
    <w:pPr>
      <w:pStyle w:val="Footer"/>
      <w:tabs>
        <w:tab w:val="clear" w:pos="5812"/>
        <w:tab w:val="left" w:pos="6379"/>
      </w:tabs>
    </w:pPr>
    <w:r>
      <w:fldChar w:fldCharType="begin"/>
    </w:r>
    <w:r w:rsidRPr="007E2E20">
      <w:instrText xml:space="preserve"> FILENAME \p \* MERGEFORMAT </w:instrText>
    </w:r>
    <w:r>
      <w:fldChar w:fldCharType="separate"/>
    </w:r>
    <w:r w:rsidR="007E2E20" w:rsidRPr="007E2E20">
      <w:rPr>
        <w:noProof/>
      </w:rPr>
      <w:t>P:\TRAD\A\ITU-R\CONF-R\CMR15\000\007ADD24ADD03A.docx</w:t>
    </w:r>
    <w:r>
      <w:fldChar w:fldCharType="end"/>
    </w:r>
    <w:r w:rsidRPr="007E2E20">
      <w:t xml:space="preserve">   (</w:t>
    </w:r>
    <w:r w:rsidR="007E2E20">
      <w:rPr>
        <w:rFonts w:hint="cs"/>
        <w:rtl/>
        <w:lang w:val="es-ES"/>
      </w:rPr>
      <w:t>387564</w:t>
    </w:r>
    <w:r w:rsidRPr="007E2E20">
      <w:t>)</w:t>
    </w:r>
    <w:r w:rsidRPr="007E2E20">
      <w:tab/>
    </w:r>
    <w:r w:rsidRPr="00B12661">
      <w:fldChar w:fldCharType="begin"/>
    </w:r>
    <w:r w:rsidRPr="00B12661">
      <w:instrText xml:space="preserve"> savedate \@ dd.MM.yy </w:instrText>
    </w:r>
    <w:r w:rsidRPr="00B12661">
      <w:fldChar w:fldCharType="separate"/>
    </w:r>
    <w:r w:rsidR="00C03C9F">
      <w:rPr>
        <w:noProof/>
      </w:rPr>
      <w:t>23.10.15</w:t>
    </w:r>
    <w:r w:rsidRPr="00B12661">
      <w:fldChar w:fldCharType="end"/>
    </w:r>
    <w:r w:rsidRPr="007E2E20">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C03C9F">
      <w:rPr>
        <w:rStyle w:val="PageNumber"/>
        <w:noProof/>
      </w:rPr>
      <w:t>4</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7(Add.24)(Add.3)-</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232F6"/>
    <w:rsid w:val="00040C94"/>
    <w:rsid w:val="000425FC"/>
    <w:rsid w:val="00044D43"/>
    <w:rsid w:val="00051907"/>
    <w:rsid w:val="00075A3F"/>
    <w:rsid w:val="000A1B16"/>
    <w:rsid w:val="000B5404"/>
    <w:rsid w:val="000D1708"/>
    <w:rsid w:val="000E2AFC"/>
    <w:rsid w:val="000E612A"/>
    <w:rsid w:val="000E6D30"/>
    <w:rsid w:val="000F05F5"/>
    <w:rsid w:val="000F28EA"/>
    <w:rsid w:val="000F518F"/>
    <w:rsid w:val="0010081C"/>
    <w:rsid w:val="001013E3"/>
    <w:rsid w:val="0010363F"/>
    <w:rsid w:val="001464F2"/>
    <w:rsid w:val="001629EC"/>
    <w:rsid w:val="00167364"/>
    <w:rsid w:val="001903B2"/>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D7446"/>
    <w:rsid w:val="003E02EF"/>
    <w:rsid w:val="003E1608"/>
    <w:rsid w:val="003E1D90"/>
    <w:rsid w:val="00400CD4"/>
    <w:rsid w:val="004147B9"/>
    <w:rsid w:val="00422C04"/>
    <w:rsid w:val="00426144"/>
    <w:rsid w:val="00444904"/>
    <w:rsid w:val="00445AED"/>
    <w:rsid w:val="00461FA7"/>
    <w:rsid w:val="00470CBD"/>
    <w:rsid w:val="0047407D"/>
    <w:rsid w:val="004909DD"/>
    <w:rsid w:val="004A05E6"/>
    <w:rsid w:val="004A6C66"/>
    <w:rsid w:val="004A7AA0"/>
    <w:rsid w:val="004B01D3"/>
    <w:rsid w:val="004C11BC"/>
    <w:rsid w:val="004D4AE6"/>
    <w:rsid w:val="004E34FA"/>
    <w:rsid w:val="00505FCA"/>
    <w:rsid w:val="00510C2D"/>
    <w:rsid w:val="00510F13"/>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1BC3"/>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032C"/>
    <w:rsid w:val="00731150"/>
    <w:rsid w:val="00736DCC"/>
    <w:rsid w:val="00741855"/>
    <w:rsid w:val="00742B73"/>
    <w:rsid w:val="007457D6"/>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2E20"/>
    <w:rsid w:val="007F08CA"/>
    <w:rsid w:val="007F7FC3"/>
    <w:rsid w:val="008062B4"/>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1A63"/>
    <w:rsid w:val="008F4626"/>
    <w:rsid w:val="009004DF"/>
    <w:rsid w:val="00904AA5"/>
    <w:rsid w:val="00905D21"/>
    <w:rsid w:val="00947A1C"/>
    <w:rsid w:val="00951718"/>
    <w:rsid w:val="00954CCB"/>
    <w:rsid w:val="00955190"/>
    <w:rsid w:val="00960962"/>
    <w:rsid w:val="00972CE0"/>
    <w:rsid w:val="00973A60"/>
    <w:rsid w:val="009A3D30"/>
    <w:rsid w:val="009A654E"/>
    <w:rsid w:val="009B0BD8"/>
    <w:rsid w:val="009D6348"/>
    <w:rsid w:val="009E613F"/>
    <w:rsid w:val="009F042B"/>
    <w:rsid w:val="009F7BA0"/>
    <w:rsid w:val="00A03FD6"/>
    <w:rsid w:val="00A116A8"/>
    <w:rsid w:val="00A22AE9"/>
    <w:rsid w:val="00A26758"/>
    <w:rsid w:val="00A26D0E"/>
    <w:rsid w:val="00A278E9"/>
    <w:rsid w:val="00A313C8"/>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67569"/>
    <w:rsid w:val="00B71E3B"/>
    <w:rsid w:val="00B721D5"/>
    <w:rsid w:val="00B81CB5"/>
    <w:rsid w:val="00B8351F"/>
    <w:rsid w:val="00B86C44"/>
    <w:rsid w:val="00B905F4"/>
    <w:rsid w:val="00B9727C"/>
    <w:rsid w:val="00BA610A"/>
    <w:rsid w:val="00BA7D44"/>
    <w:rsid w:val="00BD6EF3"/>
    <w:rsid w:val="00BE69C3"/>
    <w:rsid w:val="00C03C9F"/>
    <w:rsid w:val="00C06111"/>
    <w:rsid w:val="00C1165E"/>
    <w:rsid w:val="00C22074"/>
    <w:rsid w:val="00C2377B"/>
    <w:rsid w:val="00C3693C"/>
    <w:rsid w:val="00C53F6F"/>
    <w:rsid w:val="00C5489D"/>
    <w:rsid w:val="00C71759"/>
    <w:rsid w:val="00C7617E"/>
    <w:rsid w:val="00C8199C"/>
    <w:rsid w:val="00C84112"/>
    <w:rsid w:val="00C841EB"/>
    <w:rsid w:val="00C8665F"/>
    <w:rsid w:val="00C917B5"/>
    <w:rsid w:val="00C94DFA"/>
    <w:rsid w:val="00CA298C"/>
    <w:rsid w:val="00CB2BF9"/>
    <w:rsid w:val="00CB4300"/>
    <w:rsid w:val="00CB454E"/>
    <w:rsid w:val="00CC00D6"/>
    <w:rsid w:val="00CC030E"/>
    <w:rsid w:val="00CC5554"/>
    <w:rsid w:val="00CC57D0"/>
    <w:rsid w:val="00CC68C4"/>
    <w:rsid w:val="00CC79A4"/>
    <w:rsid w:val="00CD0FDE"/>
    <w:rsid w:val="00CE0E68"/>
    <w:rsid w:val="00CE5BA4"/>
    <w:rsid w:val="00D25120"/>
    <w:rsid w:val="00D35B2F"/>
    <w:rsid w:val="00D40062"/>
    <w:rsid w:val="00D419CB"/>
    <w:rsid w:val="00D44350"/>
    <w:rsid w:val="00D44E3F"/>
    <w:rsid w:val="00D525F5"/>
    <w:rsid w:val="00D535D0"/>
    <w:rsid w:val="00D62C78"/>
    <w:rsid w:val="00D81703"/>
    <w:rsid w:val="00D82929"/>
    <w:rsid w:val="00D84214"/>
    <w:rsid w:val="00D943E5"/>
    <w:rsid w:val="00DA1AE0"/>
    <w:rsid w:val="00DC29DD"/>
    <w:rsid w:val="00DC7C0E"/>
    <w:rsid w:val="00DE2CEC"/>
    <w:rsid w:val="00DF2A6A"/>
    <w:rsid w:val="00DF3B72"/>
    <w:rsid w:val="00E10821"/>
    <w:rsid w:val="00E165ED"/>
    <w:rsid w:val="00E2489D"/>
    <w:rsid w:val="00E25C06"/>
    <w:rsid w:val="00E26520"/>
    <w:rsid w:val="00E343A3"/>
    <w:rsid w:val="00E46B96"/>
    <w:rsid w:val="00E51BFA"/>
    <w:rsid w:val="00E60DB4"/>
    <w:rsid w:val="00E621A3"/>
    <w:rsid w:val="00E77D29"/>
    <w:rsid w:val="00E833BC"/>
    <w:rsid w:val="00E8580E"/>
    <w:rsid w:val="00E9137E"/>
    <w:rsid w:val="00EA1B76"/>
    <w:rsid w:val="00EA77D7"/>
    <w:rsid w:val="00EC09B9"/>
    <w:rsid w:val="00ED048C"/>
    <w:rsid w:val="00ED4B29"/>
    <w:rsid w:val="00ED635A"/>
    <w:rsid w:val="00ED681F"/>
    <w:rsid w:val="00ED71A8"/>
    <w:rsid w:val="00EE223E"/>
    <w:rsid w:val="00EF38AF"/>
    <w:rsid w:val="00F055F8"/>
    <w:rsid w:val="00F10CB4"/>
    <w:rsid w:val="00F11B3D"/>
    <w:rsid w:val="00F14763"/>
    <w:rsid w:val="00F16212"/>
    <w:rsid w:val="00F16602"/>
    <w:rsid w:val="00F25B80"/>
    <w:rsid w:val="00F2685F"/>
    <w:rsid w:val="00F350C8"/>
    <w:rsid w:val="00F73E7E"/>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3BD6DE4-EEED-4CC2-B1E5-8292B027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uiPriority w:val="99"/>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R15-WRC15-C-0007!A24-A3!MSW-A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7815E3-EDD4-47CF-956D-EB3962DB04FF}">
  <ds:schemaRefs>
    <ds:schemaRef ds:uri="http://purl.org/dc/terms/"/>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7D1D9527-324C-49A5-8861-9D64379C7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1108</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R15-WRC15-C-0007!A24-A3!MSW-A</vt:lpstr>
    </vt:vector>
  </TitlesOfParts>
  <Manager>General Secretariat - Pool</Manager>
  <Company>International Telecommunication Union (ITU)</Company>
  <LinksUpToDate>false</LinksUpToDate>
  <CharactersWithSpaces>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R15-WRC15-C-0007!A24-A3!MSW-A</dc:title>
  <dc:creator>Documents Proposals Manager (DPM)</dc:creator>
  <cp:keywords>DPM_v5.2015.9.16_prod</cp:keywords>
  <cp:lastModifiedBy>Eltawabti, Ibrahim</cp:lastModifiedBy>
  <cp:revision>6</cp:revision>
  <cp:lastPrinted>2011-11-07T13:53:00Z</cp:lastPrinted>
  <dcterms:created xsi:type="dcterms:W3CDTF">2015-10-23T15:29:00Z</dcterms:created>
  <dcterms:modified xsi:type="dcterms:W3CDTF">2015-10-28T17:27:00Z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