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CF3204" w:rsidTr="0050008E">
        <w:trPr>
          <w:cantSplit/>
        </w:trPr>
        <w:tc>
          <w:tcPr>
            <w:tcW w:w="6911" w:type="dxa"/>
          </w:tcPr>
          <w:p w:rsidR="00BB1D82" w:rsidRPr="00CF3204" w:rsidRDefault="00851625" w:rsidP="00D36807">
            <w:pPr>
              <w:spacing w:before="400" w:after="48"/>
              <w:rPr>
                <w:rFonts w:ascii="Verdana" w:hAnsi="Verdana"/>
                <w:b/>
                <w:bCs/>
                <w:sz w:val="20"/>
                <w:lang w:val="fr-CH"/>
              </w:rPr>
            </w:pPr>
            <w:r w:rsidRPr="00CF3204">
              <w:rPr>
                <w:rFonts w:ascii="Verdana" w:hAnsi="Verdana"/>
                <w:b/>
                <w:bCs/>
                <w:sz w:val="20"/>
                <w:lang w:val="fr-CH"/>
              </w:rPr>
              <w:t>Conférence mondiale des radiocommunications (CMR-15)</w:t>
            </w:r>
            <w:r w:rsidRPr="00CF3204">
              <w:rPr>
                <w:rFonts w:ascii="Verdana" w:hAnsi="Verdana"/>
                <w:b/>
                <w:bCs/>
                <w:sz w:val="20"/>
                <w:lang w:val="fr-CH"/>
              </w:rPr>
              <w:br/>
            </w:r>
            <w:r w:rsidRPr="00CF3204">
              <w:rPr>
                <w:rFonts w:ascii="Verdana" w:hAnsi="Verdana"/>
                <w:b/>
                <w:bCs/>
                <w:sz w:val="18"/>
                <w:szCs w:val="18"/>
                <w:lang w:val="fr-CH"/>
              </w:rPr>
              <w:t>Genève,</w:t>
            </w:r>
            <w:r w:rsidR="00E537FF" w:rsidRPr="00CF3204">
              <w:rPr>
                <w:rFonts w:ascii="Verdana" w:hAnsi="Verdana"/>
                <w:b/>
                <w:bCs/>
                <w:sz w:val="18"/>
                <w:szCs w:val="18"/>
                <w:lang w:val="fr-CH"/>
              </w:rPr>
              <w:t xml:space="preserve"> </w:t>
            </w:r>
            <w:r w:rsidRPr="00CF3204">
              <w:rPr>
                <w:rFonts w:ascii="Verdana" w:hAnsi="Verdana"/>
                <w:b/>
                <w:bCs/>
                <w:sz w:val="18"/>
                <w:szCs w:val="18"/>
                <w:lang w:val="fr-CH"/>
              </w:rPr>
              <w:t>2-27 novembre 2015</w:t>
            </w:r>
          </w:p>
        </w:tc>
        <w:tc>
          <w:tcPr>
            <w:tcW w:w="3120" w:type="dxa"/>
          </w:tcPr>
          <w:p w:rsidR="00BB1D82" w:rsidRPr="00CF3204" w:rsidRDefault="002C28A4" w:rsidP="00D36807">
            <w:pPr>
              <w:spacing w:before="0"/>
              <w:jc w:val="right"/>
              <w:rPr>
                <w:lang w:val="fr-CH"/>
              </w:rPr>
            </w:pPr>
            <w:bookmarkStart w:id="0" w:name="ditulogo"/>
            <w:bookmarkEnd w:id="0"/>
            <w:r w:rsidRPr="00CF3204">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CF3204" w:rsidTr="0050008E">
        <w:trPr>
          <w:cantSplit/>
        </w:trPr>
        <w:tc>
          <w:tcPr>
            <w:tcW w:w="6911" w:type="dxa"/>
            <w:tcBorders>
              <w:bottom w:val="single" w:sz="12" w:space="0" w:color="auto"/>
            </w:tcBorders>
          </w:tcPr>
          <w:p w:rsidR="00BB1D82" w:rsidRPr="00CF3204" w:rsidRDefault="002C28A4" w:rsidP="00D36807">
            <w:pPr>
              <w:spacing w:before="0" w:after="48"/>
              <w:rPr>
                <w:b/>
                <w:smallCaps/>
                <w:szCs w:val="24"/>
                <w:lang w:val="fr-CH"/>
              </w:rPr>
            </w:pPr>
            <w:bookmarkStart w:id="1" w:name="dhead"/>
            <w:r w:rsidRPr="00CF3204">
              <w:rPr>
                <w:rFonts w:ascii="Verdana" w:hAnsi="Verdana"/>
                <w:b/>
                <w:bCs/>
                <w:sz w:val="20"/>
                <w:lang w:val="fr-CH"/>
              </w:rPr>
              <w:t>UNION INTERNATIONALE DES TÉLÉCOMMUNICATIONS</w:t>
            </w:r>
          </w:p>
        </w:tc>
        <w:tc>
          <w:tcPr>
            <w:tcW w:w="3120" w:type="dxa"/>
            <w:tcBorders>
              <w:bottom w:val="single" w:sz="12" w:space="0" w:color="auto"/>
            </w:tcBorders>
          </w:tcPr>
          <w:p w:rsidR="00BB1D82" w:rsidRPr="00CF3204" w:rsidRDefault="00BB1D82" w:rsidP="00D36807">
            <w:pPr>
              <w:spacing w:before="0"/>
              <w:rPr>
                <w:rFonts w:ascii="Verdana" w:hAnsi="Verdana"/>
                <w:szCs w:val="24"/>
                <w:lang w:val="fr-CH"/>
              </w:rPr>
            </w:pPr>
          </w:p>
        </w:tc>
      </w:tr>
      <w:tr w:rsidR="00BB1D82" w:rsidRPr="00CF3204" w:rsidTr="00BB1D82">
        <w:trPr>
          <w:cantSplit/>
        </w:trPr>
        <w:tc>
          <w:tcPr>
            <w:tcW w:w="6911" w:type="dxa"/>
            <w:tcBorders>
              <w:top w:val="single" w:sz="12" w:space="0" w:color="auto"/>
            </w:tcBorders>
          </w:tcPr>
          <w:p w:rsidR="00BB1D82" w:rsidRPr="00CF3204" w:rsidRDefault="00BB1D82" w:rsidP="00D36807">
            <w:pPr>
              <w:spacing w:before="0" w:after="48"/>
              <w:rPr>
                <w:rFonts w:ascii="Verdana" w:hAnsi="Verdana"/>
                <w:b/>
                <w:smallCaps/>
                <w:sz w:val="20"/>
                <w:lang w:val="fr-CH"/>
              </w:rPr>
            </w:pPr>
          </w:p>
        </w:tc>
        <w:tc>
          <w:tcPr>
            <w:tcW w:w="3120" w:type="dxa"/>
            <w:tcBorders>
              <w:top w:val="single" w:sz="12" w:space="0" w:color="auto"/>
            </w:tcBorders>
          </w:tcPr>
          <w:p w:rsidR="00BB1D82" w:rsidRPr="00CF3204" w:rsidRDefault="00BB1D82" w:rsidP="00D36807">
            <w:pPr>
              <w:spacing w:before="0"/>
              <w:rPr>
                <w:rFonts w:ascii="Verdana" w:hAnsi="Verdana"/>
                <w:sz w:val="20"/>
                <w:lang w:val="fr-CH"/>
              </w:rPr>
            </w:pPr>
          </w:p>
        </w:tc>
      </w:tr>
      <w:tr w:rsidR="00BB1D82" w:rsidRPr="00CF3204" w:rsidTr="00BB1D82">
        <w:trPr>
          <w:cantSplit/>
        </w:trPr>
        <w:tc>
          <w:tcPr>
            <w:tcW w:w="6911" w:type="dxa"/>
            <w:shd w:val="clear" w:color="auto" w:fill="auto"/>
          </w:tcPr>
          <w:p w:rsidR="00BB1D82" w:rsidRPr="00CF3204" w:rsidRDefault="006D4724" w:rsidP="00D36807">
            <w:pPr>
              <w:spacing w:before="0"/>
              <w:rPr>
                <w:rFonts w:ascii="Verdana" w:hAnsi="Verdana"/>
                <w:b/>
                <w:sz w:val="20"/>
                <w:lang w:val="fr-CH"/>
              </w:rPr>
            </w:pPr>
            <w:r w:rsidRPr="00CF3204">
              <w:rPr>
                <w:rFonts w:ascii="Verdana" w:hAnsi="Verdana"/>
                <w:b/>
                <w:sz w:val="20"/>
                <w:lang w:val="fr-CH"/>
              </w:rPr>
              <w:t>SÉANCE PLÉNIÈRE</w:t>
            </w:r>
          </w:p>
        </w:tc>
        <w:tc>
          <w:tcPr>
            <w:tcW w:w="3120" w:type="dxa"/>
            <w:shd w:val="clear" w:color="auto" w:fill="auto"/>
          </w:tcPr>
          <w:p w:rsidR="00BB1D82" w:rsidRPr="00CF3204" w:rsidRDefault="006D4724" w:rsidP="00D36807">
            <w:pPr>
              <w:spacing w:before="0"/>
              <w:rPr>
                <w:rFonts w:ascii="Verdana" w:hAnsi="Verdana"/>
                <w:sz w:val="20"/>
                <w:lang w:val="fr-CH"/>
              </w:rPr>
            </w:pPr>
            <w:r w:rsidRPr="00CF3204">
              <w:rPr>
                <w:rFonts w:ascii="Verdana" w:eastAsia="SimSun" w:hAnsi="Verdana" w:cs="Traditional Arabic"/>
                <w:b/>
                <w:sz w:val="20"/>
                <w:lang w:val="fr-CH"/>
              </w:rPr>
              <w:t>Addendum 1 au</w:t>
            </w:r>
            <w:r w:rsidRPr="00CF3204">
              <w:rPr>
                <w:rFonts w:ascii="Verdana" w:eastAsia="SimSun" w:hAnsi="Verdana" w:cs="Traditional Arabic"/>
                <w:b/>
                <w:sz w:val="20"/>
                <w:lang w:val="fr-CH"/>
              </w:rPr>
              <w:br/>
              <w:t>Document 7(Add.24)</w:t>
            </w:r>
            <w:r w:rsidR="00BB1D82" w:rsidRPr="00CF3204">
              <w:rPr>
                <w:rFonts w:ascii="Verdana" w:hAnsi="Verdana"/>
                <w:b/>
                <w:sz w:val="20"/>
                <w:lang w:val="fr-CH"/>
              </w:rPr>
              <w:t>-</w:t>
            </w:r>
            <w:r w:rsidRPr="00CF3204">
              <w:rPr>
                <w:rFonts w:ascii="Verdana" w:hAnsi="Verdana"/>
                <w:b/>
                <w:sz w:val="20"/>
                <w:lang w:val="fr-CH"/>
              </w:rPr>
              <w:t>F</w:t>
            </w:r>
          </w:p>
        </w:tc>
      </w:tr>
      <w:bookmarkEnd w:id="1"/>
      <w:tr w:rsidR="00690C7B" w:rsidRPr="00CF3204" w:rsidTr="00BB1D82">
        <w:trPr>
          <w:cantSplit/>
        </w:trPr>
        <w:tc>
          <w:tcPr>
            <w:tcW w:w="6911" w:type="dxa"/>
            <w:shd w:val="clear" w:color="auto" w:fill="auto"/>
          </w:tcPr>
          <w:p w:rsidR="00690C7B" w:rsidRPr="00CF3204" w:rsidRDefault="00690C7B" w:rsidP="00D36807">
            <w:pPr>
              <w:spacing w:before="0"/>
              <w:rPr>
                <w:rFonts w:ascii="Verdana" w:hAnsi="Verdana"/>
                <w:b/>
                <w:sz w:val="20"/>
                <w:lang w:val="fr-CH"/>
              </w:rPr>
            </w:pPr>
          </w:p>
        </w:tc>
        <w:tc>
          <w:tcPr>
            <w:tcW w:w="3120" w:type="dxa"/>
            <w:shd w:val="clear" w:color="auto" w:fill="auto"/>
          </w:tcPr>
          <w:p w:rsidR="00690C7B" w:rsidRPr="00CF3204" w:rsidRDefault="00690C7B" w:rsidP="00D36807">
            <w:pPr>
              <w:spacing w:before="0"/>
              <w:rPr>
                <w:rFonts w:ascii="Verdana" w:hAnsi="Verdana"/>
                <w:b/>
                <w:sz w:val="20"/>
                <w:lang w:val="fr-CH"/>
              </w:rPr>
            </w:pPr>
            <w:r w:rsidRPr="00CF3204">
              <w:rPr>
                <w:rFonts w:ascii="Verdana" w:hAnsi="Verdana"/>
                <w:b/>
                <w:sz w:val="20"/>
                <w:lang w:val="fr-CH"/>
              </w:rPr>
              <w:t>29 septembre 2015</w:t>
            </w:r>
          </w:p>
        </w:tc>
      </w:tr>
      <w:tr w:rsidR="00690C7B" w:rsidRPr="00CF3204" w:rsidTr="00BB1D82">
        <w:trPr>
          <w:cantSplit/>
        </w:trPr>
        <w:tc>
          <w:tcPr>
            <w:tcW w:w="6911" w:type="dxa"/>
          </w:tcPr>
          <w:p w:rsidR="00690C7B" w:rsidRPr="00CF3204" w:rsidRDefault="00690C7B" w:rsidP="00D36807">
            <w:pPr>
              <w:spacing w:before="0" w:after="48"/>
              <w:rPr>
                <w:rFonts w:ascii="Verdana" w:hAnsi="Verdana"/>
                <w:b/>
                <w:smallCaps/>
                <w:sz w:val="20"/>
                <w:lang w:val="fr-CH"/>
              </w:rPr>
            </w:pPr>
          </w:p>
        </w:tc>
        <w:tc>
          <w:tcPr>
            <w:tcW w:w="3120" w:type="dxa"/>
          </w:tcPr>
          <w:p w:rsidR="00690C7B" w:rsidRPr="00CF3204" w:rsidRDefault="00690C7B" w:rsidP="00D36807">
            <w:pPr>
              <w:spacing w:before="0"/>
              <w:rPr>
                <w:rFonts w:ascii="Verdana" w:hAnsi="Verdana"/>
                <w:b/>
                <w:sz w:val="20"/>
                <w:lang w:val="fr-CH"/>
              </w:rPr>
            </w:pPr>
            <w:r w:rsidRPr="00CF3204">
              <w:rPr>
                <w:rFonts w:ascii="Verdana" w:hAnsi="Verdana"/>
                <w:b/>
                <w:sz w:val="20"/>
                <w:lang w:val="fr-CH"/>
              </w:rPr>
              <w:t>Original: anglais</w:t>
            </w:r>
          </w:p>
        </w:tc>
      </w:tr>
      <w:tr w:rsidR="00690C7B" w:rsidRPr="00CF3204" w:rsidTr="00C11970">
        <w:trPr>
          <w:cantSplit/>
        </w:trPr>
        <w:tc>
          <w:tcPr>
            <w:tcW w:w="10031" w:type="dxa"/>
            <w:gridSpan w:val="2"/>
          </w:tcPr>
          <w:p w:rsidR="00690C7B" w:rsidRPr="00CF3204" w:rsidRDefault="00690C7B" w:rsidP="00D36807">
            <w:pPr>
              <w:spacing w:before="0"/>
              <w:rPr>
                <w:rFonts w:ascii="Verdana" w:hAnsi="Verdana"/>
                <w:b/>
                <w:sz w:val="20"/>
                <w:lang w:val="fr-CH"/>
              </w:rPr>
            </w:pPr>
          </w:p>
        </w:tc>
      </w:tr>
      <w:tr w:rsidR="00690C7B" w:rsidRPr="00CF3204" w:rsidTr="0050008E">
        <w:trPr>
          <w:cantSplit/>
        </w:trPr>
        <w:tc>
          <w:tcPr>
            <w:tcW w:w="10031" w:type="dxa"/>
            <w:gridSpan w:val="2"/>
          </w:tcPr>
          <w:p w:rsidR="00690C7B" w:rsidRPr="00CF3204" w:rsidRDefault="00690C7B" w:rsidP="00D36807">
            <w:pPr>
              <w:pStyle w:val="Source"/>
              <w:rPr>
                <w:lang w:val="fr-CH"/>
              </w:rPr>
            </w:pPr>
            <w:bookmarkStart w:id="2" w:name="dsource" w:colFirst="0" w:colLast="0"/>
            <w:r w:rsidRPr="00CF3204">
              <w:rPr>
                <w:lang w:val="fr-CH"/>
              </w:rPr>
              <w:t>Etats Membres de la Commission interaméricaine des télécommunications (CITEL)</w:t>
            </w:r>
          </w:p>
        </w:tc>
      </w:tr>
      <w:tr w:rsidR="00690C7B" w:rsidRPr="00CF3204" w:rsidTr="0050008E">
        <w:trPr>
          <w:cantSplit/>
        </w:trPr>
        <w:tc>
          <w:tcPr>
            <w:tcW w:w="10031" w:type="dxa"/>
            <w:gridSpan w:val="2"/>
          </w:tcPr>
          <w:p w:rsidR="00690C7B" w:rsidRPr="00CF3204" w:rsidRDefault="00615EAB" w:rsidP="00D36807">
            <w:pPr>
              <w:pStyle w:val="Title1"/>
              <w:rPr>
                <w:lang w:val="fr-CH"/>
              </w:rPr>
            </w:pPr>
            <w:bookmarkStart w:id="3" w:name="dtitle1" w:colFirst="0" w:colLast="0"/>
            <w:bookmarkEnd w:id="2"/>
            <w:r w:rsidRPr="00CF3204">
              <w:rPr>
                <w:lang w:val="fr-CH"/>
              </w:rPr>
              <w:t xml:space="preserve">PROPOSITIONS POUR LES TRAVAUX DE LA </w:t>
            </w:r>
            <w:r w:rsidR="00690C7B" w:rsidRPr="00CF3204">
              <w:rPr>
                <w:lang w:val="fr-CH"/>
              </w:rPr>
              <w:t>conference</w:t>
            </w:r>
          </w:p>
        </w:tc>
      </w:tr>
      <w:tr w:rsidR="00690C7B" w:rsidRPr="00CF3204" w:rsidTr="0050008E">
        <w:trPr>
          <w:cantSplit/>
        </w:trPr>
        <w:tc>
          <w:tcPr>
            <w:tcW w:w="10031" w:type="dxa"/>
            <w:gridSpan w:val="2"/>
          </w:tcPr>
          <w:p w:rsidR="00690C7B" w:rsidRPr="00CF3204" w:rsidRDefault="00690C7B" w:rsidP="00D36807">
            <w:pPr>
              <w:pStyle w:val="Title2"/>
              <w:rPr>
                <w:lang w:val="fr-CH"/>
              </w:rPr>
            </w:pPr>
            <w:bookmarkStart w:id="4" w:name="dtitle2" w:colFirst="0" w:colLast="0"/>
            <w:bookmarkEnd w:id="3"/>
          </w:p>
        </w:tc>
      </w:tr>
      <w:tr w:rsidR="00690C7B" w:rsidRPr="00CF3204" w:rsidTr="0050008E">
        <w:trPr>
          <w:cantSplit/>
        </w:trPr>
        <w:tc>
          <w:tcPr>
            <w:tcW w:w="10031" w:type="dxa"/>
            <w:gridSpan w:val="2"/>
          </w:tcPr>
          <w:p w:rsidR="00690C7B" w:rsidRPr="00CF3204" w:rsidRDefault="00690C7B" w:rsidP="00D36807">
            <w:pPr>
              <w:pStyle w:val="Agendaitem"/>
            </w:pPr>
            <w:bookmarkStart w:id="5" w:name="dtitle3" w:colFirst="0" w:colLast="0"/>
            <w:bookmarkEnd w:id="4"/>
            <w:r w:rsidRPr="00CF3204">
              <w:t>Point 10 de l'ordre du jour</w:t>
            </w:r>
          </w:p>
        </w:tc>
      </w:tr>
    </w:tbl>
    <w:bookmarkEnd w:id="5"/>
    <w:p w:rsidR="001C0E40" w:rsidRPr="00CF3204" w:rsidRDefault="00764561" w:rsidP="00D36807">
      <w:pPr>
        <w:rPr>
          <w:lang w:val="fr-CH"/>
        </w:rPr>
      </w:pPr>
      <w:r w:rsidRPr="00CF3204">
        <w:rPr>
          <w:lang w:val="fr-CH"/>
        </w:rPr>
        <w:t>10</w:t>
      </w:r>
      <w:r w:rsidRPr="00CF3204">
        <w:rPr>
          <w:lang w:val="fr-CH"/>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615EAB" w:rsidRPr="00CF3204" w:rsidRDefault="00CF3204" w:rsidP="00D36807">
      <w:pPr>
        <w:pStyle w:val="Headingb"/>
        <w:rPr>
          <w:lang w:val="fr-CH"/>
        </w:rPr>
      </w:pPr>
      <w:r w:rsidRPr="00D36807">
        <w:t>Rappel</w:t>
      </w:r>
    </w:p>
    <w:p w:rsidR="00CF3204" w:rsidRDefault="00CF3204" w:rsidP="00654F9C">
      <w:pPr>
        <w:rPr>
          <w:lang w:val="fr-CH"/>
        </w:rPr>
      </w:pPr>
      <w:r w:rsidRPr="00CF3204">
        <w:rPr>
          <w:lang w:val="fr-CH"/>
        </w:rPr>
        <w:t>La bande 460-470 MHz est attribuée à titre primaire</w:t>
      </w:r>
      <w:r>
        <w:rPr>
          <w:lang w:val="fr-CH"/>
        </w:rPr>
        <w:t xml:space="preserve"> aux services fixe et mobile. Le service de météorologie par satellite a actuellement une attribution</w:t>
      </w:r>
      <w:r w:rsidR="005910F9">
        <w:rPr>
          <w:lang w:val="fr-CH"/>
        </w:rPr>
        <w:t xml:space="preserve"> à titre</w:t>
      </w:r>
      <w:r>
        <w:rPr>
          <w:lang w:val="fr-CH"/>
        </w:rPr>
        <w:t xml:space="preserve"> secondaire dans cette bande. </w:t>
      </w:r>
      <w:r w:rsidR="00D36807">
        <w:rPr>
          <w:lang w:val="fr-CH"/>
        </w:rPr>
        <w:t>Dans</w:t>
      </w:r>
      <w:r>
        <w:rPr>
          <w:lang w:val="fr-CH"/>
        </w:rPr>
        <w:t xml:space="preserve"> cette bande, le système de collecte de données Argos (ADCS) est utilisé pour surveiller plus de 21</w:t>
      </w:r>
      <w:r w:rsidR="00654F9C">
        <w:rPr>
          <w:lang w:val="fr-CH"/>
        </w:rPr>
        <w:t> </w:t>
      </w:r>
      <w:r>
        <w:rPr>
          <w:lang w:val="fr-CH"/>
        </w:rPr>
        <w:t>000 plates-formes individuelles partout dans le monde</w:t>
      </w:r>
      <w:r w:rsidR="00D36807">
        <w:rPr>
          <w:lang w:val="fr-CH"/>
        </w:rPr>
        <w:t>,</w:t>
      </w:r>
      <w:r>
        <w:rPr>
          <w:lang w:val="fr-CH"/>
        </w:rPr>
        <w:t xml:space="preserve"> pour 1</w:t>
      </w:r>
      <w:r w:rsidR="00D36807">
        <w:rPr>
          <w:lang w:val="fr-CH"/>
        </w:rPr>
        <w:t xml:space="preserve"> </w:t>
      </w:r>
      <w:r>
        <w:rPr>
          <w:lang w:val="fr-CH"/>
        </w:rPr>
        <w:t xml:space="preserve">900 opérateurs dans 118 pays. Les applications essentielles </w:t>
      </w:r>
      <w:r w:rsidR="00D36807">
        <w:rPr>
          <w:lang w:val="fr-CH"/>
        </w:rPr>
        <w:t>du</w:t>
      </w:r>
      <w:r>
        <w:rPr>
          <w:lang w:val="fr-CH"/>
        </w:rPr>
        <w:t xml:space="preserve"> système ADCS sont les suivantes: recherche/surveillance de l</w:t>
      </w:r>
      <w:r w:rsidR="00654F9C">
        <w:rPr>
          <w:lang w:val="fr-CH"/>
        </w:rPr>
        <w:t>'</w:t>
      </w:r>
      <w:r>
        <w:rPr>
          <w:lang w:val="fr-CH"/>
        </w:rPr>
        <w:t xml:space="preserve">atmosphère et des océans, prévision des cyclones tropicaux, gestion de la pêche, suivi des marées noires, suivi des navires de pêche, modélisation des </w:t>
      </w:r>
      <w:r w:rsidR="00D36807">
        <w:rPr>
          <w:lang w:val="fr-CH"/>
        </w:rPr>
        <w:t>activités</w:t>
      </w:r>
      <w:r>
        <w:rPr>
          <w:lang w:val="fr-CH"/>
        </w:rPr>
        <w:t xml:space="preserve"> de recherche et de sauvetage (en mer), </w:t>
      </w:r>
      <w:r w:rsidR="00D36807">
        <w:rPr>
          <w:lang w:val="fr-CH"/>
        </w:rPr>
        <w:t>alerte anti-</w:t>
      </w:r>
      <w:r>
        <w:rPr>
          <w:lang w:val="fr-CH"/>
        </w:rPr>
        <w:t>pirates, suivi des importations/exportations et des matières dangereuses, étude</w:t>
      </w:r>
      <w:r w:rsidR="00D36807">
        <w:rPr>
          <w:lang w:val="fr-CH"/>
        </w:rPr>
        <w:t>s</w:t>
      </w:r>
      <w:r>
        <w:rPr>
          <w:lang w:val="fr-CH"/>
        </w:rPr>
        <w:t xml:space="preserve"> sur les espèces menacées, cartographie des migrations et suivi et gestion de la faune sauvage.</w:t>
      </w:r>
    </w:p>
    <w:p w:rsidR="005910F9" w:rsidRDefault="00CF3204" w:rsidP="00654F9C">
      <w:pPr>
        <w:rPr>
          <w:lang w:val="fr-CH"/>
        </w:rPr>
      </w:pPr>
      <w:r>
        <w:rPr>
          <w:lang w:val="fr-CH"/>
        </w:rPr>
        <w:t>Les systèmes radioélectriques d</w:t>
      </w:r>
      <w:r w:rsidR="00654F9C">
        <w:rPr>
          <w:lang w:val="fr-CH"/>
        </w:rPr>
        <w:t>'</w:t>
      </w:r>
      <w:r>
        <w:rPr>
          <w:lang w:val="fr-CH"/>
        </w:rPr>
        <w:t>alarme</w:t>
      </w:r>
      <w:r w:rsidR="00D36807">
        <w:rPr>
          <w:lang w:val="fr-CH"/>
        </w:rPr>
        <w:t xml:space="preserve"> de station</w:t>
      </w:r>
      <w:r>
        <w:rPr>
          <w:lang w:val="fr-CH"/>
        </w:rPr>
        <w:t xml:space="preserve"> centrale </w:t>
      </w:r>
      <w:r w:rsidR="005910F9">
        <w:rPr>
          <w:lang w:val="fr-CH"/>
        </w:rPr>
        <w:t xml:space="preserve">(CSA) </w:t>
      </w:r>
      <w:r>
        <w:rPr>
          <w:lang w:val="fr-CH"/>
        </w:rPr>
        <w:t>fonctionnent sur la même fréquence que la liaison descendant</w:t>
      </w:r>
      <w:r w:rsidR="00D36807">
        <w:rPr>
          <w:lang w:val="fr-CH"/>
        </w:rPr>
        <w:t>e</w:t>
      </w:r>
      <w:r>
        <w:rPr>
          <w:lang w:val="fr-CH"/>
        </w:rPr>
        <w:t xml:space="preserve"> du système ADCS.</w:t>
      </w:r>
      <w:r w:rsidR="005910F9">
        <w:rPr>
          <w:lang w:val="fr-CH"/>
        </w:rPr>
        <w:t xml:space="preserve"> En raison des brouillages qui pourraient être causés aux systèmes CSA, l</w:t>
      </w:r>
      <w:r w:rsidR="00654F9C">
        <w:rPr>
          <w:lang w:val="fr-CH"/>
        </w:rPr>
        <w:t>'</w:t>
      </w:r>
      <w:r w:rsidR="005910F9">
        <w:rPr>
          <w:lang w:val="fr-CH"/>
        </w:rPr>
        <w:t xml:space="preserve">opérateur </w:t>
      </w:r>
      <w:r w:rsidR="00D36807">
        <w:rPr>
          <w:lang w:val="fr-CH"/>
        </w:rPr>
        <w:t>a</w:t>
      </w:r>
      <w:r w:rsidR="005910F9">
        <w:rPr>
          <w:lang w:val="fr-CH"/>
        </w:rPr>
        <w:t xml:space="preserve"> désactiv</w:t>
      </w:r>
      <w:r w:rsidR="00D36807">
        <w:rPr>
          <w:lang w:val="fr-CH"/>
        </w:rPr>
        <w:t>é</w:t>
      </w:r>
      <w:r w:rsidR="005910F9">
        <w:rPr>
          <w:lang w:val="fr-CH"/>
        </w:rPr>
        <w:t xml:space="preserve"> le système ADCS sur le satellite NOAA-19. Afin d</w:t>
      </w:r>
      <w:r w:rsidR="00654F9C">
        <w:rPr>
          <w:lang w:val="fr-CH"/>
        </w:rPr>
        <w:t>'</w:t>
      </w:r>
      <w:r w:rsidR="005910F9">
        <w:rPr>
          <w:lang w:val="fr-CH"/>
        </w:rPr>
        <w:t xml:space="preserve">assurer une protection supplémentaire </w:t>
      </w:r>
      <w:r w:rsidR="00D36807">
        <w:rPr>
          <w:lang w:val="fr-CH"/>
        </w:rPr>
        <w:t>pour les</w:t>
      </w:r>
      <w:r w:rsidR="005910F9">
        <w:rPr>
          <w:lang w:val="fr-CH"/>
        </w:rPr>
        <w:t xml:space="preserve"> services primaires existants dans la bande, la prochaine génération d</w:t>
      </w:r>
      <w:r w:rsidR="00654F9C">
        <w:rPr>
          <w:lang w:val="fr-CH"/>
        </w:rPr>
        <w:t>'</w:t>
      </w:r>
      <w:r w:rsidR="005910F9">
        <w:rPr>
          <w:lang w:val="fr-CH"/>
        </w:rPr>
        <w:t>émetteurs ADCS mettr</w:t>
      </w:r>
      <w:r w:rsidR="00D36807">
        <w:rPr>
          <w:lang w:val="fr-CH"/>
        </w:rPr>
        <w:t>a</w:t>
      </w:r>
      <w:r w:rsidR="005910F9">
        <w:rPr>
          <w:lang w:val="fr-CH"/>
        </w:rPr>
        <w:t xml:space="preserve"> en œuvre </w:t>
      </w:r>
      <w:r w:rsidR="00D36807">
        <w:rPr>
          <w:lang w:val="fr-CH"/>
        </w:rPr>
        <w:t>une</w:t>
      </w:r>
      <w:r w:rsidR="005910F9" w:rsidRPr="005910F9">
        <w:rPr>
          <w:lang w:val="fr-CH"/>
        </w:rPr>
        <w:t xml:space="preserve"> technique d'étalement du spectre à séquence directe</w:t>
      </w:r>
      <w:r w:rsidR="005910F9">
        <w:rPr>
          <w:lang w:val="fr-CH"/>
        </w:rPr>
        <w:t xml:space="preserve"> sur la liaison descendant</w:t>
      </w:r>
      <w:r w:rsidR="00D36807">
        <w:rPr>
          <w:lang w:val="fr-CH"/>
        </w:rPr>
        <w:t>e,</w:t>
      </w:r>
      <w:r w:rsidR="005910F9">
        <w:rPr>
          <w:lang w:val="fr-CH"/>
        </w:rPr>
        <w:t xml:space="preserve"> afin de </w:t>
      </w:r>
      <w:r w:rsidR="00D36807">
        <w:rPr>
          <w:lang w:val="fr-CH"/>
        </w:rPr>
        <w:t>ramener</w:t>
      </w:r>
      <w:r w:rsidR="005910F9">
        <w:rPr>
          <w:lang w:val="fr-CH"/>
        </w:rPr>
        <w:t xml:space="preserve"> la puissance surfacique</w:t>
      </w:r>
      <w:r w:rsidR="00D36807">
        <w:rPr>
          <w:lang w:val="fr-CH"/>
        </w:rPr>
        <w:t xml:space="preserve"> produite</w:t>
      </w:r>
      <w:r w:rsidR="005910F9">
        <w:rPr>
          <w:lang w:val="fr-CH"/>
        </w:rPr>
        <w:t xml:space="preserve"> dans la bande 460-470 MHz à un niveau inférieur à</w:t>
      </w:r>
      <w:r w:rsidR="00615EAB" w:rsidRPr="00CF3204">
        <w:rPr>
          <w:lang w:val="fr-CH"/>
        </w:rPr>
        <w:t xml:space="preserve"> </w:t>
      </w:r>
      <w:r w:rsidR="00654F9C" w:rsidRPr="00654F9C">
        <w:rPr>
          <w:lang w:val="fr-CH"/>
        </w:rPr>
        <w:t>−152 dBW/m</w:t>
      </w:r>
      <w:r w:rsidR="00654F9C" w:rsidRPr="00654F9C">
        <w:rPr>
          <w:vertAlign w:val="superscript"/>
          <w:lang w:val="fr-CH"/>
        </w:rPr>
        <w:t>2</w:t>
      </w:r>
      <w:r w:rsidR="00654F9C" w:rsidRPr="00654F9C">
        <w:rPr>
          <w:lang w:val="fr-CH"/>
        </w:rPr>
        <w:t>/4 kHz</w:t>
      </w:r>
      <w:r w:rsidR="00615EAB" w:rsidRPr="00CF3204">
        <w:rPr>
          <w:lang w:val="fr-CH"/>
        </w:rPr>
        <w:t>.</w:t>
      </w:r>
    </w:p>
    <w:p w:rsidR="00615EAB" w:rsidRPr="00CF3204" w:rsidRDefault="005910F9" w:rsidP="00654F9C">
      <w:pPr>
        <w:rPr>
          <w:lang w:val="fr-CH"/>
        </w:rPr>
      </w:pPr>
      <w:r>
        <w:rPr>
          <w:lang w:val="fr-CH"/>
        </w:rPr>
        <w:t xml:space="preserve">Afin de </w:t>
      </w:r>
      <w:r w:rsidR="00D36807">
        <w:rPr>
          <w:lang w:val="fr-CH"/>
        </w:rPr>
        <w:t>rentabiliser</w:t>
      </w:r>
      <w:r>
        <w:rPr>
          <w:lang w:val="fr-CH"/>
        </w:rPr>
        <w:t xml:space="preserve"> les investissements </w:t>
      </w:r>
      <w:r w:rsidR="00D36807">
        <w:rPr>
          <w:lang w:val="fr-CH"/>
        </w:rPr>
        <w:t>considérables</w:t>
      </w:r>
      <w:r>
        <w:rPr>
          <w:lang w:val="fr-CH"/>
        </w:rPr>
        <w:t xml:space="preserve"> consentis récemment </w:t>
      </w:r>
      <w:r w:rsidR="00D36807">
        <w:rPr>
          <w:lang w:val="fr-CH"/>
        </w:rPr>
        <w:t>et de ne pas freiner l'essor que connaît depuis peu le</w:t>
      </w:r>
      <w:r>
        <w:rPr>
          <w:lang w:val="fr-CH"/>
        </w:rPr>
        <w:t xml:space="preserve"> système</w:t>
      </w:r>
      <w:r w:rsidR="00D36807">
        <w:rPr>
          <w:lang w:val="fr-CH"/>
        </w:rPr>
        <w:t xml:space="preserve"> ADCS</w:t>
      </w:r>
      <w:r>
        <w:rPr>
          <w:lang w:val="fr-CH"/>
        </w:rPr>
        <w:t>, il est proposé d</w:t>
      </w:r>
      <w:r w:rsidR="00654F9C">
        <w:rPr>
          <w:lang w:val="fr-CH"/>
        </w:rPr>
        <w:t>'</w:t>
      </w:r>
      <w:r>
        <w:rPr>
          <w:lang w:val="fr-CH"/>
        </w:rPr>
        <w:t>étudier le partage entre le service de météorologie par satellite (espace vers Terre) existant et les services ayant une attribution dans la bande 460-470 MHz</w:t>
      </w:r>
      <w:r w:rsidR="00D36807">
        <w:rPr>
          <w:lang w:val="fr-CH"/>
        </w:rPr>
        <w:t>,</w:t>
      </w:r>
      <w:r>
        <w:rPr>
          <w:lang w:val="fr-CH"/>
        </w:rPr>
        <w:t xml:space="preserve"> en vue de relever </w:t>
      </w:r>
      <w:r w:rsidR="00D36807">
        <w:rPr>
          <w:lang w:val="fr-CH"/>
        </w:rPr>
        <w:t>au</w:t>
      </w:r>
      <w:r>
        <w:rPr>
          <w:lang w:val="fr-CH"/>
        </w:rPr>
        <w:t xml:space="preserve"> statut primaire</w:t>
      </w:r>
      <w:r w:rsidR="00D36807" w:rsidRPr="00D36807">
        <w:rPr>
          <w:lang w:val="fr-CH"/>
        </w:rPr>
        <w:t xml:space="preserve"> </w:t>
      </w:r>
      <w:r w:rsidR="00D36807">
        <w:rPr>
          <w:lang w:val="fr-CH"/>
        </w:rPr>
        <w:t>l</w:t>
      </w:r>
      <w:r w:rsidR="00654F9C">
        <w:rPr>
          <w:lang w:val="fr-CH"/>
        </w:rPr>
        <w:t>'</w:t>
      </w:r>
      <w:r w:rsidR="00D36807">
        <w:rPr>
          <w:lang w:val="fr-CH"/>
        </w:rPr>
        <w:t>attribution du service de météorologie</w:t>
      </w:r>
      <w:r>
        <w:rPr>
          <w:lang w:val="fr-CH"/>
        </w:rPr>
        <w:t xml:space="preserve"> </w:t>
      </w:r>
      <w:r w:rsidR="00654F9C">
        <w:rPr>
          <w:lang w:val="fr-CH"/>
        </w:rPr>
        <w:t>par satellite</w:t>
      </w:r>
      <w:r w:rsidR="00654F9C">
        <w:rPr>
          <w:lang w:val="fr-CH"/>
        </w:rPr>
        <w:t xml:space="preserve"> </w:t>
      </w:r>
      <w:r>
        <w:rPr>
          <w:lang w:val="fr-CH"/>
        </w:rPr>
        <w:t>et, éventuellement, d</w:t>
      </w:r>
      <w:r w:rsidR="00654F9C">
        <w:rPr>
          <w:lang w:val="fr-CH"/>
        </w:rPr>
        <w:t>'</w:t>
      </w:r>
      <w:r>
        <w:rPr>
          <w:lang w:val="fr-CH"/>
        </w:rPr>
        <w:t xml:space="preserve">adopter une limite de puissance surfacique </w:t>
      </w:r>
      <w:r w:rsidR="00D36807">
        <w:rPr>
          <w:lang w:val="fr-CH"/>
        </w:rPr>
        <w:t>applicable au</w:t>
      </w:r>
      <w:r>
        <w:rPr>
          <w:lang w:val="fr-CH"/>
        </w:rPr>
        <w:t xml:space="preserve"> service </w:t>
      </w:r>
      <w:r>
        <w:rPr>
          <w:lang w:val="fr-CH"/>
        </w:rPr>
        <w:lastRenderedPageBreak/>
        <w:t>de météorologie par satellite (espace vers Terre) afin de protéger les services existants. Une attribution à titre primaire avec égalité des droits permettrait de protéger le système</w:t>
      </w:r>
      <w:r w:rsidRPr="005910F9">
        <w:t xml:space="preserve"> </w:t>
      </w:r>
      <w:r w:rsidRPr="00CF3204">
        <w:rPr>
          <w:lang w:val="fr-CH"/>
        </w:rPr>
        <w:t>ADCS</w:t>
      </w:r>
      <w:r>
        <w:rPr>
          <w:lang w:val="fr-CH"/>
        </w:rPr>
        <w:t xml:space="preserve"> vis-à-vis des nouveaux services </w:t>
      </w:r>
      <w:r w:rsidR="00D36807">
        <w:rPr>
          <w:lang w:val="fr-CH"/>
        </w:rPr>
        <w:t>qui pourraient être</w:t>
      </w:r>
      <w:r>
        <w:rPr>
          <w:lang w:val="fr-CH"/>
        </w:rPr>
        <w:t xml:space="preserve"> mis en œuvre dans la bande.</w:t>
      </w:r>
    </w:p>
    <w:p w:rsidR="00615EAB" w:rsidRPr="00CF3204" w:rsidRDefault="00615EAB" w:rsidP="00D36807">
      <w:pPr>
        <w:pStyle w:val="Headingb"/>
        <w:rPr>
          <w:lang w:val="fr-CH"/>
        </w:rPr>
      </w:pPr>
      <w:r w:rsidRPr="00CF3204">
        <w:rPr>
          <w:lang w:val="fr-CH"/>
        </w:rPr>
        <w:t>Propositions</w:t>
      </w:r>
    </w:p>
    <w:p w:rsidR="00E36783" w:rsidRPr="00CF3204" w:rsidRDefault="00E36783" w:rsidP="00D36807">
      <w:pPr>
        <w:pStyle w:val="Proposal"/>
        <w:rPr>
          <w:lang w:val="fr-CH"/>
        </w:rPr>
      </w:pPr>
      <w:r w:rsidRPr="00CF3204">
        <w:rPr>
          <w:lang w:val="fr-CH"/>
        </w:rPr>
        <w:t>ADD</w:t>
      </w:r>
      <w:r w:rsidRPr="00CF3204">
        <w:rPr>
          <w:lang w:val="fr-CH"/>
        </w:rPr>
        <w:tab/>
        <w:t>IAP/7A24A1/1</w:t>
      </w:r>
    </w:p>
    <w:p w:rsidR="00E36783" w:rsidRPr="00CF3204" w:rsidRDefault="00E36783" w:rsidP="00D36807">
      <w:pPr>
        <w:pStyle w:val="ResNo"/>
        <w:rPr>
          <w:lang w:val="fr-CH"/>
        </w:rPr>
      </w:pPr>
      <w:r w:rsidRPr="00CF3204">
        <w:rPr>
          <w:lang w:val="fr-CH"/>
        </w:rPr>
        <w:t>Projet de nouvelle Résolution [IAP-10A-2019]</w:t>
      </w:r>
      <w:r w:rsidR="00D36807">
        <w:rPr>
          <w:lang w:val="fr-CH"/>
        </w:rPr>
        <w:t xml:space="preserve"> (CMR-15)</w:t>
      </w:r>
    </w:p>
    <w:p w:rsidR="00615EAB" w:rsidRPr="00CF3204" w:rsidRDefault="005910F9" w:rsidP="00654F9C">
      <w:pPr>
        <w:pStyle w:val="Restitle"/>
        <w:rPr>
          <w:lang w:val="fr-CH"/>
        </w:rPr>
      </w:pPr>
      <w:bookmarkStart w:id="6" w:name="_Toc327364587"/>
      <w:r>
        <w:rPr>
          <w:lang w:val="fr-CH"/>
        </w:rPr>
        <w:t xml:space="preserve">Ordre du jour de la Conférence mondiale des radiocommunications de </w:t>
      </w:r>
      <w:r w:rsidR="00615EAB" w:rsidRPr="00CF3204">
        <w:rPr>
          <w:lang w:val="fr-CH"/>
        </w:rPr>
        <w:t xml:space="preserve">2019 </w:t>
      </w:r>
      <w:bookmarkEnd w:id="6"/>
    </w:p>
    <w:p w:rsidR="00615EAB" w:rsidRPr="00CF3204" w:rsidRDefault="005910F9" w:rsidP="00D36807">
      <w:pPr>
        <w:pStyle w:val="Normalaftertitle"/>
        <w:rPr>
          <w:lang w:val="fr-CH"/>
        </w:rPr>
      </w:pPr>
      <w:r>
        <w:rPr>
          <w:lang w:val="fr-CH"/>
        </w:rPr>
        <w:t>La Conférence mondiale des radiocommunications (Genève</w:t>
      </w:r>
      <w:r w:rsidR="00615EAB" w:rsidRPr="00CF3204">
        <w:rPr>
          <w:lang w:val="fr-CH"/>
        </w:rPr>
        <w:t>, 2015),</w:t>
      </w:r>
    </w:p>
    <w:p w:rsidR="00615EAB" w:rsidRPr="00CF3204" w:rsidRDefault="00615EAB" w:rsidP="00D36807">
      <w:pPr>
        <w:rPr>
          <w:lang w:val="fr-CH"/>
        </w:rPr>
      </w:pPr>
      <w:r w:rsidRPr="00CF3204">
        <w:rPr>
          <w:lang w:val="fr-CH"/>
        </w:rPr>
        <w:t>...</w:t>
      </w:r>
    </w:p>
    <w:p w:rsidR="00615EAB" w:rsidRPr="00CF3204" w:rsidRDefault="00615EAB" w:rsidP="00654F9C">
      <w:pPr>
        <w:rPr>
          <w:lang w:val="fr-CH"/>
        </w:rPr>
      </w:pPr>
      <w:r w:rsidRPr="00CF3204">
        <w:rPr>
          <w:rStyle w:val="Artdef"/>
          <w:lang w:val="fr-CH"/>
        </w:rPr>
        <w:t>X.X</w:t>
      </w:r>
      <w:r w:rsidRPr="00CF3204">
        <w:rPr>
          <w:b/>
          <w:lang w:val="fr-CH"/>
        </w:rPr>
        <w:tab/>
      </w:r>
      <w:r w:rsidR="00F679D8" w:rsidRPr="00F679D8">
        <w:rPr>
          <w:bCs/>
          <w:lang w:val="fr-CH"/>
        </w:rPr>
        <w:t>examiner les attributions</w:t>
      </w:r>
      <w:r w:rsidR="00F679D8">
        <w:rPr>
          <w:bCs/>
          <w:lang w:val="fr-CH"/>
        </w:rPr>
        <w:t xml:space="preserve"> au service de météorologie par satellite dans la bande 460-470</w:t>
      </w:r>
      <w:r w:rsidR="00654F9C">
        <w:rPr>
          <w:bCs/>
          <w:lang w:val="fr-CH"/>
        </w:rPr>
        <w:t> </w:t>
      </w:r>
      <w:r w:rsidR="00F679D8">
        <w:rPr>
          <w:bCs/>
          <w:lang w:val="fr-CH"/>
        </w:rPr>
        <w:t>MHz en vue de relever</w:t>
      </w:r>
      <w:r w:rsidR="00D36807" w:rsidRPr="00D36807">
        <w:rPr>
          <w:bCs/>
          <w:lang w:val="fr-CH"/>
        </w:rPr>
        <w:t xml:space="preserve"> </w:t>
      </w:r>
      <w:r w:rsidR="00D36807">
        <w:rPr>
          <w:bCs/>
          <w:lang w:val="fr-CH"/>
        </w:rPr>
        <w:t>au statut primaire</w:t>
      </w:r>
      <w:r w:rsidR="00F679D8">
        <w:rPr>
          <w:bCs/>
          <w:lang w:val="fr-CH"/>
        </w:rPr>
        <w:t xml:space="preserve"> l</w:t>
      </w:r>
      <w:r w:rsidR="00654F9C">
        <w:rPr>
          <w:bCs/>
          <w:lang w:val="fr-CH"/>
        </w:rPr>
        <w:t>'</w:t>
      </w:r>
      <w:r w:rsidR="00F679D8">
        <w:rPr>
          <w:bCs/>
          <w:lang w:val="fr-CH"/>
        </w:rPr>
        <w:t>attribution faite à titre secondaire au service de météorologie par satellite, tout en protégeant les services primaires existants dans la bande et sans imposer de contrainte</w:t>
      </w:r>
      <w:r w:rsidR="00D36807">
        <w:rPr>
          <w:bCs/>
          <w:lang w:val="fr-CH"/>
        </w:rPr>
        <w:t>s</w:t>
      </w:r>
      <w:r w:rsidR="00F679D8">
        <w:rPr>
          <w:bCs/>
          <w:lang w:val="fr-CH"/>
        </w:rPr>
        <w:t xml:space="preserve"> supplémentaire</w:t>
      </w:r>
      <w:r w:rsidR="00D36807">
        <w:rPr>
          <w:bCs/>
          <w:lang w:val="fr-CH"/>
        </w:rPr>
        <w:t>s</w:t>
      </w:r>
      <w:r w:rsidR="00F679D8">
        <w:rPr>
          <w:bCs/>
          <w:lang w:val="fr-CH"/>
        </w:rPr>
        <w:t xml:space="preserve"> à ces services primaires conformément à la Résolution</w:t>
      </w:r>
      <w:r w:rsidRPr="00CF3204">
        <w:rPr>
          <w:lang w:val="fr-CH"/>
        </w:rPr>
        <w:t xml:space="preserve"> </w:t>
      </w:r>
      <w:r w:rsidRPr="00CF3204">
        <w:rPr>
          <w:b/>
          <w:bCs/>
          <w:lang w:val="fr-CH"/>
        </w:rPr>
        <w:t>[IAP-10A-460-470]</w:t>
      </w:r>
      <w:r w:rsidRPr="00CF3204">
        <w:rPr>
          <w:lang w:val="fr-CH"/>
        </w:rPr>
        <w:t xml:space="preserve"> </w:t>
      </w:r>
      <w:r w:rsidRPr="00CF3204">
        <w:rPr>
          <w:b/>
          <w:bCs/>
          <w:lang w:val="fr-CH"/>
        </w:rPr>
        <w:t>(</w:t>
      </w:r>
      <w:r w:rsidR="00F679D8">
        <w:rPr>
          <w:b/>
          <w:bCs/>
          <w:lang w:val="fr-CH"/>
        </w:rPr>
        <w:t>CMR</w:t>
      </w:r>
      <w:r w:rsidRPr="00CF3204">
        <w:rPr>
          <w:b/>
          <w:bCs/>
          <w:lang w:val="fr-CH"/>
        </w:rPr>
        <w:noBreakHyphen/>
        <w:t>15)</w:t>
      </w:r>
      <w:r w:rsidRPr="00CF3204">
        <w:rPr>
          <w:lang w:val="fr-CH"/>
        </w:rPr>
        <w:t>;</w:t>
      </w:r>
    </w:p>
    <w:p w:rsidR="00615EAB" w:rsidRPr="00CF3204" w:rsidRDefault="00E36783" w:rsidP="001F78ED">
      <w:pPr>
        <w:pStyle w:val="Reasons"/>
        <w:rPr>
          <w:lang w:val="fr-CH"/>
        </w:rPr>
      </w:pPr>
      <w:r w:rsidRPr="00CF3204">
        <w:rPr>
          <w:b/>
          <w:lang w:val="fr-CH"/>
        </w:rPr>
        <w:t>Motifs</w:t>
      </w:r>
      <w:r w:rsidR="00615EAB" w:rsidRPr="00CF3204">
        <w:rPr>
          <w:b/>
          <w:lang w:val="fr-CH"/>
        </w:rPr>
        <w:t>:</w:t>
      </w:r>
      <w:r w:rsidR="00615EAB" w:rsidRPr="00CF3204">
        <w:rPr>
          <w:lang w:val="fr-CH"/>
        </w:rPr>
        <w:tab/>
      </w:r>
      <w:r w:rsidR="003E7600">
        <w:rPr>
          <w:lang w:val="fr-CH"/>
        </w:rPr>
        <w:t xml:space="preserve">Permettre au service de météorologie par satellite de fonctionner avec un statut primaire avec égalité des droits </w:t>
      </w:r>
      <w:r w:rsidR="001F78ED">
        <w:rPr>
          <w:lang w:val="fr-CH"/>
        </w:rPr>
        <w:t>vis-à-vis des</w:t>
      </w:r>
      <w:r w:rsidR="003E7600">
        <w:rPr>
          <w:lang w:val="fr-CH"/>
        </w:rPr>
        <w:t xml:space="preserve"> services fixe et mobile.</w:t>
      </w:r>
    </w:p>
    <w:p w:rsidR="00615EAB" w:rsidRPr="00CF3204" w:rsidRDefault="00615EAB" w:rsidP="00D36807">
      <w:pPr>
        <w:pStyle w:val="Proposal"/>
        <w:rPr>
          <w:lang w:val="fr-CH"/>
        </w:rPr>
      </w:pPr>
      <w:r w:rsidRPr="00CF3204">
        <w:rPr>
          <w:lang w:val="fr-CH"/>
        </w:rPr>
        <w:t>ADD</w:t>
      </w:r>
      <w:r w:rsidRPr="00CF3204">
        <w:rPr>
          <w:lang w:val="fr-CH"/>
        </w:rPr>
        <w:tab/>
        <w:t>IAP/7A24A1/2</w:t>
      </w:r>
    </w:p>
    <w:p w:rsidR="00E36783" w:rsidRPr="00CF3204" w:rsidRDefault="00E36783" w:rsidP="00D36807">
      <w:pPr>
        <w:pStyle w:val="ResNo"/>
        <w:rPr>
          <w:lang w:val="fr-CH"/>
        </w:rPr>
      </w:pPr>
      <w:r w:rsidRPr="00CF3204">
        <w:rPr>
          <w:lang w:val="fr-CH"/>
        </w:rPr>
        <w:t>Projet de nouvelle Résolution [IAP-10A-460-470]</w:t>
      </w:r>
      <w:r w:rsidR="001F78ED">
        <w:rPr>
          <w:lang w:val="fr-CH"/>
        </w:rPr>
        <w:t xml:space="preserve"> (CMR-15)</w:t>
      </w:r>
    </w:p>
    <w:p w:rsidR="00615EAB" w:rsidRPr="00CF3204" w:rsidRDefault="00FB55AC" w:rsidP="00D36807">
      <w:pPr>
        <w:pStyle w:val="Restitle"/>
        <w:rPr>
          <w:lang w:val="fr-CH"/>
        </w:rPr>
      </w:pPr>
      <w:r>
        <w:rPr>
          <w:lang w:val="fr-CH"/>
        </w:rPr>
        <w:t>Attribution à titre primaire au service de météorologie par satellite</w:t>
      </w:r>
      <w:r>
        <w:rPr>
          <w:lang w:val="fr-CH"/>
        </w:rPr>
        <w:br/>
      </w:r>
      <w:r w:rsidR="0051718C">
        <w:rPr>
          <w:lang w:val="fr-CH"/>
        </w:rPr>
        <w:t>dans la bande 460-470 MHz</w:t>
      </w:r>
    </w:p>
    <w:p w:rsidR="00615EAB" w:rsidRPr="00CF3204" w:rsidRDefault="00780BB6" w:rsidP="00D36807">
      <w:pPr>
        <w:pStyle w:val="Normalaftertitle"/>
        <w:rPr>
          <w:lang w:val="fr-CH"/>
        </w:rPr>
      </w:pPr>
      <w:r>
        <w:rPr>
          <w:lang w:val="fr-CH"/>
        </w:rPr>
        <w:t>La Conférence mondiale des radiocommunications (Genève</w:t>
      </w:r>
      <w:r w:rsidR="00615EAB" w:rsidRPr="00CF3204">
        <w:rPr>
          <w:lang w:val="fr-CH"/>
        </w:rPr>
        <w:t>, 2015),</w:t>
      </w:r>
    </w:p>
    <w:p w:rsidR="00615EAB" w:rsidRPr="00CF3204" w:rsidRDefault="00780BB6" w:rsidP="00D36807">
      <w:pPr>
        <w:pStyle w:val="Call"/>
        <w:rPr>
          <w:lang w:val="fr-CH"/>
        </w:rPr>
      </w:pPr>
      <w:r>
        <w:rPr>
          <w:lang w:val="fr-CH"/>
        </w:rPr>
        <w:t xml:space="preserve">considérant </w:t>
      </w:r>
    </w:p>
    <w:p w:rsidR="00780BB6" w:rsidRPr="00780BB6" w:rsidRDefault="00615EAB" w:rsidP="001F78ED">
      <w:pPr>
        <w:rPr>
          <w:iCs/>
          <w:lang w:val="fr-CH"/>
        </w:rPr>
      </w:pPr>
      <w:r w:rsidRPr="00CF3204">
        <w:rPr>
          <w:i/>
          <w:lang w:val="fr-CH"/>
        </w:rPr>
        <w:t>a)</w:t>
      </w:r>
      <w:r w:rsidRPr="00CF3204">
        <w:rPr>
          <w:i/>
          <w:lang w:val="fr-CH"/>
        </w:rPr>
        <w:tab/>
      </w:r>
      <w:r w:rsidR="00780BB6">
        <w:rPr>
          <w:iCs/>
          <w:lang w:val="fr-CH"/>
        </w:rPr>
        <w:t xml:space="preserve">que </w:t>
      </w:r>
      <w:r w:rsidR="00780BB6">
        <w:rPr>
          <w:szCs w:val="24"/>
          <w:lang w:val="fr-CH"/>
        </w:rPr>
        <w:t>le système de collecte de données Argos (ADCS) est utilisé pour surveiller plus de 21 000 plates-formes individuelles partout dans le monde pour 1</w:t>
      </w:r>
      <w:r w:rsidR="001F78ED">
        <w:rPr>
          <w:szCs w:val="24"/>
          <w:lang w:val="fr-CH"/>
        </w:rPr>
        <w:t xml:space="preserve"> </w:t>
      </w:r>
      <w:r w:rsidR="00780BB6">
        <w:rPr>
          <w:szCs w:val="24"/>
          <w:lang w:val="fr-CH"/>
        </w:rPr>
        <w:t>900 opérateurs dans 118 pays;</w:t>
      </w:r>
    </w:p>
    <w:p w:rsidR="00615EAB" w:rsidRPr="00CF3204" w:rsidRDefault="00615EAB" w:rsidP="00654F9C">
      <w:pPr>
        <w:rPr>
          <w:lang w:val="fr-CH"/>
        </w:rPr>
      </w:pPr>
      <w:r w:rsidRPr="00CF3204">
        <w:rPr>
          <w:i/>
          <w:lang w:val="fr-CH"/>
        </w:rPr>
        <w:t>b)</w:t>
      </w:r>
      <w:r w:rsidRPr="00CF3204">
        <w:rPr>
          <w:lang w:val="fr-CH"/>
        </w:rPr>
        <w:tab/>
      </w:r>
      <w:r w:rsidR="00780BB6">
        <w:rPr>
          <w:lang w:val="fr-CH"/>
        </w:rPr>
        <w:t xml:space="preserve">que le recours au système </w:t>
      </w:r>
      <w:r w:rsidR="00780BB6" w:rsidRPr="00CF3204">
        <w:rPr>
          <w:lang w:val="fr-CH"/>
        </w:rPr>
        <w:t>ADCS</w:t>
      </w:r>
      <w:r w:rsidR="00780BB6">
        <w:rPr>
          <w:lang w:val="fr-CH"/>
        </w:rPr>
        <w:t xml:space="preserve"> peut assurer une utilisation efficace du spectre grâce à l</w:t>
      </w:r>
      <w:r w:rsidR="00654F9C">
        <w:rPr>
          <w:lang w:val="fr-CH"/>
        </w:rPr>
        <w:t>'</w:t>
      </w:r>
      <w:r w:rsidR="00780BB6">
        <w:rPr>
          <w:lang w:val="fr-CH"/>
        </w:rPr>
        <w:t>interrogation des plates-formes de collecte avant la transmission des données;</w:t>
      </w:r>
    </w:p>
    <w:p w:rsidR="00615EAB" w:rsidRPr="00CF3204" w:rsidRDefault="00615EAB" w:rsidP="00903395">
      <w:pPr>
        <w:rPr>
          <w:lang w:val="fr-CH"/>
        </w:rPr>
      </w:pPr>
      <w:r w:rsidRPr="00CF3204">
        <w:rPr>
          <w:i/>
          <w:lang w:val="fr-CH"/>
        </w:rPr>
        <w:t>c)</w:t>
      </w:r>
      <w:r w:rsidRPr="00CF3204">
        <w:rPr>
          <w:lang w:val="fr-CH"/>
        </w:rPr>
        <w:tab/>
      </w:r>
      <w:r w:rsidR="00780BB6">
        <w:rPr>
          <w:lang w:val="fr-CH"/>
        </w:rPr>
        <w:t>que le système</w:t>
      </w:r>
      <w:r w:rsidR="00780BB6" w:rsidRPr="00780BB6">
        <w:rPr>
          <w:lang w:val="fr-CH"/>
        </w:rPr>
        <w:t xml:space="preserve"> </w:t>
      </w:r>
      <w:r w:rsidR="00780BB6" w:rsidRPr="00CF3204">
        <w:rPr>
          <w:lang w:val="fr-CH"/>
        </w:rPr>
        <w:t>ADCS</w:t>
      </w:r>
      <w:r w:rsidR="00780BB6">
        <w:rPr>
          <w:lang w:val="fr-CH"/>
        </w:rPr>
        <w:t xml:space="preserve"> peut être autorisé à fonctionner avec un statut secondaire </w:t>
      </w:r>
      <w:r w:rsidR="001F78ED">
        <w:rPr>
          <w:lang w:val="fr-CH"/>
        </w:rPr>
        <w:t>vis</w:t>
      </w:r>
      <w:r w:rsidR="00903395">
        <w:rPr>
          <w:lang w:val="fr-CH"/>
        </w:rPr>
        <w:noBreakHyphen/>
      </w:r>
      <w:r w:rsidR="001F78ED">
        <w:rPr>
          <w:lang w:val="fr-CH"/>
        </w:rPr>
        <w:t>à</w:t>
      </w:r>
      <w:r w:rsidR="00903395">
        <w:rPr>
          <w:lang w:val="fr-CH"/>
        </w:rPr>
        <w:noBreakHyphen/>
      </w:r>
      <w:r w:rsidR="001F78ED">
        <w:rPr>
          <w:lang w:val="fr-CH"/>
        </w:rPr>
        <w:t>vis des</w:t>
      </w:r>
      <w:r w:rsidR="00780BB6">
        <w:rPr>
          <w:lang w:val="fr-CH"/>
        </w:rPr>
        <w:t xml:space="preserve"> services fixe et mobile</w:t>
      </w:r>
      <w:r w:rsidRPr="00CF3204">
        <w:rPr>
          <w:lang w:val="fr-CH"/>
        </w:rPr>
        <w:t>,</w:t>
      </w:r>
    </w:p>
    <w:p w:rsidR="00615EAB" w:rsidRPr="00CF3204" w:rsidRDefault="00AE26FB" w:rsidP="00D36807">
      <w:pPr>
        <w:pStyle w:val="Caa"/>
        <w:rPr>
          <w:lang w:val="fr-CH"/>
        </w:rPr>
      </w:pPr>
      <w:r>
        <w:rPr>
          <w:lang w:val="fr-CH"/>
        </w:rPr>
        <w:t xml:space="preserve">reconnaissant </w:t>
      </w:r>
    </w:p>
    <w:p w:rsidR="00615EAB" w:rsidRPr="00CF3204" w:rsidRDefault="00615EAB" w:rsidP="001F78ED">
      <w:pPr>
        <w:rPr>
          <w:lang w:val="fr-CH"/>
        </w:rPr>
      </w:pPr>
      <w:r w:rsidRPr="00CF3204">
        <w:rPr>
          <w:i/>
          <w:lang w:val="fr-CH"/>
        </w:rPr>
        <w:t>a)</w:t>
      </w:r>
      <w:r w:rsidRPr="00CF3204">
        <w:rPr>
          <w:lang w:val="fr-CH"/>
        </w:rPr>
        <w:tab/>
      </w:r>
      <w:r w:rsidR="00AE26FB">
        <w:rPr>
          <w:lang w:val="fr-CH"/>
        </w:rPr>
        <w:t xml:space="preserve">que </w:t>
      </w:r>
      <w:r w:rsidR="001F78ED">
        <w:rPr>
          <w:lang w:val="fr-CH"/>
        </w:rPr>
        <w:t>des techniques ont</w:t>
      </w:r>
      <w:r w:rsidR="00AE26FB">
        <w:rPr>
          <w:lang w:val="fr-CH"/>
        </w:rPr>
        <w:t xml:space="preserve"> été </w:t>
      </w:r>
      <w:r w:rsidR="001F78ED">
        <w:rPr>
          <w:lang w:val="fr-CH"/>
        </w:rPr>
        <w:t>mises au point</w:t>
      </w:r>
      <w:r w:rsidR="00AE26FB">
        <w:rPr>
          <w:lang w:val="fr-CH"/>
        </w:rPr>
        <w:t xml:space="preserve"> en vue de permettre une utilisation plus efficace du spectre</w:t>
      </w:r>
      <w:r w:rsidRPr="00CF3204">
        <w:rPr>
          <w:lang w:val="fr-CH"/>
        </w:rPr>
        <w:t>;</w:t>
      </w:r>
    </w:p>
    <w:p w:rsidR="00615EAB" w:rsidRPr="00CF3204" w:rsidRDefault="00615EAB" w:rsidP="001F78ED">
      <w:pPr>
        <w:rPr>
          <w:lang w:val="fr-CH"/>
        </w:rPr>
      </w:pPr>
      <w:r w:rsidRPr="00CF3204">
        <w:rPr>
          <w:i/>
          <w:lang w:val="fr-CH"/>
        </w:rPr>
        <w:t>b)</w:t>
      </w:r>
      <w:r w:rsidRPr="00CF3204">
        <w:rPr>
          <w:i/>
          <w:lang w:val="fr-CH"/>
        </w:rPr>
        <w:tab/>
      </w:r>
      <w:r w:rsidR="00AE26FB">
        <w:rPr>
          <w:lang w:val="fr-CH"/>
        </w:rPr>
        <w:t>qu</w:t>
      </w:r>
      <w:r w:rsidR="00654F9C">
        <w:rPr>
          <w:lang w:val="fr-CH"/>
        </w:rPr>
        <w:t>'</w:t>
      </w:r>
      <w:r w:rsidR="00AE26FB">
        <w:rPr>
          <w:lang w:val="fr-CH"/>
        </w:rPr>
        <w:t>un mécanisme numérique d</w:t>
      </w:r>
      <w:r w:rsidR="00654F9C">
        <w:rPr>
          <w:lang w:val="fr-CH"/>
        </w:rPr>
        <w:t>'</w:t>
      </w:r>
      <w:r w:rsidR="00AE26FB">
        <w:rPr>
          <w:lang w:val="fr-CH"/>
        </w:rPr>
        <w:t xml:space="preserve">étalement du spectre sera utilisé pour réduire encore </w:t>
      </w:r>
      <w:r w:rsidR="001F78ED">
        <w:rPr>
          <w:lang w:val="fr-CH"/>
        </w:rPr>
        <w:t>les</w:t>
      </w:r>
      <w:r w:rsidR="00AE26FB">
        <w:rPr>
          <w:lang w:val="fr-CH"/>
        </w:rPr>
        <w:t xml:space="preserve"> brouillages </w:t>
      </w:r>
      <w:r w:rsidR="001F78ED">
        <w:rPr>
          <w:lang w:val="fr-CH"/>
        </w:rPr>
        <w:t>qui pourraient être</w:t>
      </w:r>
      <w:r w:rsidR="00AE26FB">
        <w:rPr>
          <w:lang w:val="fr-CH"/>
        </w:rPr>
        <w:t xml:space="preserve"> causés aux services existants dans la bande;</w:t>
      </w:r>
    </w:p>
    <w:p w:rsidR="00615EAB" w:rsidRPr="00CF3204" w:rsidRDefault="00615EAB" w:rsidP="001F78ED">
      <w:pPr>
        <w:rPr>
          <w:lang w:val="fr-CH"/>
        </w:rPr>
      </w:pPr>
      <w:r w:rsidRPr="00CF3204">
        <w:rPr>
          <w:i/>
          <w:lang w:val="fr-CH"/>
        </w:rPr>
        <w:lastRenderedPageBreak/>
        <w:t>c)</w:t>
      </w:r>
      <w:r w:rsidRPr="00CF3204">
        <w:rPr>
          <w:lang w:val="fr-CH"/>
        </w:rPr>
        <w:tab/>
      </w:r>
      <w:r w:rsidR="00AE26FB">
        <w:rPr>
          <w:lang w:val="fr-CH"/>
        </w:rPr>
        <w:t>que l</w:t>
      </w:r>
      <w:r w:rsidR="00654F9C">
        <w:rPr>
          <w:lang w:val="fr-CH"/>
        </w:rPr>
        <w:t>'</w:t>
      </w:r>
      <w:r w:rsidR="00AE26FB">
        <w:rPr>
          <w:lang w:val="fr-CH"/>
        </w:rPr>
        <w:t>utilisation d</w:t>
      </w:r>
      <w:r w:rsidR="00654F9C">
        <w:rPr>
          <w:lang w:val="fr-CH"/>
        </w:rPr>
        <w:t>'</w:t>
      </w:r>
      <w:r w:rsidR="00AE26FB">
        <w:rPr>
          <w:lang w:val="fr-CH"/>
        </w:rPr>
        <w:t xml:space="preserve">une liaison descendante entre le satellite et la plate-forme à 465,9875 MHz améliore </w:t>
      </w:r>
      <w:r w:rsidR="001F78ED">
        <w:rPr>
          <w:lang w:val="fr-CH"/>
        </w:rPr>
        <w:t>considérablement</w:t>
      </w:r>
      <w:r w:rsidR="00AE26FB">
        <w:rPr>
          <w:lang w:val="fr-CH"/>
        </w:rPr>
        <w:t xml:space="preserve"> la qualité de fonctionnement de la plate-forme et du système, y compris </w:t>
      </w:r>
      <w:r w:rsidR="00AE26FB" w:rsidRPr="00AE26FB">
        <w:rPr>
          <w:lang w:val="fr-CH"/>
        </w:rPr>
        <w:t>la latence des données</w:t>
      </w:r>
      <w:r w:rsidR="00AE26FB">
        <w:rPr>
          <w:lang w:val="fr-CH"/>
        </w:rPr>
        <w:t xml:space="preserve"> et la durée de vie de la batterie;</w:t>
      </w:r>
    </w:p>
    <w:p w:rsidR="00615EAB" w:rsidRPr="00CF3204" w:rsidRDefault="00615EAB" w:rsidP="001F78ED">
      <w:pPr>
        <w:rPr>
          <w:lang w:val="fr-CH"/>
        </w:rPr>
      </w:pPr>
      <w:r w:rsidRPr="00CF3204">
        <w:rPr>
          <w:i/>
          <w:lang w:val="fr-CH"/>
        </w:rPr>
        <w:t>d)</w:t>
      </w:r>
      <w:r w:rsidRPr="00CF3204">
        <w:rPr>
          <w:i/>
          <w:lang w:val="fr-CH"/>
        </w:rPr>
        <w:tab/>
      </w:r>
      <w:r w:rsidR="00D3731C">
        <w:rPr>
          <w:lang w:val="fr-CH"/>
        </w:rPr>
        <w:t>qu</w:t>
      </w:r>
      <w:r w:rsidR="00654F9C">
        <w:rPr>
          <w:lang w:val="fr-CH"/>
        </w:rPr>
        <w:t>'</w:t>
      </w:r>
      <w:r w:rsidR="00D3731C">
        <w:rPr>
          <w:lang w:val="fr-CH"/>
        </w:rPr>
        <w:t xml:space="preserve">en raison des investissements considérables consentis et </w:t>
      </w:r>
      <w:r w:rsidR="001F78ED">
        <w:rPr>
          <w:lang w:val="fr-CH"/>
        </w:rPr>
        <w:t>de l'essor</w:t>
      </w:r>
      <w:r w:rsidR="00D3731C">
        <w:rPr>
          <w:lang w:val="fr-CH"/>
        </w:rPr>
        <w:t xml:space="preserve"> important </w:t>
      </w:r>
      <w:r w:rsidR="001F78ED">
        <w:rPr>
          <w:lang w:val="fr-CH"/>
        </w:rPr>
        <w:t>du</w:t>
      </w:r>
      <w:r w:rsidR="00D3731C">
        <w:rPr>
          <w:lang w:val="fr-CH"/>
        </w:rPr>
        <w:t xml:space="preserve"> système</w:t>
      </w:r>
      <w:r w:rsidR="001F78ED">
        <w:rPr>
          <w:lang w:val="fr-CH"/>
        </w:rPr>
        <w:t xml:space="preserve"> ADCS</w:t>
      </w:r>
      <w:r w:rsidR="00D3731C">
        <w:rPr>
          <w:lang w:val="fr-CH"/>
        </w:rPr>
        <w:t>,</w:t>
      </w:r>
      <w:r w:rsidR="00C16555">
        <w:rPr>
          <w:lang w:val="fr-CH"/>
        </w:rPr>
        <w:t xml:space="preserve"> les futurs conflits ou problèmes de brouillage doivent être évités;</w:t>
      </w:r>
    </w:p>
    <w:p w:rsidR="00615EAB" w:rsidRPr="00CF3204" w:rsidRDefault="00615EAB" w:rsidP="00D36807">
      <w:pPr>
        <w:rPr>
          <w:lang w:val="fr-CH"/>
        </w:rPr>
      </w:pPr>
      <w:r w:rsidRPr="00CF3204">
        <w:rPr>
          <w:i/>
          <w:lang w:val="fr-CH"/>
        </w:rPr>
        <w:t>e)</w:t>
      </w:r>
      <w:r w:rsidRPr="00CF3204">
        <w:rPr>
          <w:lang w:val="fr-CH"/>
        </w:rPr>
        <w:t xml:space="preserve"> </w:t>
      </w:r>
      <w:r w:rsidRPr="00CF3204">
        <w:rPr>
          <w:lang w:val="fr-CH"/>
        </w:rPr>
        <w:tab/>
      </w:r>
      <w:r w:rsidR="00C16555">
        <w:rPr>
          <w:lang w:val="fr-CH"/>
        </w:rPr>
        <w:t>que la bande 460-470 MHz est attribuée aux services fixe et mobile à titre primaire dans toutes les Régions</w:t>
      </w:r>
      <w:r w:rsidRPr="00CF3204">
        <w:rPr>
          <w:lang w:val="fr-CH"/>
        </w:rPr>
        <w:t>;</w:t>
      </w:r>
    </w:p>
    <w:p w:rsidR="00615EAB" w:rsidRPr="00CF3204" w:rsidRDefault="00615EAB" w:rsidP="001F78ED">
      <w:pPr>
        <w:rPr>
          <w:lang w:val="fr-CH"/>
        </w:rPr>
      </w:pPr>
      <w:r w:rsidRPr="00CF3204">
        <w:rPr>
          <w:i/>
          <w:lang w:val="fr-CH"/>
        </w:rPr>
        <w:t>f)</w:t>
      </w:r>
      <w:r w:rsidRPr="00CF3204">
        <w:rPr>
          <w:lang w:val="fr-CH"/>
        </w:rPr>
        <w:tab/>
      </w:r>
      <w:r w:rsidR="00C16555" w:rsidRPr="00CF3204">
        <w:rPr>
          <w:lang w:val="fr-CH"/>
        </w:rPr>
        <w:t xml:space="preserve">que, conformément au numéro </w:t>
      </w:r>
      <w:r w:rsidR="00C16555" w:rsidRPr="001F78ED">
        <w:rPr>
          <w:b/>
          <w:bCs/>
          <w:lang w:val="fr-CH"/>
        </w:rPr>
        <w:t>5.286AA</w:t>
      </w:r>
      <w:r w:rsidR="00C16555" w:rsidRPr="00CF3204">
        <w:rPr>
          <w:lang w:val="fr-CH"/>
        </w:rPr>
        <w:t>, la bande 4</w:t>
      </w:r>
      <w:r w:rsidR="001F78ED">
        <w:rPr>
          <w:lang w:val="fr-CH"/>
        </w:rPr>
        <w:t>6</w:t>
      </w:r>
      <w:r w:rsidR="00C16555" w:rsidRPr="00CF3204">
        <w:rPr>
          <w:lang w:val="fr-CH"/>
        </w:rPr>
        <w:t>0-470 MHz est identifiée pour être utilisée par les administrations qui souhaitent mettre en oeuvre les Télécommunications mobiles internationales (IMT)</w:t>
      </w:r>
      <w:r w:rsidRPr="00CF3204">
        <w:rPr>
          <w:lang w:val="fr-CH"/>
        </w:rPr>
        <w:t>;</w:t>
      </w:r>
    </w:p>
    <w:p w:rsidR="00615EAB" w:rsidRPr="00CF3204" w:rsidRDefault="00615EAB" w:rsidP="001A6343">
      <w:pPr>
        <w:rPr>
          <w:lang w:val="fr-CH"/>
        </w:rPr>
      </w:pPr>
      <w:r w:rsidRPr="00CF3204">
        <w:rPr>
          <w:i/>
          <w:lang w:val="fr-CH"/>
        </w:rPr>
        <w:t>g)</w:t>
      </w:r>
      <w:r w:rsidRPr="00CF3204">
        <w:rPr>
          <w:lang w:val="fr-CH"/>
        </w:rPr>
        <w:tab/>
      </w:r>
      <w:r w:rsidR="008C6412">
        <w:rPr>
          <w:lang w:val="fr-CH"/>
        </w:rPr>
        <w:t>que les récepteurs au sol du service de météorologie par satellite ne demanderont pas à être protégés vis-à-vis des stations des services fixe et mobile primaires;</w:t>
      </w:r>
    </w:p>
    <w:p w:rsidR="00615EAB" w:rsidRPr="00CF3204" w:rsidRDefault="00615EAB" w:rsidP="00654F9C">
      <w:pPr>
        <w:rPr>
          <w:lang w:val="fr-CH"/>
        </w:rPr>
      </w:pPr>
      <w:r w:rsidRPr="00CF3204">
        <w:rPr>
          <w:i/>
          <w:lang w:val="fr-CH"/>
        </w:rPr>
        <w:t>h)</w:t>
      </w:r>
      <w:r w:rsidRPr="00CF3204">
        <w:rPr>
          <w:lang w:val="fr-CH"/>
        </w:rPr>
        <w:tab/>
      </w:r>
      <w:r w:rsidR="008C6412">
        <w:rPr>
          <w:lang w:val="fr-CH"/>
        </w:rPr>
        <w:t>qu</w:t>
      </w:r>
      <w:r w:rsidR="00654F9C">
        <w:rPr>
          <w:lang w:val="fr-CH"/>
        </w:rPr>
        <w:t>'</w:t>
      </w:r>
      <w:r w:rsidR="008C6412">
        <w:rPr>
          <w:lang w:val="fr-CH"/>
        </w:rPr>
        <w:t>au moins une administration a adopté des dispositions réglementaires au niveau national prévoyant une limite de puissance surfacique à la surface de la Terre de</w:t>
      </w:r>
      <w:r w:rsidRPr="00CF3204">
        <w:rPr>
          <w:color w:val="000000"/>
          <w:lang w:val="fr-CH"/>
        </w:rPr>
        <w:t xml:space="preserve"> </w:t>
      </w:r>
      <w:r w:rsidR="00654F9C" w:rsidRPr="00654F9C">
        <w:rPr>
          <w:lang w:val="fr-CH"/>
        </w:rPr>
        <w:t>−152 dBW/m</w:t>
      </w:r>
      <w:r w:rsidR="00654F9C" w:rsidRPr="00654F9C">
        <w:rPr>
          <w:vertAlign w:val="superscript"/>
          <w:lang w:val="fr-CH"/>
        </w:rPr>
        <w:t>2</w:t>
      </w:r>
      <w:r w:rsidR="00654F9C" w:rsidRPr="00654F9C">
        <w:rPr>
          <w:lang w:val="fr-CH"/>
        </w:rPr>
        <w:t>/4 kHz</w:t>
      </w:r>
      <w:r w:rsidRPr="00CF3204">
        <w:rPr>
          <w:color w:val="000000"/>
          <w:lang w:val="fr-CH"/>
        </w:rPr>
        <w:t xml:space="preserve"> </w:t>
      </w:r>
      <w:r w:rsidR="008C6412">
        <w:rPr>
          <w:color w:val="000000"/>
          <w:lang w:val="fr-CH"/>
        </w:rPr>
        <w:t>afin de protéger les services fixe et mobile dans la bande</w:t>
      </w:r>
      <w:r w:rsidRPr="00CF3204">
        <w:rPr>
          <w:color w:val="000000"/>
          <w:lang w:val="fr-CH"/>
        </w:rPr>
        <w:t>,</w:t>
      </w:r>
    </w:p>
    <w:p w:rsidR="00615EAB" w:rsidRPr="00CF3204" w:rsidRDefault="008C6412" w:rsidP="00D36807">
      <w:pPr>
        <w:pStyle w:val="Call"/>
        <w:rPr>
          <w:lang w:val="fr-CH"/>
        </w:rPr>
      </w:pPr>
      <w:r>
        <w:rPr>
          <w:lang w:val="fr-CH"/>
        </w:rPr>
        <w:t xml:space="preserve">décide </w:t>
      </w:r>
    </w:p>
    <w:p w:rsidR="00615EAB" w:rsidRPr="00CF3204" w:rsidRDefault="001A6343" w:rsidP="00654F9C">
      <w:pPr>
        <w:rPr>
          <w:lang w:val="fr-CH"/>
        </w:rPr>
      </w:pPr>
      <w:r>
        <w:rPr>
          <w:lang w:val="fr-CH"/>
        </w:rPr>
        <w:t>que</w:t>
      </w:r>
      <w:r w:rsidR="008C6412">
        <w:rPr>
          <w:lang w:val="fr-CH"/>
        </w:rPr>
        <w:t>, compte tenu des résultats des études de l</w:t>
      </w:r>
      <w:r w:rsidR="00654F9C">
        <w:rPr>
          <w:lang w:val="fr-CH"/>
        </w:rPr>
        <w:t>'</w:t>
      </w:r>
      <w:r w:rsidR="008C6412">
        <w:rPr>
          <w:lang w:val="fr-CH"/>
        </w:rPr>
        <w:t>UIT-R,</w:t>
      </w:r>
      <w:r w:rsidR="00602986">
        <w:rPr>
          <w:lang w:val="fr-CH"/>
        </w:rPr>
        <w:t xml:space="preserve"> </w:t>
      </w:r>
      <w:r>
        <w:rPr>
          <w:lang w:val="fr-CH"/>
        </w:rPr>
        <w:t>la CMR-19 envisagera</w:t>
      </w:r>
      <w:r w:rsidR="00602986">
        <w:rPr>
          <w:lang w:val="fr-CH"/>
        </w:rPr>
        <w:t xml:space="preserve"> de</w:t>
      </w:r>
      <w:r>
        <w:rPr>
          <w:lang w:val="fr-CH"/>
        </w:rPr>
        <w:t xml:space="preserve"> relever au statut primaire</w:t>
      </w:r>
      <w:r w:rsidR="00602986">
        <w:rPr>
          <w:lang w:val="fr-CH"/>
        </w:rPr>
        <w:t xml:space="preserve"> l</w:t>
      </w:r>
      <w:r w:rsidR="00654F9C">
        <w:rPr>
          <w:lang w:val="fr-CH"/>
        </w:rPr>
        <w:t>'</w:t>
      </w:r>
      <w:r w:rsidR="00602986">
        <w:rPr>
          <w:lang w:val="fr-CH"/>
        </w:rPr>
        <w:t>attribution actuelle à titre secondaire au service de météorologie par satellite (espace vers Terre) dans la bande de fréquences 460-470 MHz, sans imposer de contrainte</w:t>
      </w:r>
      <w:r>
        <w:rPr>
          <w:lang w:val="fr-CH"/>
        </w:rPr>
        <w:t>s</w:t>
      </w:r>
      <w:r w:rsidR="00602986">
        <w:rPr>
          <w:lang w:val="fr-CH"/>
        </w:rPr>
        <w:t xml:space="preserve"> supplémentaire</w:t>
      </w:r>
      <w:r>
        <w:rPr>
          <w:lang w:val="fr-CH"/>
        </w:rPr>
        <w:t>s</w:t>
      </w:r>
      <w:r w:rsidR="00602986">
        <w:rPr>
          <w:lang w:val="fr-CH"/>
        </w:rPr>
        <w:t xml:space="preserve"> aux services primaires existants dans la bande et établir</w:t>
      </w:r>
      <w:r>
        <w:rPr>
          <w:lang w:val="fr-CH"/>
        </w:rPr>
        <w:t>a</w:t>
      </w:r>
      <w:r w:rsidR="00602986">
        <w:rPr>
          <w:lang w:val="fr-CH"/>
        </w:rPr>
        <w:t xml:space="preserve"> une limite de puissance surfacique qui ne </w:t>
      </w:r>
      <w:r>
        <w:rPr>
          <w:lang w:val="fr-CH"/>
        </w:rPr>
        <w:t>sera</w:t>
      </w:r>
      <w:r w:rsidR="00602986">
        <w:rPr>
          <w:lang w:val="fr-CH"/>
        </w:rPr>
        <w:t xml:space="preserve"> pas</w:t>
      </w:r>
      <w:r>
        <w:rPr>
          <w:lang w:val="fr-CH"/>
        </w:rPr>
        <w:t xml:space="preserve"> supérieure à</w:t>
      </w:r>
      <w:r w:rsidR="00615EAB" w:rsidRPr="00CF3204">
        <w:rPr>
          <w:lang w:val="fr-CH"/>
        </w:rPr>
        <w:t xml:space="preserve"> </w:t>
      </w:r>
      <w:r w:rsidR="00654F9C" w:rsidRPr="00654F9C">
        <w:rPr>
          <w:lang w:val="fr-CH"/>
        </w:rPr>
        <w:t>−152 dBW/m</w:t>
      </w:r>
      <w:r w:rsidR="00654F9C" w:rsidRPr="00654F9C">
        <w:rPr>
          <w:vertAlign w:val="superscript"/>
          <w:lang w:val="fr-CH"/>
        </w:rPr>
        <w:t>2</w:t>
      </w:r>
      <w:r w:rsidR="00654F9C" w:rsidRPr="00654F9C">
        <w:rPr>
          <w:lang w:val="fr-CH"/>
        </w:rPr>
        <w:t>/4 kHz</w:t>
      </w:r>
      <w:r w:rsidR="00615EAB" w:rsidRPr="00CF3204">
        <w:rPr>
          <w:lang w:val="fr-CH"/>
        </w:rPr>
        <w:t xml:space="preserve"> </w:t>
      </w:r>
      <w:r w:rsidR="00602986">
        <w:rPr>
          <w:lang w:val="fr-CH"/>
        </w:rPr>
        <w:t>à la surface de la Terre afin de protéger ces services primaires</w:t>
      </w:r>
      <w:r w:rsidR="00615EAB" w:rsidRPr="00CF3204">
        <w:rPr>
          <w:lang w:val="fr-CH"/>
        </w:rPr>
        <w:t>,</w:t>
      </w:r>
    </w:p>
    <w:p w:rsidR="00615EAB" w:rsidRPr="00CF3204" w:rsidRDefault="00602986" w:rsidP="00D36807">
      <w:pPr>
        <w:pStyle w:val="Call"/>
        <w:rPr>
          <w:lang w:val="fr-CH"/>
        </w:rPr>
      </w:pPr>
      <w:r>
        <w:rPr>
          <w:lang w:val="fr-CH"/>
        </w:rPr>
        <w:t>décide d</w:t>
      </w:r>
      <w:r w:rsidR="00654F9C">
        <w:rPr>
          <w:lang w:val="fr-CH"/>
        </w:rPr>
        <w:t>'</w:t>
      </w:r>
      <w:r>
        <w:rPr>
          <w:lang w:val="fr-CH"/>
        </w:rPr>
        <w:t>inviter l</w:t>
      </w:r>
      <w:r w:rsidR="00654F9C">
        <w:rPr>
          <w:lang w:val="fr-CH"/>
        </w:rPr>
        <w:t>'</w:t>
      </w:r>
      <w:r>
        <w:rPr>
          <w:lang w:val="fr-CH"/>
        </w:rPr>
        <w:t>UIT-</w:t>
      </w:r>
      <w:r w:rsidR="00615EAB" w:rsidRPr="00CF3204">
        <w:rPr>
          <w:lang w:val="fr-CH"/>
        </w:rPr>
        <w:t>R</w:t>
      </w:r>
    </w:p>
    <w:p w:rsidR="00615EAB" w:rsidRPr="00CF3204" w:rsidRDefault="00615EAB" w:rsidP="00D36807">
      <w:pPr>
        <w:rPr>
          <w:lang w:val="fr-CH"/>
        </w:rPr>
      </w:pPr>
      <w:r w:rsidRPr="00CF3204">
        <w:rPr>
          <w:lang w:val="fr-CH"/>
        </w:rPr>
        <w:t>1</w:t>
      </w:r>
      <w:r w:rsidRPr="00CF3204">
        <w:rPr>
          <w:lang w:val="fr-CH"/>
        </w:rPr>
        <w:tab/>
      </w:r>
      <w:r w:rsidR="000A111A">
        <w:rPr>
          <w:lang w:val="fr-CH"/>
        </w:rPr>
        <w:t>à mener</w:t>
      </w:r>
      <w:r w:rsidR="001A6343">
        <w:rPr>
          <w:lang w:val="fr-CH"/>
        </w:rPr>
        <w:t>,</w:t>
      </w:r>
      <w:r w:rsidR="000A111A">
        <w:rPr>
          <w:lang w:val="fr-CH"/>
        </w:rPr>
        <w:t xml:space="preserve"> à temps pour la CMR-19, des études relatives au partage et à la compatibilité entre le service de météorologie par satellite (espace vers Terre) et les services fixe et mobile primaires dans la bande 460-470 MHz et dans les bandes adjacentes, selon qu</w:t>
      </w:r>
      <w:r w:rsidR="00654F9C">
        <w:rPr>
          <w:lang w:val="fr-CH"/>
        </w:rPr>
        <w:t>'</w:t>
      </w:r>
      <w:r w:rsidR="000A111A">
        <w:rPr>
          <w:lang w:val="fr-CH"/>
        </w:rPr>
        <w:t>il conviendra</w:t>
      </w:r>
      <w:r w:rsidRPr="00CF3204">
        <w:rPr>
          <w:lang w:val="fr-CH"/>
        </w:rPr>
        <w:t>;</w:t>
      </w:r>
    </w:p>
    <w:p w:rsidR="00615EAB" w:rsidRPr="00CF3204" w:rsidRDefault="00615EAB" w:rsidP="00654F9C">
      <w:pPr>
        <w:rPr>
          <w:lang w:val="fr-CH"/>
        </w:rPr>
      </w:pPr>
      <w:r w:rsidRPr="00CF3204">
        <w:rPr>
          <w:lang w:val="fr-CH"/>
        </w:rPr>
        <w:t>2</w:t>
      </w:r>
      <w:r w:rsidRPr="00CF3204">
        <w:rPr>
          <w:lang w:val="fr-CH"/>
        </w:rPr>
        <w:tab/>
      </w:r>
      <w:r w:rsidR="000A111A">
        <w:rPr>
          <w:lang w:val="fr-CH"/>
        </w:rPr>
        <w:t>à achever les études, compte tenu de l</w:t>
      </w:r>
      <w:r w:rsidR="00654F9C">
        <w:rPr>
          <w:lang w:val="fr-CH"/>
        </w:rPr>
        <w:t>'</w:t>
      </w:r>
      <w:r w:rsidR="000A111A">
        <w:rPr>
          <w:lang w:val="fr-CH"/>
        </w:rPr>
        <w:t xml:space="preserve">utilisation actuelle de la bande attribuée, afin de déterminer la limite de puissance surfacique appropriée à imposer au service de météorologie par satellite (espace vers Terre) </w:t>
      </w:r>
      <w:r w:rsidR="001A6343">
        <w:rPr>
          <w:lang w:val="fr-CH"/>
        </w:rPr>
        <w:t>pour</w:t>
      </w:r>
      <w:r w:rsidR="000A111A">
        <w:rPr>
          <w:lang w:val="fr-CH"/>
        </w:rPr>
        <w:t xml:space="preserve"> protéger les services primaires existants dans la bande, </w:t>
      </w:r>
      <w:r w:rsidR="001A6343">
        <w:rPr>
          <w:lang w:val="fr-CH"/>
        </w:rPr>
        <w:t xml:space="preserve">limite </w:t>
      </w:r>
      <w:r w:rsidR="000A111A">
        <w:rPr>
          <w:lang w:val="fr-CH"/>
        </w:rPr>
        <w:t xml:space="preserve">qui ne </w:t>
      </w:r>
      <w:r w:rsidR="00654F9C">
        <w:rPr>
          <w:lang w:val="fr-CH"/>
        </w:rPr>
        <w:t>sera</w:t>
      </w:r>
      <w:r w:rsidR="000A111A">
        <w:rPr>
          <w:lang w:val="fr-CH"/>
        </w:rPr>
        <w:t xml:space="preserve"> pas </w:t>
      </w:r>
      <w:r w:rsidR="00654F9C">
        <w:rPr>
          <w:lang w:val="fr-CH"/>
        </w:rPr>
        <w:t>supérieure à</w:t>
      </w:r>
      <w:r w:rsidRPr="00CF3204">
        <w:rPr>
          <w:lang w:val="fr-CH"/>
        </w:rPr>
        <w:t xml:space="preserve"> </w:t>
      </w:r>
      <w:r w:rsidR="00654F9C" w:rsidRPr="00654F9C">
        <w:rPr>
          <w:lang w:val="fr-CH"/>
        </w:rPr>
        <w:t>−152 dBW/m</w:t>
      </w:r>
      <w:r w:rsidR="00654F9C" w:rsidRPr="00654F9C">
        <w:rPr>
          <w:vertAlign w:val="superscript"/>
          <w:lang w:val="fr-CH"/>
        </w:rPr>
        <w:t>2</w:t>
      </w:r>
      <w:r w:rsidR="00654F9C" w:rsidRPr="00654F9C">
        <w:rPr>
          <w:lang w:val="fr-CH"/>
        </w:rPr>
        <w:t>/4 kHz</w:t>
      </w:r>
      <w:r w:rsidRPr="00CF3204">
        <w:rPr>
          <w:lang w:val="fr-CH"/>
        </w:rPr>
        <w:t xml:space="preserve"> </w:t>
      </w:r>
      <w:r w:rsidR="000A111A">
        <w:rPr>
          <w:lang w:val="fr-CH"/>
        </w:rPr>
        <w:t>à la surface de la Terre</w:t>
      </w:r>
      <w:r w:rsidRPr="00CF3204">
        <w:rPr>
          <w:lang w:val="fr-CH"/>
        </w:rPr>
        <w:t>,</w:t>
      </w:r>
    </w:p>
    <w:p w:rsidR="00615EAB" w:rsidRPr="00CF3204" w:rsidRDefault="000A111A" w:rsidP="00D36807">
      <w:pPr>
        <w:pStyle w:val="Call"/>
        <w:rPr>
          <w:lang w:val="fr-CH"/>
        </w:rPr>
      </w:pPr>
      <w:r>
        <w:rPr>
          <w:lang w:val="fr-CH"/>
        </w:rPr>
        <w:t>invite les administrations</w:t>
      </w:r>
    </w:p>
    <w:p w:rsidR="00615EAB" w:rsidRPr="00CF3204" w:rsidRDefault="0007086C" w:rsidP="001A6343">
      <w:pPr>
        <w:rPr>
          <w:lang w:val="fr-CH"/>
        </w:rPr>
      </w:pPr>
      <w:r>
        <w:rPr>
          <w:lang w:val="fr-CH"/>
        </w:rPr>
        <w:t>à participer activement aux études et à fournir les caractéristiques techniques et opérationnelles des systèmes concernés en soumettant des contributions à l</w:t>
      </w:r>
      <w:r w:rsidR="00654F9C">
        <w:rPr>
          <w:lang w:val="fr-CH"/>
        </w:rPr>
        <w:t>'</w:t>
      </w:r>
      <w:r>
        <w:rPr>
          <w:lang w:val="fr-CH"/>
        </w:rPr>
        <w:t>UIT-R</w:t>
      </w:r>
      <w:r w:rsidR="00615EAB" w:rsidRPr="00CF3204">
        <w:rPr>
          <w:lang w:val="fr-CH"/>
        </w:rPr>
        <w:t>,</w:t>
      </w:r>
    </w:p>
    <w:p w:rsidR="00615EAB" w:rsidRPr="00CF3204" w:rsidRDefault="0007086C" w:rsidP="00D36807">
      <w:pPr>
        <w:pStyle w:val="Call"/>
        <w:rPr>
          <w:lang w:val="fr-CH"/>
        </w:rPr>
      </w:pPr>
      <w:r>
        <w:rPr>
          <w:lang w:val="fr-CH"/>
        </w:rPr>
        <w:t>charge le Secrétaire général</w:t>
      </w:r>
    </w:p>
    <w:p w:rsidR="00615EAB" w:rsidRPr="00CF3204" w:rsidRDefault="0007086C" w:rsidP="00D36807">
      <w:pPr>
        <w:rPr>
          <w:lang w:val="fr-CH"/>
        </w:rPr>
      </w:pPr>
      <w:r>
        <w:rPr>
          <w:lang w:val="fr-CH"/>
        </w:rPr>
        <w:t>de porter la présente Résolution à l</w:t>
      </w:r>
      <w:r w:rsidR="00654F9C">
        <w:rPr>
          <w:lang w:val="fr-CH"/>
        </w:rPr>
        <w:t>'</w:t>
      </w:r>
      <w:r>
        <w:rPr>
          <w:lang w:val="fr-CH"/>
        </w:rPr>
        <w:t xml:space="preserve">attention du </w:t>
      </w:r>
      <w:r w:rsidRPr="0007086C">
        <w:rPr>
          <w:lang w:val="fr-CH"/>
        </w:rPr>
        <w:t>Groupe de coordination des fréquences pour les systèmes spatiaux (SFCG</w:t>
      </w:r>
      <w:r>
        <w:rPr>
          <w:lang w:val="fr-CH"/>
        </w:rPr>
        <w:t>) et des autres organisations internationales ou régionales concernées.</w:t>
      </w:r>
    </w:p>
    <w:p w:rsidR="00615EAB" w:rsidRPr="00CF3204" w:rsidRDefault="00E36783" w:rsidP="00D36807">
      <w:pPr>
        <w:pStyle w:val="Reasons"/>
        <w:rPr>
          <w:lang w:val="fr-CH"/>
        </w:rPr>
      </w:pPr>
      <w:r w:rsidRPr="00CF3204">
        <w:rPr>
          <w:b/>
          <w:lang w:val="fr-CH"/>
        </w:rPr>
        <w:t>Motifs</w:t>
      </w:r>
      <w:r w:rsidR="00615EAB" w:rsidRPr="00CF3204">
        <w:rPr>
          <w:b/>
          <w:lang w:val="fr-CH"/>
        </w:rPr>
        <w:t>:</w:t>
      </w:r>
      <w:r w:rsidR="00615EAB" w:rsidRPr="00CF3204">
        <w:rPr>
          <w:lang w:val="fr-CH"/>
        </w:rPr>
        <w:tab/>
      </w:r>
      <w:r w:rsidR="0007086C">
        <w:rPr>
          <w:lang w:val="fr-CH"/>
        </w:rPr>
        <w:t>Une résolution appuiera les études devant être menée</w:t>
      </w:r>
      <w:r w:rsidR="001A6343">
        <w:rPr>
          <w:lang w:val="fr-CH"/>
        </w:rPr>
        <w:t>s</w:t>
      </w:r>
      <w:r w:rsidR="0007086C">
        <w:rPr>
          <w:lang w:val="fr-CH"/>
        </w:rPr>
        <w:t xml:space="preserve"> par l</w:t>
      </w:r>
      <w:r w:rsidR="00654F9C">
        <w:rPr>
          <w:lang w:val="fr-CH"/>
        </w:rPr>
        <w:t>'</w:t>
      </w:r>
      <w:r w:rsidR="0007086C">
        <w:rPr>
          <w:lang w:val="fr-CH"/>
        </w:rPr>
        <w:t>UIT-R au titre du point pertinent de l</w:t>
      </w:r>
      <w:r w:rsidR="00654F9C">
        <w:rPr>
          <w:lang w:val="fr-CH"/>
        </w:rPr>
        <w:t>'</w:t>
      </w:r>
      <w:r w:rsidR="0007086C">
        <w:rPr>
          <w:lang w:val="fr-CH"/>
        </w:rPr>
        <w:t>ordre du jour de la CMR-19.</w:t>
      </w:r>
    </w:p>
    <w:p w:rsidR="00615EAB" w:rsidRPr="00D36807" w:rsidRDefault="00615EAB" w:rsidP="00D36807">
      <w:pPr>
        <w:pStyle w:val="Proposal"/>
        <w:rPr>
          <w:lang w:val="en-US"/>
        </w:rPr>
      </w:pPr>
      <w:r w:rsidRPr="00D36807">
        <w:rPr>
          <w:lang w:val="en-US"/>
        </w:rPr>
        <w:t>SUP</w:t>
      </w:r>
      <w:r w:rsidRPr="00D36807">
        <w:rPr>
          <w:lang w:val="en-US"/>
        </w:rPr>
        <w:tab/>
        <w:t>IAP/7A24A1/3</w:t>
      </w:r>
    </w:p>
    <w:p w:rsidR="00615EAB" w:rsidRPr="00D36807" w:rsidRDefault="00615EAB" w:rsidP="00654F9C">
      <w:pPr>
        <w:pStyle w:val="ResNo"/>
        <w:rPr>
          <w:lang w:val="en-US"/>
        </w:rPr>
      </w:pPr>
      <w:bookmarkStart w:id="7" w:name="_Toc327364588"/>
      <w:r w:rsidRPr="00D36807">
        <w:rPr>
          <w:lang w:val="en-US"/>
        </w:rPr>
        <w:t>R</w:t>
      </w:r>
      <w:r w:rsidR="00654F9C">
        <w:rPr>
          <w:lang w:val="en-US"/>
        </w:rPr>
        <w:t>é</w:t>
      </w:r>
      <w:r w:rsidRPr="00D36807">
        <w:rPr>
          <w:lang w:val="en-US"/>
        </w:rPr>
        <w:t xml:space="preserve">SOLUTION </w:t>
      </w:r>
      <w:r w:rsidRPr="00D36807">
        <w:rPr>
          <w:rStyle w:val="href"/>
          <w:lang w:val="en-US"/>
        </w:rPr>
        <w:t>808</w:t>
      </w:r>
      <w:r w:rsidRPr="00D36807">
        <w:rPr>
          <w:lang w:val="en-US"/>
        </w:rPr>
        <w:t xml:space="preserve"> (C</w:t>
      </w:r>
      <w:r w:rsidR="00654F9C">
        <w:rPr>
          <w:lang w:val="en-US"/>
        </w:rPr>
        <w:t>MR</w:t>
      </w:r>
      <w:r w:rsidRPr="00D36807">
        <w:rPr>
          <w:lang w:val="en-US"/>
        </w:rPr>
        <w:noBreakHyphen/>
        <w:t>12)</w:t>
      </w:r>
      <w:bookmarkEnd w:id="7"/>
    </w:p>
    <w:p w:rsidR="00615EAB" w:rsidRPr="00CF3204" w:rsidRDefault="00E36783" w:rsidP="00D36807">
      <w:pPr>
        <w:pStyle w:val="Restitle"/>
        <w:rPr>
          <w:lang w:val="fr-CH"/>
        </w:rPr>
      </w:pPr>
      <w:r w:rsidRPr="00CF3204">
        <w:rPr>
          <w:lang w:val="fr-CH"/>
        </w:rPr>
        <w:t>Ordre du jour préliminaire de la Conférence mondiale</w:t>
      </w:r>
      <w:r w:rsidRPr="00CF3204">
        <w:rPr>
          <w:lang w:val="fr-CH"/>
        </w:rPr>
        <w:br/>
        <w:t>des radiocommunications de 2018</w:t>
      </w:r>
    </w:p>
    <w:p w:rsidR="00615EAB" w:rsidRDefault="00E36783" w:rsidP="00D36807">
      <w:pPr>
        <w:pStyle w:val="Reasons"/>
        <w:rPr>
          <w:lang w:val="fr-CH"/>
        </w:rPr>
      </w:pPr>
      <w:r w:rsidRPr="00CF3204">
        <w:rPr>
          <w:b/>
          <w:lang w:val="fr-CH"/>
        </w:rPr>
        <w:t>Motifs</w:t>
      </w:r>
      <w:r w:rsidR="00615EAB" w:rsidRPr="00CF3204">
        <w:rPr>
          <w:b/>
          <w:lang w:val="fr-CH"/>
        </w:rPr>
        <w:t>:</w:t>
      </w:r>
      <w:r w:rsidR="00615EAB" w:rsidRPr="00CF3204">
        <w:rPr>
          <w:lang w:val="fr-CH"/>
        </w:rPr>
        <w:tab/>
      </w:r>
      <w:r w:rsidR="0007086C">
        <w:rPr>
          <w:lang w:val="fr-CH"/>
        </w:rPr>
        <w:t>Cette Résolution</w:t>
      </w:r>
      <w:r w:rsidR="001A6343">
        <w:rPr>
          <w:lang w:val="fr-CH"/>
        </w:rPr>
        <w:t xml:space="preserve"> doit</w:t>
      </w:r>
      <w:r w:rsidR="0007086C">
        <w:rPr>
          <w:lang w:val="fr-CH"/>
        </w:rPr>
        <w:t xml:space="preserve"> être supprimée car la CMR-15 élaborera une nouvelle Résolution qui contiendra l</w:t>
      </w:r>
      <w:r w:rsidR="00654F9C">
        <w:rPr>
          <w:lang w:val="fr-CH"/>
        </w:rPr>
        <w:t>'</w:t>
      </w:r>
      <w:r w:rsidR="0007086C">
        <w:rPr>
          <w:lang w:val="fr-CH"/>
        </w:rPr>
        <w:t>ordre du jour de la CMR-19.</w:t>
      </w:r>
    </w:p>
    <w:p w:rsidR="00654F9C" w:rsidRPr="00CF3204" w:rsidRDefault="00654F9C" w:rsidP="00D36807">
      <w:pPr>
        <w:pStyle w:val="Reasons"/>
        <w:rPr>
          <w:szCs w:val="24"/>
          <w:lang w:val="fr-CH"/>
        </w:rPr>
      </w:pPr>
    </w:p>
    <w:p w:rsidR="00ED43F8" w:rsidRPr="00CF3204" w:rsidRDefault="00ED43F8" w:rsidP="00D36807">
      <w:pPr>
        <w:tabs>
          <w:tab w:val="clear" w:pos="1134"/>
          <w:tab w:val="clear" w:pos="1871"/>
          <w:tab w:val="clear" w:pos="2268"/>
        </w:tabs>
        <w:overflowPunct/>
        <w:autoSpaceDE/>
        <w:autoSpaceDN/>
        <w:adjustRightInd/>
        <w:spacing w:before="0"/>
        <w:textAlignment w:val="auto"/>
        <w:rPr>
          <w:lang w:val="fr-CH"/>
        </w:rPr>
      </w:pPr>
      <w:r w:rsidRPr="00CF3204">
        <w:rPr>
          <w:lang w:val="fr-CH"/>
        </w:rPr>
        <w:br w:type="page"/>
      </w:r>
    </w:p>
    <w:p w:rsidR="00ED43F8" w:rsidRPr="00CF3204" w:rsidRDefault="00ED43F8" w:rsidP="00D36807">
      <w:pPr>
        <w:pStyle w:val="AnnexNo"/>
        <w:rPr>
          <w:lang w:val="fr-CH"/>
        </w:rPr>
      </w:pPr>
      <w:r w:rsidRPr="00CF3204">
        <w:rPr>
          <w:lang w:val="fr-CH"/>
        </w:rPr>
        <w:t xml:space="preserve">ANNEXE </w:t>
      </w:r>
    </w:p>
    <w:p w:rsidR="00ED43F8" w:rsidRPr="00CF3204" w:rsidRDefault="0007086C" w:rsidP="003862F1">
      <w:pPr>
        <w:pStyle w:val="Annextitle"/>
        <w:spacing w:before="160" w:after="200"/>
        <w:rPr>
          <w:lang w:val="fr-CH"/>
        </w:rPr>
      </w:pPr>
      <w:r>
        <w:rPr>
          <w:lang w:val="fr-CH"/>
        </w:rPr>
        <w:t xml:space="preserve">PROPOSITION DE NOUVEAU POINT </w:t>
      </w:r>
      <w:r w:rsidR="003862F1">
        <w:rPr>
          <w:lang w:val="fr-CH"/>
        </w:rPr>
        <w:t>À</w:t>
      </w:r>
      <w:r>
        <w:rPr>
          <w:lang w:val="fr-CH"/>
        </w:rPr>
        <w:t xml:space="preserve"> INSCRIRE </w:t>
      </w:r>
      <w:r w:rsidR="003862F1">
        <w:rPr>
          <w:lang w:val="fr-CH"/>
        </w:rPr>
        <w:t>À</w:t>
      </w:r>
      <w:r>
        <w:rPr>
          <w:lang w:val="fr-CH"/>
        </w:rPr>
        <w:t xml:space="preserve"> L</w:t>
      </w:r>
      <w:r w:rsidR="00654F9C">
        <w:rPr>
          <w:lang w:val="fr-CH"/>
        </w:rPr>
        <w:t>'</w:t>
      </w:r>
      <w:r>
        <w:rPr>
          <w:lang w:val="fr-CH"/>
        </w:rPr>
        <w:t xml:space="preserve">ORDRE DU JOUR POUR </w:t>
      </w:r>
      <w:r w:rsidR="003862F1">
        <w:rPr>
          <w:lang w:val="fr-CH"/>
        </w:rPr>
        <w:t>É</w:t>
      </w:r>
      <w:r>
        <w:rPr>
          <w:lang w:val="fr-CH"/>
        </w:rPr>
        <w:t>TUDIER L</w:t>
      </w:r>
      <w:r w:rsidR="00654F9C">
        <w:rPr>
          <w:lang w:val="fr-CH"/>
        </w:rPr>
        <w:t>'</w:t>
      </w:r>
      <w:r>
        <w:rPr>
          <w:lang w:val="fr-CH"/>
        </w:rPr>
        <w:t>ATTRIBUTION AU SERVICE DE M</w:t>
      </w:r>
      <w:r w:rsidR="003862F1">
        <w:rPr>
          <w:lang w:val="fr-CH"/>
        </w:rPr>
        <w:t>É</w:t>
      </w:r>
      <w:r>
        <w:rPr>
          <w:lang w:val="fr-CH"/>
        </w:rPr>
        <w:t>T</w:t>
      </w:r>
      <w:r w:rsidR="003862F1">
        <w:rPr>
          <w:lang w:val="fr-CH"/>
        </w:rPr>
        <w:t>É</w:t>
      </w:r>
      <w:r>
        <w:rPr>
          <w:lang w:val="fr-CH"/>
        </w:rPr>
        <w:t>OROLOGIE PAR SATELLITE DANS LA BANDE 460-470 MH</w:t>
      </w:r>
      <w:r w:rsidR="003862F1">
        <w:rPr>
          <w:lang w:val="fr-CH"/>
        </w:rPr>
        <w:t>z</w:t>
      </w:r>
    </w:p>
    <w:p w:rsidR="00ED43F8" w:rsidRDefault="00ED43F8" w:rsidP="001A6343">
      <w:pPr>
        <w:pStyle w:val="Headingb"/>
        <w:spacing w:before="360"/>
        <w:ind w:left="1134" w:hanging="1134"/>
        <w:rPr>
          <w:b w:val="0"/>
          <w:bCs/>
          <w:lang w:val="fr-CH"/>
        </w:rPr>
      </w:pPr>
      <w:r w:rsidRPr="0007086C">
        <w:rPr>
          <w:i/>
          <w:iCs/>
          <w:lang w:val="fr-CH"/>
        </w:rPr>
        <w:t>Objet</w:t>
      </w:r>
      <w:r w:rsidRPr="00CF3204">
        <w:rPr>
          <w:lang w:val="fr-CH"/>
        </w:rPr>
        <w:t xml:space="preserve">: </w:t>
      </w:r>
      <w:r w:rsidRPr="00CF3204">
        <w:rPr>
          <w:lang w:val="fr-CH"/>
        </w:rPr>
        <w:tab/>
      </w:r>
      <w:r w:rsidR="0091728E" w:rsidRPr="0091728E">
        <w:rPr>
          <w:b w:val="0"/>
          <w:bCs/>
          <w:lang w:val="fr-CH"/>
        </w:rPr>
        <w:t>Proposition de nouveau point à inscrire à l</w:t>
      </w:r>
      <w:r w:rsidR="00654F9C">
        <w:rPr>
          <w:b w:val="0"/>
          <w:bCs/>
          <w:lang w:val="fr-CH"/>
        </w:rPr>
        <w:t>'</w:t>
      </w:r>
      <w:r w:rsidR="0091728E" w:rsidRPr="0091728E">
        <w:rPr>
          <w:b w:val="0"/>
          <w:bCs/>
          <w:lang w:val="fr-CH"/>
        </w:rPr>
        <w:t>ordre du jour de la CMR-19 pour étudier l</w:t>
      </w:r>
      <w:r w:rsidR="00654F9C">
        <w:rPr>
          <w:b w:val="0"/>
          <w:bCs/>
          <w:lang w:val="fr-CH"/>
        </w:rPr>
        <w:t>'</w:t>
      </w:r>
      <w:r w:rsidR="0091728E" w:rsidRPr="0091728E">
        <w:rPr>
          <w:b w:val="0"/>
          <w:bCs/>
          <w:lang w:val="fr-CH"/>
        </w:rPr>
        <w:t>attribution au service de météorologie par satellite dans la bande 460-470 MHz</w:t>
      </w:r>
    </w:p>
    <w:p w:rsidR="00654F9C" w:rsidRPr="00500D99" w:rsidRDefault="00654F9C" w:rsidP="00654F9C">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lang w:val="en-US"/>
        </w:rPr>
      </w:pPr>
    </w:p>
    <w:p w:rsidR="00654F9C" w:rsidRPr="003862F1" w:rsidRDefault="00654F9C" w:rsidP="00654F9C">
      <w:pPr>
        <w:spacing w:before="0"/>
        <w:rPr>
          <w:b/>
          <w:spacing w:val="-1"/>
          <w:sz w:val="16"/>
          <w:szCs w:val="16"/>
          <w:lang w:val="en-US"/>
        </w:rPr>
      </w:pPr>
    </w:p>
    <w:p w:rsidR="00654F9C" w:rsidRPr="003862F1" w:rsidRDefault="00654F9C" w:rsidP="003862F1">
      <w:pPr>
        <w:spacing w:before="0"/>
        <w:rPr>
          <w:lang w:val="fr-CH"/>
        </w:rPr>
      </w:pPr>
      <w:r w:rsidRPr="003862F1">
        <w:rPr>
          <w:b/>
          <w:i/>
          <w:iCs/>
          <w:spacing w:val="-1"/>
          <w:lang w:val="fr-CH"/>
        </w:rPr>
        <w:t>Origin</w:t>
      </w:r>
      <w:r w:rsidRPr="003862F1">
        <w:rPr>
          <w:b/>
          <w:i/>
          <w:iCs/>
          <w:spacing w:val="-1"/>
          <w:lang w:val="fr-CH"/>
        </w:rPr>
        <w:t>e</w:t>
      </w:r>
      <w:r w:rsidRPr="003862F1">
        <w:rPr>
          <w:b/>
          <w:i/>
          <w:iCs/>
          <w:spacing w:val="-1"/>
          <w:lang w:val="fr-CH"/>
        </w:rPr>
        <w:t>:</w:t>
      </w:r>
      <w:r w:rsidRPr="003862F1">
        <w:rPr>
          <w:b/>
          <w:i/>
          <w:iCs/>
          <w:lang w:val="fr-CH"/>
        </w:rPr>
        <w:t xml:space="preserve"> </w:t>
      </w:r>
      <w:r w:rsidR="00426684">
        <w:rPr>
          <w:b/>
          <w:i/>
          <w:iCs/>
          <w:lang w:val="fr-CH"/>
        </w:rPr>
        <w:tab/>
      </w:r>
      <w:r w:rsidR="003862F1" w:rsidRPr="00426684">
        <w:rPr>
          <w:bCs/>
          <w:lang w:val="fr-CH"/>
        </w:rPr>
        <w:t>E</w:t>
      </w:r>
      <w:r w:rsidR="003862F1">
        <w:rPr>
          <w:lang w:val="fr-CH"/>
        </w:rPr>
        <w:t xml:space="preserve">tats Membres de la Commission </w:t>
      </w:r>
      <w:r w:rsidR="003862F1" w:rsidRPr="00EF5723">
        <w:rPr>
          <w:lang w:val="fr-CH"/>
        </w:rPr>
        <w:t>interaméricaine des télécommunications</w:t>
      </w:r>
      <w:r w:rsidR="003862F1">
        <w:rPr>
          <w:lang w:val="fr-CH"/>
        </w:rPr>
        <w:t xml:space="preserve"> (CITEL)</w:t>
      </w:r>
    </w:p>
    <w:p w:rsidR="00654F9C" w:rsidRPr="003862F1" w:rsidRDefault="00654F9C" w:rsidP="00654F9C">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Cs w:val="24"/>
          <w:lang w:val="fr-CH"/>
        </w:rPr>
      </w:pPr>
    </w:p>
    <w:p w:rsidR="00654F9C" w:rsidRPr="003862F1" w:rsidRDefault="00654F9C" w:rsidP="003862F1">
      <w:pPr>
        <w:rPr>
          <w:i/>
          <w:szCs w:val="24"/>
          <w:lang w:val="fr-CH"/>
        </w:rPr>
      </w:pPr>
      <w:r w:rsidRPr="003862F1">
        <w:rPr>
          <w:b/>
          <w:i/>
          <w:color w:val="000000"/>
          <w:szCs w:val="24"/>
          <w:lang w:val="fr-CH"/>
        </w:rPr>
        <w:t>Propos</w:t>
      </w:r>
      <w:r w:rsidR="003862F1">
        <w:rPr>
          <w:b/>
          <w:i/>
          <w:color w:val="000000"/>
          <w:szCs w:val="24"/>
          <w:lang w:val="fr-CH"/>
        </w:rPr>
        <w:t>ition</w:t>
      </w:r>
      <w:r w:rsidRPr="003862F1">
        <w:rPr>
          <w:b/>
          <w:i/>
          <w:lang w:val="fr-CH"/>
        </w:rPr>
        <w:t>:</w:t>
      </w:r>
      <w:r w:rsidRPr="003862F1">
        <w:rPr>
          <w:i/>
          <w:color w:val="000000"/>
          <w:szCs w:val="24"/>
          <w:lang w:val="fr-CH"/>
        </w:rPr>
        <w:t xml:space="preserve"> </w:t>
      </w:r>
      <w:r w:rsidR="003862F1">
        <w:rPr>
          <w:lang w:val="fr-CH"/>
        </w:rPr>
        <w:t xml:space="preserve">Examiner les services dans la bande 460-470 MHz en vue de relever au statut primaire l'attribution au service de météorologie par satellite, tout en protégeant les services primaires existants dans la bande, et sans imposer de contraintes supplémentaires à ces services primaires conformément à la Résolution </w:t>
      </w:r>
      <w:r w:rsidR="003862F1">
        <w:rPr>
          <w:b/>
          <w:lang w:val="fr-CH"/>
        </w:rPr>
        <w:t>[IAP-10A-460-470] (CMR-15)</w:t>
      </w:r>
      <w:r w:rsidR="003862F1" w:rsidRPr="00654F9C">
        <w:rPr>
          <w:lang w:val="fr-CH"/>
        </w:rPr>
        <w:t>.</w:t>
      </w:r>
    </w:p>
    <w:p w:rsidR="00654F9C" w:rsidRPr="003862F1" w:rsidRDefault="00654F9C" w:rsidP="00654F9C">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sz w:val="16"/>
          <w:szCs w:val="16"/>
          <w:lang w:val="fr-CH"/>
        </w:rPr>
      </w:pPr>
    </w:p>
    <w:p w:rsidR="00654F9C" w:rsidRPr="003862F1" w:rsidRDefault="003862F1" w:rsidP="00654F9C">
      <w:pPr>
        <w:tabs>
          <w:tab w:val="clear" w:pos="1134"/>
          <w:tab w:val="clear" w:pos="1871"/>
          <w:tab w:val="clear" w:pos="2268"/>
        </w:tabs>
        <w:overflowPunct/>
        <w:autoSpaceDE/>
        <w:autoSpaceDN/>
        <w:adjustRightInd/>
        <w:spacing w:before="0"/>
        <w:textAlignment w:val="auto"/>
        <w:rPr>
          <w:szCs w:val="24"/>
          <w:lang w:val="fr-CH"/>
        </w:rPr>
      </w:pPr>
      <w:r w:rsidRPr="00CF3204">
        <w:rPr>
          <w:b/>
          <w:bCs/>
          <w:i/>
          <w:iCs/>
          <w:lang w:val="fr-CH"/>
        </w:rPr>
        <w:t>Contexte/motif</w:t>
      </w:r>
      <w:r w:rsidR="00654F9C" w:rsidRPr="003862F1">
        <w:rPr>
          <w:b/>
          <w:bCs/>
          <w:i/>
          <w:iCs/>
          <w:color w:val="000000"/>
          <w:szCs w:val="24"/>
          <w:lang w:val="fr-CH"/>
        </w:rPr>
        <w:t>:</w:t>
      </w:r>
    </w:p>
    <w:p w:rsidR="00654F9C" w:rsidRPr="003862F1" w:rsidRDefault="003862F1" w:rsidP="003862F1">
      <w:pPr>
        <w:rPr>
          <w:lang w:val="fr-CH"/>
        </w:rPr>
      </w:pPr>
      <w:r w:rsidRPr="00CF3204">
        <w:rPr>
          <w:lang w:val="fr-CH"/>
        </w:rPr>
        <w:t>La bande 460-470 MHz est attribuée à titre primaire</w:t>
      </w:r>
      <w:r>
        <w:rPr>
          <w:lang w:val="fr-CH"/>
        </w:rPr>
        <w:t xml:space="preserve"> aux services fixe et mobile. Le service de météorologie par satellite a actuellement une attribution à titre secondaire dans cette bande. Dans cette bande, les équipements du système de collecte de données Argos (ADCS) installés à bord de satellites météorologiques sont utilisés pour surveiller plus de 21 000 plates-formes individuelles partout dans le monde pour 1 900 opérateurs dans 118 pays. Les applications essentielles prises en charge par le système ADCS sont les suivantes: recherche/surveillance de l'atmosphère et des océans, prévision des cyclones tropicaux, gestion de la pêche, suivi des marées noires, suivi des navires de pêche, modélisation des activités de recherche et de sauvetage (en mer), alerte anti-pirates, suivi des importations/exportations et des matières dangereuses, études sur les espèces menacées, cartographie des migrations et suivi et gestion de la faune sauvage.</w:t>
      </w:r>
    </w:p>
    <w:p w:rsidR="00654F9C" w:rsidRPr="003862F1" w:rsidRDefault="00654F9C" w:rsidP="00654F9C">
      <w:pPr>
        <w:pBdr>
          <w:bottom w:val="single" w:sz="12" w:space="1" w:color="auto"/>
        </w:pBdr>
        <w:tabs>
          <w:tab w:val="clear" w:pos="1134"/>
          <w:tab w:val="clear" w:pos="1871"/>
          <w:tab w:val="clear" w:pos="2268"/>
        </w:tabs>
        <w:overflowPunct/>
        <w:autoSpaceDE/>
        <w:autoSpaceDN/>
        <w:adjustRightInd/>
        <w:spacing w:before="0"/>
        <w:textAlignment w:val="auto"/>
        <w:rPr>
          <w:color w:val="000000"/>
          <w:sz w:val="16"/>
          <w:szCs w:val="16"/>
          <w:lang w:val="fr-CH"/>
        </w:rPr>
      </w:pPr>
    </w:p>
    <w:p w:rsidR="00654F9C" w:rsidRPr="003862F1" w:rsidRDefault="003862F1" w:rsidP="003862F1">
      <w:pPr>
        <w:tabs>
          <w:tab w:val="clear" w:pos="1134"/>
          <w:tab w:val="clear" w:pos="1871"/>
          <w:tab w:val="clear" w:pos="2268"/>
        </w:tabs>
        <w:overflowPunct/>
        <w:autoSpaceDE/>
        <w:autoSpaceDN/>
        <w:adjustRightInd/>
        <w:spacing w:before="0"/>
        <w:textAlignment w:val="auto"/>
        <w:rPr>
          <w:bCs/>
          <w:color w:val="000000"/>
          <w:szCs w:val="24"/>
          <w:lang w:val="fr-CH"/>
        </w:rPr>
      </w:pPr>
      <w:r w:rsidRPr="00CF3204">
        <w:rPr>
          <w:b/>
          <w:bCs/>
          <w:i/>
          <w:iCs/>
          <w:lang w:val="fr-CH"/>
        </w:rPr>
        <w:t>Services de radiocommunication concernés</w:t>
      </w:r>
      <w:r w:rsidR="00654F9C" w:rsidRPr="003862F1">
        <w:rPr>
          <w:b/>
          <w:bCs/>
          <w:i/>
          <w:iCs/>
          <w:color w:val="000000"/>
          <w:szCs w:val="24"/>
          <w:lang w:val="fr-CH"/>
        </w:rPr>
        <w:t xml:space="preserve">: </w:t>
      </w:r>
      <w:r>
        <w:rPr>
          <w:bCs/>
          <w:iCs/>
          <w:lang w:val="fr-CH"/>
        </w:rPr>
        <w:t>Service de météorologie par satellite, service fixe, service mobile, service d'exploration de la Terre par satellite</w:t>
      </w:r>
    </w:p>
    <w:p w:rsidR="00654F9C" w:rsidRPr="003862F1" w:rsidRDefault="00654F9C" w:rsidP="00654F9C">
      <w:pPr>
        <w:pBdr>
          <w:bottom w:val="single" w:sz="12" w:space="1" w:color="auto"/>
        </w:pBdr>
        <w:tabs>
          <w:tab w:val="clear" w:pos="1134"/>
          <w:tab w:val="clear" w:pos="1871"/>
          <w:tab w:val="clear" w:pos="2268"/>
        </w:tabs>
        <w:overflowPunct/>
        <w:autoSpaceDE/>
        <w:autoSpaceDN/>
        <w:adjustRightInd/>
        <w:spacing w:before="0"/>
        <w:textAlignment w:val="auto"/>
        <w:rPr>
          <w:color w:val="000000"/>
          <w:sz w:val="16"/>
          <w:szCs w:val="16"/>
          <w:lang w:val="fr-CH"/>
        </w:rPr>
      </w:pPr>
    </w:p>
    <w:p w:rsidR="00654F9C" w:rsidRPr="003862F1" w:rsidRDefault="003862F1" w:rsidP="003862F1">
      <w:pPr>
        <w:tabs>
          <w:tab w:val="clear" w:pos="1134"/>
          <w:tab w:val="clear" w:pos="1871"/>
          <w:tab w:val="clear" w:pos="2268"/>
        </w:tabs>
        <w:overflowPunct/>
        <w:autoSpaceDE/>
        <w:autoSpaceDN/>
        <w:adjustRightInd/>
        <w:spacing w:before="0"/>
        <w:textAlignment w:val="auto"/>
        <w:rPr>
          <w:b/>
          <w:bCs/>
          <w:i/>
          <w:color w:val="000000"/>
          <w:szCs w:val="24"/>
          <w:lang w:val="fr-CH"/>
        </w:rPr>
      </w:pPr>
      <w:r w:rsidRPr="00CF3204">
        <w:rPr>
          <w:b/>
          <w:bCs/>
          <w:i/>
          <w:iCs/>
          <w:lang w:val="fr-CH"/>
        </w:rPr>
        <w:t>Indication des difficultés éventuelles</w:t>
      </w:r>
      <w:r w:rsidR="00654F9C" w:rsidRPr="003862F1">
        <w:rPr>
          <w:b/>
          <w:bCs/>
          <w:i/>
          <w:iCs/>
          <w:color w:val="000000"/>
          <w:szCs w:val="24"/>
          <w:lang w:val="fr-CH"/>
        </w:rPr>
        <w:t>:</w:t>
      </w:r>
      <w:r w:rsidR="00654F9C" w:rsidRPr="003862F1">
        <w:rPr>
          <w:bCs/>
          <w:iCs/>
          <w:color w:val="000000"/>
          <w:szCs w:val="24"/>
          <w:lang w:val="fr-CH"/>
        </w:rPr>
        <w:t xml:space="preserve"> </w:t>
      </w:r>
      <w:r>
        <w:rPr>
          <w:lang w:val="fr-CH"/>
        </w:rPr>
        <w:t>Aucune prévue</w:t>
      </w:r>
    </w:p>
    <w:p w:rsidR="00654F9C" w:rsidRPr="003862F1" w:rsidRDefault="00654F9C" w:rsidP="00654F9C">
      <w:pPr>
        <w:pBdr>
          <w:bottom w:val="single" w:sz="12" w:space="1" w:color="auto"/>
        </w:pBdr>
        <w:tabs>
          <w:tab w:val="clear" w:pos="1134"/>
          <w:tab w:val="clear" w:pos="1871"/>
          <w:tab w:val="clear" w:pos="2268"/>
        </w:tabs>
        <w:overflowPunct/>
        <w:autoSpaceDE/>
        <w:autoSpaceDN/>
        <w:adjustRightInd/>
        <w:spacing w:before="0"/>
        <w:textAlignment w:val="auto"/>
        <w:rPr>
          <w:color w:val="000000"/>
          <w:sz w:val="18"/>
          <w:szCs w:val="18"/>
          <w:lang w:val="fr-CH"/>
        </w:rPr>
      </w:pPr>
    </w:p>
    <w:p w:rsidR="00654F9C" w:rsidRPr="003862F1" w:rsidRDefault="003862F1" w:rsidP="003862F1">
      <w:pPr>
        <w:tabs>
          <w:tab w:val="clear" w:pos="1134"/>
          <w:tab w:val="clear" w:pos="1871"/>
          <w:tab w:val="clear" w:pos="2268"/>
        </w:tabs>
        <w:overflowPunct/>
        <w:autoSpaceDE/>
        <w:autoSpaceDN/>
        <w:adjustRightInd/>
        <w:spacing w:before="0"/>
        <w:textAlignment w:val="auto"/>
        <w:rPr>
          <w:b/>
          <w:bCs/>
          <w:i/>
          <w:color w:val="000000"/>
          <w:szCs w:val="24"/>
          <w:lang w:val="fr-CH"/>
        </w:rPr>
      </w:pPr>
      <w:r w:rsidRPr="00CF3204">
        <w:rPr>
          <w:b/>
          <w:bCs/>
          <w:i/>
          <w:iCs/>
          <w:lang w:val="fr-CH"/>
        </w:rPr>
        <w:t>Etudes précédentes ou en cours sur la question</w:t>
      </w:r>
      <w:r w:rsidR="00654F9C" w:rsidRPr="003862F1">
        <w:rPr>
          <w:b/>
          <w:bCs/>
          <w:i/>
          <w:iCs/>
          <w:color w:val="000000"/>
          <w:szCs w:val="24"/>
          <w:lang w:val="fr-CH"/>
        </w:rPr>
        <w:t>:</w:t>
      </w:r>
      <w:r w:rsidR="00654F9C" w:rsidRPr="003862F1">
        <w:rPr>
          <w:bCs/>
          <w:iCs/>
          <w:color w:val="000000"/>
          <w:szCs w:val="24"/>
          <w:lang w:val="fr-CH"/>
        </w:rPr>
        <w:t xml:space="preserve"> </w:t>
      </w:r>
      <w:r>
        <w:rPr>
          <w:lang w:val="fr-CH"/>
        </w:rPr>
        <w:t>Aucune à ce jour</w:t>
      </w:r>
    </w:p>
    <w:p w:rsidR="00654F9C" w:rsidRPr="003862F1" w:rsidRDefault="00654F9C" w:rsidP="00654F9C">
      <w:pPr>
        <w:pBdr>
          <w:bottom w:val="single" w:sz="12" w:space="1" w:color="auto"/>
        </w:pBdr>
        <w:tabs>
          <w:tab w:val="clear" w:pos="1134"/>
          <w:tab w:val="clear" w:pos="1871"/>
          <w:tab w:val="clear" w:pos="2268"/>
        </w:tabs>
        <w:overflowPunct/>
        <w:autoSpaceDE/>
        <w:autoSpaceDN/>
        <w:adjustRightInd/>
        <w:spacing w:before="0"/>
        <w:textAlignment w:val="auto"/>
        <w:rPr>
          <w:color w:val="000000"/>
          <w:sz w:val="16"/>
          <w:szCs w:val="16"/>
          <w:lang w:val="fr-CH"/>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A0" w:firstRow="1" w:lastRow="0" w:firstColumn="1" w:lastColumn="0" w:noHBand="0" w:noVBand="0"/>
      </w:tblPr>
      <w:tblGrid>
        <w:gridCol w:w="3979"/>
        <w:gridCol w:w="5357"/>
      </w:tblGrid>
      <w:tr w:rsidR="00654F9C" w:rsidRPr="00500D99" w:rsidTr="00710A45">
        <w:trPr>
          <w:jc w:val="center"/>
        </w:trPr>
        <w:tc>
          <w:tcPr>
            <w:tcW w:w="3979" w:type="dxa"/>
            <w:tcBorders>
              <w:top w:val="nil"/>
              <w:left w:val="nil"/>
            </w:tcBorders>
          </w:tcPr>
          <w:p w:rsidR="00654F9C" w:rsidRPr="003862F1" w:rsidRDefault="003862F1" w:rsidP="003862F1">
            <w:pPr>
              <w:framePr w:hSpace="181" w:wrap="notBeside" w:vAnchor="text" w:hAnchor="text" w:xAlign="center" w:y="1"/>
              <w:tabs>
                <w:tab w:val="clear" w:pos="1134"/>
                <w:tab w:val="clear" w:pos="1871"/>
                <w:tab w:val="clear" w:pos="2268"/>
                <w:tab w:val="left" w:pos="4366"/>
              </w:tabs>
              <w:overflowPunct/>
              <w:autoSpaceDE/>
              <w:autoSpaceDN/>
              <w:adjustRightInd/>
              <w:spacing w:before="0"/>
              <w:textAlignment w:val="auto"/>
              <w:rPr>
                <w:b/>
                <w:bCs/>
                <w:i/>
                <w:iCs/>
                <w:color w:val="000000"/>
                <w:szCs w:val="24"/>
                <w:lang w:val="fr-CH"/>
              </w:rPr>
            </w:pPr>
            <w:r w:rsidRPr="00CF3204">
              <w:rPr>
                <w:b/>
                <w:bCs/>
                <w:i/>
                <w:iCs/>
                <w:lang w:val="fr-CH"/>
              </w:rPr>
              <w:t>Etudes devant être réalisées par</w:t>
            </w:r>
            <w:r w:rsidR="00654F9C" w:rsidRPr="003862F1">
              <w:rPr>
                <w:b/>
                <w:bCs/>
                <w:i/>
                <w:iCs/>
                <w:color w:val="000000"/>
                <w:szCs w:val="24"/>
                <w:lang w:val="fr-CH"/>
              </w:rPr>
              <w:t xml:space="preserve">: </w:t>
            </w:r>
            <w:r>
              <w:rPr>
                <w:bCs/>
                <w:iCs/>
                <w:color w:val="000000"/>
                <w:szCs w:val="24"/>
                <w:lang w:val="fr-CH"/>
              </w:rPr>
              <w:t>CE</w:t>
            </w:r>
            <w:r w:rsidR="00654F9C" w:rsidRPr="003862F1">
              <w:rPr>
                <w:bCs/>
                <w:iCs/>
                <w:color w:val="000000"/>
                <w:szCs w:val="24"/>
                <w:lang w:val="fr-CH"/>
              </w:rPr>
              <w:t xml:space="preserve"> 7</w:t>
            </w:r>
          </w:p>
        </w:tc>
        <w:tc>
          <w:tcPr>
            <w:tcW w:w="5357" w:type="dxa"/>
            <w:tcBorders>
              <w:top w:val="nil"/>
              <w:right w:val="nil"/>
            </w:tcBorders>
          </w:tcPr>
          <w:p w:rsidR="00654F9C" w:rsidRPr="00500D99" w:rsidRDefault="003862F1" w:rsidP="003862F1">
            <w:pPr>
              <w:framePr w:hSpace="181" w:wrap="notBeside" w:vAnchor="text" w:hAnchor="text" w:xAlign="center" w:y="1"/>
              <w:tabs>
                <w:tab w:val="clear" w:pos="1134"/>
                <w:tab w:val="clear" w:pos="1871"/>
                <w:tab w:val="clear" w:pos="2268"/>
                <w:tab w:val="left" w:pos="360"/>
                <w:tab w:val="left" w:pos="900"/>
                <w:tab w:val="left" w:pos="4366"/>
              </w:tabs>
              <w:overflowPunct/>
              <w:autoSpaceDE/>
              <w:autoSpaceDN/>
              <w:adjustRightInd/>
              <w:spacing w:before="0"/>
              <w:ind w:left="113"/>
              <w:textAlignment w:val="auto"/>
              <w:rPr>
                <w:b/>
                <w:i/>
                <w:iCs/>
                <w:color w:val="000000"/>
                <w:szCs w:val="24"/>
                <w:lang w:val="en-US"/>
              </w:rPr>
            </w:pPr>
            <w:r w:rsidRPr="00CF3204">
              <w:rPr>
                <w:b/>
                <w:bCs/>
                <w:i/>
                <w:iCs/>
                <w:lang w:val="fr-CH"/>
              </w:rPr>
              <w:t>avec la participation</w:t>
            </w:r>
            <w:r>
              <w:rPr>
                <w:b/>
                <w:bCs/>
                <w:i/>
                <w:iCs/>
                <w:lang w:val="fr-CH"/>
              </w:rPr>
              <w:t xml:space="preserve"> de</w:t>
            </w:r>
            <w:r w:rsidR="00654F9C" w:rsidRPr="00500D99">
              <w:rPr>
                <w:b/>
                <w:i/>
                <w:iCs/>
                <w:color w:val="000000"/>
                <w:szCs w:val="24"/>
                <w:lang w:val="en-US"/>
              </w:rPr>
              <w:t xml:space="preserve">: </w:t>
            </w:r>
          </w:p>
          <w:p w:rsidR="00654F9C" w:rsidRPr="00500D99" w:rsidRDefault="00654F9C" w:rsidP="00710A45">
            <w:pPr>
              <w:framePr w:hSpace="181" w:wrap="notBeside" w:vAnchor="text" w:hAnchor="text" w:xAlign="center" w:y="1"/>
              <w:tabs>
                <w:tab w:val="clear" w:pos="1134"/>
                <w:tab w:val="clear" w:pos="1871"/>
                <w:tab w:val="clear" w:pos="2268"/>
                <w:tab w:val="left" w:pos="4366"/>
              </w:tabs>
              <w:overflowPunct/>
              <w:autoSpaceDE/>
              <w:autoSpaceDN/>
              <w:adjustRightInd/>
              <w:spacing w:before="0"/>
              <w:textAlignment w:val="auto"/>
              <w:rPr>
                <w:b/>
                <w:bCs/>
                <w:i/>
                <w:iCs/>
                <w:color w:val="000000"/>
                <w:szCs w:val="24"/>
                <w:lang w:val="en-US"/>
              </w:rPr>
            </w:pPr>
          </w:p>
        </w:tc>
      </w:tr>
    </w:tbl>
    <w:p w:rsidR="00654F9C" w:rsidRPr="003862F1" w:rsidRDefault="003862F1" w:rsidP="003862F1">
      <w:pPr>
        <w:tabs>
          <w:tab w:val="clear" w:pos="1134"/>
          <w:tab w:val="clear" w:pos="1871"/>
          <w:tab w:val="clear" w:pos="2268"/>
        </w:tabs>
        <w:overflowPunct/>
        <w:autoSpaceDE/>
        <w:autoSpaceDN/>
        <w:adjustRightInd/>
        <w:spacing w:before="0"/>
        <w:textAlignment w:val="auto"/>
        <w:rPr>
          <w:bCs/>
          <w:color w:val="000000"/>
          <w:szCs w:val="24"/>
          <w:lang w:val="fr-CH"/>
        </w:rPr>
      </w:pPr>
      <w:r w:rsidRPr="00CF3204">
        <w:rPr>
          <w:b/>
          <w:bCs/>
          <w:i/>
          <w:iCs/>
          <w:lang w:val="fr-CH"/>
        </w:rPr>
        <w:t>Commissions d'études de l'UIT-R concernées</w:t>
      </w:r>
      <w:r w:rsidR="00654F9C" w:rsidRPr="003862F1">
        <w:rPr>
          <w:b/>
          <w:bCs/>
          <w:i/>
          <w:iCs/>
          <w:color w:val="000000"/>
          <w:szCs w:val="24"/>
          <w:lang w:val="fr-CH"/>
        </w:rPr>
        <w:t xml:space="preserve">: </w:t>
      </w:r>
      <w:r>
        <w:rPr>
          <w:bCs/>
          <w:iCs/>
          <w:color w:val="000000"/>
          <w:szCs w:val="24"/>
          <w:lang w:val="fr-CH"/>
        </w:rPr>
        <w:t>CE</w:t>
      </w:r>
      <w:r w:rsidR="00654F9C" w:rsidRPr="003862F1">
        <w:rPr>
          <w:bCs/>
          <w:iCs/>
          <w:color w:val="000000"/>
          <w:szCs w:val="24"/>
          <w:lang w:val="fr-CH"/>
        </w:rPr>
        <w:t xml:space="preserve"> 5</w:t>
      </w:r>
    </w:p>
    <w:p w:rsidR="00654F9C" w:rsidRPr="003862F1" w:rsidRDefault="00654F9C" w:rsidP="00654F9C">
      <w:pPr>
        <w:pBdr>
          <w:bottom w:val="single" w:sz="12" w:space="1" w:color="auto"/>
        </w:pBdr>
        <w:tabs>
          <w:tab w:val="clear" w:pos="1134"/>
          <w:tab w:val="clear" w:pos="1871"/>
          <w:tab w:val="clear" w:pos="2268"/>
        </w:tabs>
        <w:overflowPunct/>
        <w:autoSpaceDE/>
        <w:autoSpaceDN/>
        <w:adjustRightInd/>
        <w:spacing w:before="0"/>
        <w:textAlignment w:val="auto"/>
        <w:rPr>
          <w:color w:val="000000"/>
          <w:sz w:val="16"/>
          <w:szCs w:val="16"/>
          <w:lang w:val="fr-CH"/>
        </w:rPr>
      </w:pPr>
    </w:p>
    <w:p w:rsidR="00654F9C" w:rsidRPr="003862F1" w:rsidRDefault="003862F1" w:rsidP="00654F9C">
      <w:pPr>
        <w:tabs>
          <w:tab w:val="clear" w:pos="1134"/>
          <w:tab w:val="clear" w:pos="1871"/>
          <w:tab w:val="clear" w:pos="2268"/>
          <w:tab w:val="left" w:pos="360"/>
          <w:tab w:val="left" w:pos="900"/>
        </w:tabs>
        <w:overflowPunct/>
        <w:autoSpaceDE/>
        <w:autoSpaceDN/>
        <w:adjustRightInd/>
        <w:spacing w:before="0"/>
        <w:textAlignment w:val="auto"/>
        <w:rPr>
          <w:b/>
          <w:i/>
          <w:iCs/>
          <w:color w:val="000000"/>
          <w:szCs w:val="24"/>
          <w:lang w:val="fr-CH"/>
        </w:rPr>
      </w:pPr>
      <w:r w:rsidRPr="00CF3204">
        <w:rPr>
          <w:b/>
          <w:bCs/>
          <w:i/>
          <w:iCs/>
          <w:lang w:val="fr-CH"/>
        </w:rPr>
        <w:t>Répercussions au niveau des ressources de l'UIT, y compris incidences financières</w:t>
      </w:r>
      <w:r w:rsidRPr="00CF3204">
        <w:rPr>
          <w:b/>
          <w:bCs/>
          <w:i/>
          <w:iCs/>
          <w:lang w:val="fr-CH"/>
        </w:rPr>
        <w:br/>
        <w:t>(voir le numéro 126 de la Convention)</w:t>
      </w:r>
      <w:r w:rsidR="00654F9C" w:rsidRPr="003862F1">
        <w:rPr>
          <w:b/>
          <w:i/>
          <w:iCs/>
          <w:color w:val="000000"/>
          <w:szCs w:val="24"/>
          <w:lang w:val="fr-CH"/>
        </w:rPr>
        <w:t xml:space="preserve">: </w:t>
      </w:r>
      <w:r w:rsidR="00654F9C" w:rsidRPr="003862F1">
        <w:rPr>
          <w:bCs/>
          <w:iCs/>
          <w:color w:val="000000"/>
          <w:szCs w:val="24"/>
          <w:lang w:val="fr-CH"/>
        </w:rPr>
        <w:t>Minimal</w:t>
      </w:r>
      <w:r>
        <w:rPr>
          <w:bCs/>
          <w:iCs/>
          <w:color w:val="000000"/>
          <w:szCs w:val="24"/>
          <w:lang w:val="fr-CH"/>
        </w:rPr>
        <w:t>es</w:t>
      </w:r>
    </w:p>
    <w:p w:rsidR="00654F9C" w:rsidRPr="003862F1" w:rsidRDefault="00654F9C" w:rsidP="00654F9C">
      <w:pPr>
        <w:pBdr>
          <w:bottom w:val="single" w:sz="12" w:space="1" w:color="auto"/>
        </w:pBdr>
        <w:tabs>
          <w:tab w:val="clear" w:pos="1134"/>
          <w:tab w:val="clear" w:pos="1871"/>
          <w:tab w:val="clear" w:pos="2268"/>
        </w:tabs>
        <w:overflowPunct/>
        <w:autoSpaceDE/>
        <w:autoSpaceDN/>
        <w:adjustRightInd/>
        <w:spacing w:before="0"/>
        <w:textAlignment w:val="auto"/>
        <w:rPr>
          <w:color w:val="000000"/>
          <w:sz w:val="16"/>
          <w:szCs w:val="16"/>
          <w:lang w:val="fr-CH"/>
        </w:rPr>
      </w:pPr>
    </w:p>
    <w:p w:rsidR="00654F9C" w:rsidRPr="003862F1" w:rsidRDefault="003862F1" w:rsidP="003862F1">
      <w:pPr>
        <w:tabs>
          <w:tab w:val="clear" w:pos="1134"/>
          <w:tab w:val="clear" w:pos="1871"/>
          <w:tab w:val="clear" w:pos="2268"/>
          <w:tab w:val="left" w:pos="4366"/>
        </w:tabs>
        <w:overflowPunct/>
        <w:autoSpaceDE/>
        <w:autoSpaceDN/>
        <w:adjustRightInd/>
        <w:spacing w:before="0"/>
        <w:textAlignment w:val="auto"/>
        <w:rPr>
          <w:color w:val="000000"/>
          <w:szCs w:val="24"/>
          <w:lang w:val="fr-CH"/>
        </w:rPr>
      </w:pPr>
      <w:r w:rsidRPr="003862F1">
        <w:rPr>
          <w:b/>
          <w:bCs/>
          <w:i/>
          <w:iCs/>
          <w:lang w:val="fr-CH"/>
        </w:rPr>
        <w:t>Proposition régionale commune</w:t>
      </w:r>
      <w:r w:rsidR="00654F9C" w:rsidRPr="003862F1">
        <w:rPr>
          <w:b/>
          <w:bCs/>
          <w:i/>
          <w:iCs/>
          <w:color w:val="000000"/>
          <w:szCs w:val="24"/>
          <w:lang w:val="fr-CH"/>
        </w:rPr>
        <w:t>:</w:t>
      </w:r>
      <w:r w:rsidR="00654F9C" w:rsidRPr="003862F1">
        <w:rPr>
          <w:color w:val="000000"/>
          <w:szCs w:val="24"/>
          <w:lang w:val="fr-CH"/>
        </w:rPr>
        <w:t xml:space="preserve"> </w:t>
      </w:r>
      <w:r>
        <w:rPr>
          <w:bCs/>
          <w:iCs/>
          <w:lang w:val="fr-CH"/>
        </w:rPr>
        <w:t>Oui/Non</w:t>
      </w:r>
      <w:r w:rsidR="00654F9C" w:rsidRPr="003862F1">
        <w:rPr>
          <w:color w:val="000000"/>
          <w:szCs w:val="24"/>
          <w:lang w:val="fr-CH"/>
        </w:rPr>
        <w:tab/>
      </w:r>
      <w:r w:rsidRPr="00CF3204">
        <w:rPr>
          <w:b/>
          <w:bCs/>
          <w:i/>
          <w:iCs/>
          <w:lang w:val="fr-CH"/>
        </w:rPr>
        <w:t>Proposition soumise par plusieurs pays</w:t>
      </w:r>
      <w:r w:rsidR="00654F9C" w:rsidRPr="003862F1">
        <w:rPr>
          <w:b/>
          <w:bCs/>
          <w:i/>
          <w:iCs/>
          <w:color w:val="000000"/>
          <w:szCs w:val="24"/>
          <w:lang w:val="fr-CH"/>
        </w:rPr>
        <w:t xml:space="preserve">: </w:t>
      </w:r>
      <w:r>
        <w:rPr>
          <w:bCs/>
          <w:iCs/>
          <w:lang w:val="fr-CH"/>
        </w:rPr>
        <w:t>Oui/Non</w:t>
      </w:r>
    </w:p>
    <w:p w:rsidR="00654F9C" w:rsidRPr="003862F1" w:rsidRDefault="003862F1" w:rsidP="00426684">
      <w:pPr>
        <w:tabs>
          <w:tab w:val="clear" w:pos="1134"/>
          <w:tab w:val="clear" w:pos="1871"/>
          <w:tab w:val="clear" w:pos="2268"/>
          <w:tab w:val="left" w:pos="567"/>
          <w:tab w:val="left" w:pos="900"/>
          <w:tab w:val="left" w:pos="4366"/>
        </w:tabs>
        <w:overflowPunct/>
        <w:autoSpaceDE/>
        <w:autoSpaceDN/>
        <w:adjustRightInd/>
        <w:spacing w:before="80"/>
        <w:textAlignment w:val="auto"/>
        <w:rPr>
          <w:b/>
          <w:bCs/>
          <w:i/>
          <w:iCs/>
          <w:color w:val="000000"/>
          <w:szCs w:val="24"/>
          <w:lang w:val="fr-CH"/>
        </w:rPr>
      </w:pPr>
      <w:bookmarkStart w:id="8" w:name="_GoBack"/>
      <w:bookmarkEnd w:id="8"/>
      <w:r w:rsidRPr="00CF3204">
        <w:rPr>
          <w:b/>
          <w:bCs/>
          <w:i/>
          <w:iCs/>
          <w:lang w:val="fr-CH"/>
        </w:rPr>
        <w:t>Nombre de pays</w:t>
      </w:r>
      <w:r w:rsidR="00654F9C" w:rsidRPr="003862F1">
        <w:rPr>
          <w:b/>
          <w:bCs/>
          <w:i/>
          <w:iCs/>
          <w:color w:val="000000"/>
          <w:szCs w:val="24"/>
          <w:lang w:val="fr-CH"/>
        </w:rPr>
        <w:t>:</w:t>
      </w:r>
    </w:p>
    <w:p w:rsidR="00654F9C" w:rsidRPr="003862F1" w:rsidRDefault="00654F9C" w:rsidP="00654F9C">
      <w:pPr>
        <w:pBdr>
          <w:bottom w:val="single" w:sz="12" w:space="1" w:color="auto"/>
        </w:pBdr>
        <w:tabs>
          <w:tab w:val="clear" w:pos="1134"/>
          <w:tab w:val="clear" w:pos="1871"/>
          <w:tab w:val="clear" w:pos="2268"/>
        </w:tabs>
        <w:overflowPunct/>
        <w:autoSpaceDE/>
        <w:autoSpaceDN/>
        <w:adjustRightInd/>
        <w:spacing w:before="0"/>
        <w:textAlignment w:val="auto"/>
        <w:rPr>
          <w:color w:val="000000"/>
          <w:sz w:val="16"/>
          <w:szCs w:val="16"/>
          <w:lang w:val="fr-CH"/>
        </w:rPr>
      </w:pPr>
    </w:p>
    <w:p w:rsidR="00654F9C" w:rsidRDefault="003862F1" w:rsidP="00654F9C">
      <w:pPr>
        <w:tabs>
          <w:tab w:val="clear" w:pos="1134"/>
          <w:tab w:val="clear" w:pos="1871"/>
          <w:tab w:val="clear" w:pos="2268"/>
        </w:tabs>
        <w:overflowPunct/>
        <w:autoSpaceDE/>
        <w:autoSpaceDN/>
        <w:adjustRightInd/>
        <w:spacing w:before="0"/>
        <w:textAlignment w:val="auto"/>
        <w:rPr>
          <w:b/>
          <w:bCs/>
          <w:i/>
          <w:iCs/>
          <w:lang w:val="fr-CH"/>
        </w:rPr>
      </w:pPr>
      <w:r w:rsidRPr="00CF3204">
        <w:rPr>
          <w:b/>
          <w:bCs/>
          <w:i/>
          <w:iCs/>
          <w:lang w:val="fr-CH"/>
        </w:rPr>
        <w:t>Observations</w:t>
      </w:r>
    </w:p>
    <w:p w:rsidR="003862F1" w:rsidRDefault="003862F1" w:rsidP="0032202E">
      <w:pPr>
        <w:pStyle w:val="Reasons"/>
      </w:pPr>
    </w:p>
    <w:p w:rsidR="003862F1" w:rsidRPr="003862F1" w:rsidRDefault="003862F1" w:rsidP="003862F1">
      <w:pPr>
        <w:jc w:val="center"/>
      </w:pPr>
      <w:r>
        <w:t>______________</w:t>
      </w:r>
    </w:p>
    <w:sectPr w:rsidR="003862F1" w:rsidRPr="003862F1">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654F9C">
      <w:rPr>
        <w:noProof/>
      </w:rPr>
      <w:t>15.10.15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C29A0">
      <w:rPr>
        <w:lang w:val="en-US"/>
      </w:rPr>
      <w:t>P:\FRA\ITU-R\CONF-R\CMR15\000\007ADD24ADD01F.docx</w:t>
    </w:r>
    <w:r>
      <w:fldChar w:fldCharType="end"/>
    </w:r>
    <w:r w:rsidR="00764561" w:rsidRPr="00764561">
      <w:rPr>
        <w:lang w:val="en-US"/>
      </w:rPr>
      <w:t xml:space="preserve"> (387562)</w:t>
    </w:r>
    <w:r>
      <w:rPr>
        <w:lang w:val="en-US"/>
      </w:rPr>
      <w:tab/>
    </w:r>
    <w:r>
      <w:fldChar w:fldCharType="begin"/>
    </w:r>
    <w:r>
      <w:instrText xml:space="preserve"> SAVEDATE \@ DD.MM.YY </w:instrText>
    </w:r>
    <w:r>
      <w:fldChar w:fldCharType="separate"/>
    </w:r>
    <w:r w:rsidR="00654F9C">
      <w:t>15.10.15</w:t>
    </w:r>
    <w:r>
      <w:fldChar w:fldCharType="end"/>
    </w:r>
    <w:r>
      <w:rPr>
        <w:lang w:val="en-US"/>
      </w:rPr>
      <w:tab/>
    </w:r>
    <w:r>
      <w:fldChar w:fldCharType="begin"/>
    </w:r>
    <w:r>
      <w:instrText xml:space="preserve"> PRINTDATE \@ DD.MM.YY </w:instrText>
    </w:r>
    <w:r>
      <w:fldChar w:fldCharType="separate"/>
    </w:r>
    <w:r w:rsidR="00CF3204">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764561">
    <w:pPr>
      <w:pStyle w:val="Footer"/>
      <w:rPr>
        <w:lang w:val="en-US"/>
      </w:rPr>
    </w:pPr>
    <w:r>
      <w:fldChar w:fldCharType="begin"/>
    </w:r>
    <w:r>
      <w:rPr>
        <w:lang w:val="en-US"/>
      </w:rPr>
      <w:instrText xml:space="preserve"> FILENAME \p  \* MERGEFORMAT </w:instrText>
    </w:r>
    <w:r>
      <w:fldChar w:fldCharType="separate"/>
    </w:r>
    <w:r w:rsidR="004C29A0">
      <w:rPr>
        <w:lang w:val="en-US"/>
      </w:rPr>
      <w:t>P:\FRA\ITU-R\CONF-R\CMR15\000\007ADD24ADD01F.docx</w:t>
    </w:r>
    <w:r>
      <w:fldChar w:fldCharType="end"/>
    </w:r>
    <w:r w:rsidR="00764561" w:rsidRPr="00764561">
      <w:rPr>
        <w:lang w:val="en-US"/>
      </w:rPr>
      <w:t xml:space="preserve"> </w:t>
    </w:r>
    <w:r w:rsidR="00764561">
      <w:rPr>
        <w:lang w:val="en-US"/>
      </w:rPr>
      <w:t>(</w:t>
    </w:r>
    <w:r w:rsidR="00764561" w:rsidRPr="00764561">
      <w:rPr>
        <w:lang w:val="en-US"/>
      </w:rPr>
      <w:t>387562)</w:t>
    </w:r>
    <w:r>
      <w:rPr>
        <w:lang w:val="en-US"/>
      </w:rPr>
      <w:tab/>
    </w:r>
    <w:r>
      <w:fldChar w:fldCharType="begin"/>
    </w:r>
    <w:r>
      <w:instrText xml:space="preserve"> SAVEDATE \@ DD.MM.YY </w:instrText>
    </w:r>
    <w:r>
      <w:fldChar w:fldCharType="separate"/>
    </w:r>
    <w:r w:rsidR="00654F9C">
      <w:t>15.10.15</w:t>
    </w:r>
    <w:r>
      <w:fldChar w:fldCharType="end"/>
    </w:r>
    <w:r>
      <w:rPr>
        <w:lang w:val="en-US"/>
      </w:rPr>
      <w:tab/>
    </w:r>
    <w:r>
      <w:fldChar w:fldCharType="begin"/>
    </w:r>
    <w:r>
      <w:instrText xml:space="preserve"> PRINTDATE \@ DD.MM.YY </w:instrText>
    </w:r>
    <w:r>
      <w:fldChar w:fldCharType="separate"/>
    </w:r>
    <w:r w:rsidR="00CF3204">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426684">
      <w:rPr>
        <w:noProof/>
      </w:rPr>
      <w:t>5</w:t>
    </w:r>
    <w:r>
      <w:fldChar w:fldCharType="end"/>
    </w:r>
  </w:p>
  <w:p w:rsidR="004F1F8E" w:rsidRDefault="004F1F8E" w:rsidP="002C28A4">
    <w:pPr>
      <w:pStyle w:val="Header"/>
    </w:pPr>
    <w:r>
      <w:t>CMR1</w:t>
    </w:r>
    <w:r w:rsidR="002C28A4">
      <w:t>5</w:t>
    </w:r>
    <w:r>
      <w:t>/</w:t>
    </w:r>
    <w:r w:rsidR="006A4B45">
      <w:t>7(Add.24)(Add.1)-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1EF8FD4-72FD-477C-8A8C-EC7A7FD05CE1}"/>
    <w:docVar w:name="dgnword-eventsink" w:val="138809504"/>
  </w:docVars>
  <w:rsids>
    <w:rsidRoot w:val="00BB1D82"/>
    <w:rsid w:val="00007EC7"/>
    <w:rsid w:val="00010B43"/>
    <w:rsid w:val="00016648"/>
    <w:rsid w:val="0003522F"/>
    <w:rsid w:val="0007086C"/>
    <w:rsid w:val="00080E2C"/>
    <w:rsid w:val="000A111A"/>
    <w:rsid w:val="000A4755"/>
    <w:rsid w:val="000B2E0C"/>
    <w:rsid w:val="000B3D0C"/>
    <w:rsid w:val="000B6A5A"/>
    <w:rsid w:val="001167B9"/>
    <w:rsid w:val="001267A0"/>
    <w:rsid w:val="0015203F"/>
    <w:rsid w:val="00160C64"/>
    <w:rsid w:val="0018169B"/>
    <w:rsid w:val="0019352B"/>
    <w:rsid w:val="001960D0"/>
    <w:rsid w:val="001A6343"/>
    <w:rsid w:val="001F17E8"/>
    <w:rsid w:val="001F78ED"/>
    <w:rsid w:val="00204306"/>
    <w:rsid w:val="00232FD2"/>
    <w:rsid w:val="0026554E"/>
    <w:rsid w:val="002A4622"/>
    <w:rsid w:val="002A6F8F"/>
    <w:rsid w:val="002B17E5"/>
    <w:rsid w:val="002C0EBF"/>
    <w:rsid w:val="002C28A4"/>
    <w:rsid w:val="002E2BF5"/>
    <w:rsid w:val="00315AFE"/>
    <w:rsid w:val="003606A6"/>
    <w:rsid w:val="0036650C"/>
    <w:rsid w:val="003862F1"/>
    <w:rsid w:val="00393ACD"/>
    <w:rsid w:val="003A583E"/>
    <w:rsid w:val="003E112B"/>
    <w:rsid w:val="003E1D1C"/>
    <w:rsid w:val="003E7600"/>
    <w:rsid w:val="003E7B05"/>
    <w:rsid w:val="00426684"/>
    <w:rsid w:val="00466211"/>
    <w:rsid w:val="004834A9"/>
    <w:rsid w:val="004C29A0"/>
    <w:rsid w:val="004D01FC"/>
    <w:rsid w:val="004E28C3"/>
    <w:rsid w:val="004F1F8E"/>
    <w:rsid w:val="00512A32"/>
    <w:rsid w:val="0051718C"/>
    <w:rsid w:val="00586CF2"/>
    <w:rsid w:val="005910F9"/>
    <w:rsid w:val="005C3768"/>
    <w:rsid w:val="005C6C3F"/>
    <w:rsid w:val="00602986"/>
    <w:rsid w:val="00613635"/>
    <w:rsid w:val="00615EAB"/>
    <w:rsid w:val="0062093D"/>
    <w:rsid w:val="00637ECF"/>
    <w:rsid w:val="00647B59"/>
    <w:rsid w:val="00654F9C"/>
    <w:rsid w:val="00690C7B"/>
    <w:rsid w:val="006A4B45"/>
    <w:rsid w:val="006D4724"/>
    <w:rsid w:val="006E0F11"/>
    <w:rsid w:val="00701BAE"/>
    <w:rsid w:val="00721F04"/>
    <w:rsid w:val="00730E95"/>
    <w:rsid w:val="007426B9"/>
    <w:rsid w:val="00764342"/>
    <w:rsid w:val="00764561"/>
    <w:rsid w:val="00774362"/>
    <w:rsid w:val="00780BB6"/>
    <w:rsid w:val="00786598"/>
    <w:rsid w:val="007A04E8"/>
    <w:rsid w:val="008134FA"/>
    <w:rsid w:val="00851625"/>
    <w:rsid w:val="00863C0A"/>
    <w:rsid w:val="008A3120"/>
    <w:rsid w:val="008C6412"/>
    <w:rsid w:val="008D41BE"/>
    <w:rsid w:val="008D58D3"/>
    <w:rsid w:val="00903395"/>
    <w:rsid w:val="0091728E"/>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26FB"/>
    <w:rsid w:val="00AE36A0"/>
    <w:rsid w:val="00B00294"/>
    <w:rsid w:val="00B64FD0"/>
    <w:rsid w:val="00BA5BD0"/>
    <w:rsid w:val="00BB1D82"/>
    <w:rsid w:val="00BF26E7"/>
    <w:rsid w:val="00C16555"/>
    <w:rsid w:val="00C27A27"/>
    <w:rsid w:val="00C53FCA"/>
    <w:rsid w:val="00C76BAF"/>
    <w:rsid w:val="00C814B9"/>
    <w:rsid w:val="00C90063"/>
    <w:rsid w:val="00CD516F"/>
    <w:rsid w:val="00CF3204"/>
    <w:rsid w:val="00D119A7"/>
    <w:rsid w:val="00D25FBA"/>
    <w:rsid w:val="00D32B28"/>
    <w:rsid w:val="00D36807"/>
    <w:rsid w:val="00D3731C"/>
    <w:rsid w:val="00D42954"/>
    <w:rsid w:val="00D66EAC"/>
    <w:rsid w:val="00D730DF"/>
    <w:rsid w:val="00D772F0"/>
    <w:rsid w:val="00D77BDC"/>
    <w:rsid w:val="00D84318"/>
    <w:rsid w:val="00DC402B"/>
    <w:rsid w:val="00DE0932"/>
    <w:rsid w:val="00E03A27"/>
    <w:rsid w:val="00E049F1"/>
    <w:rsid w:val="00E36783"/>
    <w:rsid w:val="00E37A25"/>
    <w:rsid w:val="00E537FF"/>
    <w:rsid w:val="00E6539B"/>
    <w:rsid w:val="00E70A31"/>
    <w:rsid w:val="00EA3F38"/>
    <w:rsid w:val="00EA5AB6"/>
    <w:rsid w:val="00EB61F5"/>
    <w:rsid w:val="00EC7615"/>
    <w:rsid w:val="00ED16AA"/>
    <w:rsid w:val="00ED43F8"/>
    <w:rsid w:val="00EF5723"/>
    <w:rsid w:val="00EF662E"/>
    <w:rsid w:val="00F148F1"/>
    <w:rsid w:val="00F679D8"/>
    <w:rsid w:val="00F83C53"/>
    <w:rsid w:val="00FA3BBF"/>
    <w:rsid w:val="00FB55AC"/>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C0F4879-1F6F-4D95-8350-A0B6F016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uiPriority w:val="99"/>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NormalaftertitleChar">
    <w:name w:val="Normal after title Char"/>
    <w:link w:val="Normalaftertitle"/>
    <w:uiPriority w:val="99"/>
    <w:locked/>
    <w:rsid w:val="00615EAB"/>
    <w:rPr>
      <w:rFonts w:ascii="Times New Roman" w:hAnsi="Times New Roman"/>
      <w:sz w:val="24"/>
      <w:lang w:val="fr-FR" w:eastAsia="en-US"/>
    </w:rPr>
  </w:style>
  <w:style w:type="character" w:customStyle="1" w:styleId="CallChar">
    <w:name w:val="Call Char"/>
    <w:link w:val="Call"/>
    <w:uiPriority w:val="99"/>
    <w:locked/>
    <w:rsid w:val="00615EAB"/>
    <w:rPr>
      <w:rFonts w:ascii="Times New Roman" w:hAnsi="Times New Roman"/>
      <w:i/>
      <w:sz w:val="24"/>
      <w:lang w:val="fr-FR" w:eastAsia="en-US"/>
    </w:rPr>
  </w:style>
  <w:style w:type="paragraph" w:customStyle="1" w:styleId="Caa">
    <w:name w:val="Caa"/>
    <w:basedOn w:val="Call"/>
    <w:rsid w:val="00615EAB"/>
    <w:rPr>
      <w:lang w:val="en-GB"/>
    </w:rPr>
  </w:style>
  <w:style w:type="character" w:customStyle="1" w:styleId="ReasonsChar">
    <w:name w:val="Reasons Char"/>
    <w:link w:val="Reasons"/>
    <w:uiPriority w:val="99"/>
    <w:locked/>
    <w:rsid w:val="00615EAB"/>
    <w:rPr>
      <w:rFonts w:ascii="Times New Roman" w:hAnsi="Times New Roman"/>
      <w:sz w:val="24"/>
      <w:lang w:val="fr-FR" w:eastAsia="en-US"/>
    </w:rPr>
  </w:style>
  <w:style w:type="character" w:customStyle="1" w:styleId="AnnexNoCar">
    <w:name w:val="Annex_No Car"/>
    <w:link w:val="AnnexNo"/>
    <w:rsid w:val="00ED43F8"/>
    <w:rPr>
      <w:rFonts w:ascii="Times New Roman" w:hAnsi="Times New Roman"/>
      <w:caps/>
      <w:sz w:val="28"/>
      <w:lang w:val="fr-FR" w:eastAsia="en-US"/>
    </w:rPr>
  </w:style>
  <w:style w:type="character" w:customStyle="1" w:styleId="HeadingbChar">
    <w:name w:val="Heading_b Char"/>
    <w:basedOn w:val="DefaultParagraphFont"/>
    <w:link w:val="Headingb"/>
    <w:locked/>
    <w:rsid w:val="00ED43F8"/>
    <w:rPr>
      <w:rFonts w:ascii="Times New Roman" w:hAnsi="Times New Roman"/>
      <w:b/>
      <w:sz w:val="24"/>
      <w:lang w:val="fr-FR" w:eastAsia="en-US"/>
    </w:rPr>
  </w:style>
  <w:style w:type="paragraph" w:customStyle="1" w:styleId="end">
    <w:name w:val="end"/>
    <w:basedOn w:val="Normal"/>
    <w:rsid w:val="000B6A5A"/>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R15-WRC15-C-0007!A24-A1!MSW-F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F4CE661A-0B44-485C-A74F-381C787A4174}">
  <ds:schemaRefs>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32a1a8c5-2265-4ebc-b7a0-2071e2c5c9bb"/>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1528</Words>
  <Characters>8793</Characters>
  <Application>Microsoft Office Word</Application>
  <DocSecurity>0</DocSecurity>
  <Lines>183</Lines>
  <Paragraphs>96</Paragraphs>
  <ScaleCrop>false</ScaleCrop>
  <HeadingPairs>
    <vt:vector size="2" baseType="variant">
      <vt:variant>
        <vt:lpstr>Title</vt:lpstr>
      </vt:variant>
      <vt:variant>
        <vt:i4>1</vt:i4>
      </vt:variant>
    </vt:vector>
  </HeadingPairs>
  <TitlesOfParts>
    <vt:vector size="1" baseType="lpstr">
      <vt:lpstr>R15-WRC15-C-0007!A24-A1!MSW-F</vt:lpstr>
    </vt:vector>
  </TitlesOfParts>
  <Manager>Secrétariat général - Pool</Manager>
  <Company>Union internationale des télécommunications (UIT)</Company>
  <LinksUpToDate>false</LinksUpToDate>
  <CharactersWithSpaces>10225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R15-WRC15-C-0007!A24-A1!MSW-F</dc:title>
  <dc:subject>Conférence mondiale des radiocommunications - 2015</dc:subject>
  <dc:creator>Documents Proposals Manager (DPM)</dc:creator>
  <cp:keywords>DPM_v5.2015.9.16_prod</cp:keywords>
  <dc:description/>
  <cp:lastModifiedBy>Saxod, Nathalie</cp:lastModifiedBy>
  <cp:revision>6</cp:revision>
  <cp:lastPrinted>2003-06-05T19:34:00Z</cp:lastPrinted>
  <dcterms:created xsi:type="dcterms:W3CDTF">2015-10-15T17:49:00Z</dcterms:created>
  <dcterms:modified xsi:type="dcterms:W3CDTF">2015-10-15T20:43:00Z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