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  <w:gridCol w:w="317"/>
      </w:tblGrid>
      <w:tr w:rsidR="0090121B" w:rsidRPr="005611EA" w:rsidTr="005E7F14">
        <w:trPr>
          <w:gridAfter w:val="1"/>
          <w:wAfter w:w="317" w:type="dxa"/>
          <w:cantSplit/>
        </w:trPr>
        <w:tc>
          <w:tcPr>
            <w:tcW w:w="6521" w:type="dxa"/>
          </w:tcPr>
          <w:p w:rsidR="0090121B" w:rsidRPr="005611E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611E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5611E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611E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510" w:type="dxa"/>
          </w:tcPr>
          <w:p w:rsidR="0090121B" w:rsidRPr="005611EA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611EA">
              <w:rPr>
                <w:noProof/>
                <w:lang w:eastAsia="zh-CN"/>
              </w:rPr>
              <w:drawing>
                <wp:inline distT="0" distB="0" distL="0" distR="0" wp14:anchorId="298B022D" wp14:editId="54DF3AC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611EA" w:rsidTr="005E7F14">
        <w:trPr>
          <w:gridAfter w:val="1"/>
          <w:wAfter w:w="317" w:type="dxa"/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90121B" w:rsidRPr="005611EA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611EA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90121B" w:rsidRPr="005611E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611EA" w:rsidTr="005E7F14">
        <w:trPr>
          <w:gridAfter w:val="1"/>
          <w:wAfter w:w="317" w:type="dxa"/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90121B" w:rsidRPr="005611E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90121B" w:rsidRPr="005611E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611EA" w:rsidTr="005E7F14">
        <w:trPr>
          <w:cantSplit/>
        </w:trPr>
        <w:tc>
          <w:tcPr>
            <w:tcW w:w="6521" w:type="dxa"/>
            <w:shd w:val="clear" w:color="auto" w:fill="auto"/>
          </w:tcPr>
          <w:p w:rsidR="0090121B" w:rsidRPr="005611EA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11EA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0121B" w:rsidRPr="005611EA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611EA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5611EA">
              <w:rPr>
                <w:rFonts w:ascii="Verdana" w:eastAsia="SimSun" w:hAnsi="Verdana" w:cs="Traditional Arabic"/>
                <w:b/>
                <w:sz w:val="20"/>
              </w:rPr>
              <w:br/>
              <w:t>Documento 7(Add.23)(Add.2)</w:t>
            </w:r>
            <w:r w:rsidR="0090121B" w:rsidRPr="005611EA">
              <w:rPr>
                <w:rFonts w:ascii="Verdana" w:hAnsi="Verdana"/>
                <w:b/>
                <w:sz w:val="20"/>
              </w:rPr>
              <w:t>-</w:t>
            </w:r>
            <w:r w:rsidRPr="005611EA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611EA" w:rsidTr="005E7F14">
        <w:trPr>
          <w:gridAfter w:val="1"/>
          <w:wAfter w:w="317" w:type="dxa"/>
          <w:cantSplit/>
        </w:trPr>
        <w:tc>
          <w:tcPr>
            <w:tcW w:w="6521" w:type="dxa"/>
            <w:shd w:val="clear" w:color="auto" w:fill="auto"/>
          </w:tcPr>
          <w:p w:rsidR="000A5B9A" w:rsidRPr="005611E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0A5B9A" w:rsidRPr="005611E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11EA">
              <w:rPr>
                <w:rFonts w:ascii="Verdana" w:hAnsi="Verdana"/>
                <w:b/>
                <w:sz w:val="20"/>
              </w:rPr>
              <w:t>29 de septiembre de 2015</w:t>
            </w:r>
          </w:p>
        </w:tc>
      </w:tr>
      <w:tr w:rsidR="000A5B9A" w:rsidRPr="005611EA" w:rsidTr="005E7F14">
        <w:trPr>
          <w:gridAfter w:val="1"/>
          <w:wAfter w:w="317" w:type="dxa"/>
          <w:cantSplit/>
        </w:trPr>
        <w:tc>
          <w:tcPr>
            <w:tcW w:w="6521" w:type="dxa"/>
          </w:tcPr>
          <w:p w:rsidR="000A5B9A" w:rsidRPr="005611E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</w:tcPr>
          <w:p w:rsidR="000A5B9A" w:rsidRPr="005611E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611E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611EA" w:rsidTr="005E7F14">
        <w:trPr>
          <w:gridAfter w:val="1"/>
          <w:wAfter w:w="317" w:type="dxa"/>
          <w:cantSplit/>
        </w:trPr>
        <w:tc>
          <w:tcPr>
            <w:tcW w:w="10031" w:type="dxa"/>
            <w:gridSpan w:val="2"/>
          </w:tcPr>
          <w:p w:rsidR="000A5B9A" w:rsidRPr="005611EA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611EA" w:rsidTr="005E7F14">
        <w:trPr>
          <w:gridAfter w:val="1"/>
          <w:wAfter w:w="317" w:type="dxa"/>
          <w:cantSplit/>
        </w:trPr>
        <w:tc>
          <w:tcPr>
            <w:tcW w:w="10031" w:type="dxa"/>
            <w:gridSpan w:val="2"/>
          </w:tcPr>
          <w:p w:rsidR="000A5B9A" w:rsidRPr="005611EA" w:rsidRDefault="000A5B9A" w:rsidP="000A5B9A">
            <w:pPr>
              <w:pStyle w:val="Source"/>
            </w:pPr>
            <w:bookmarkStart w:id="2" w:name="dsource" w:colFirst="0" w:colLast="0"/>
            <w:r w:rsidRPr="005611EA">
              <w:t>Estados Miembros de la Comisión Interamericana de Telecomunicaciones (CITEL)</w:t>
            </w:r>
          </w:p>
        </w:tc>
      </w:tr>
      <w:tr w:rsidR="000A5B9A" w:rsidRPr="005611EA" w:rsidTr="005E7F14">
        <w:trPr>
          <w:gridAfter w:val="1"/>
          <w:wAfter w:w="317" w:type="dxa"/>
          <w:cantSplit/>
        </w:trPr>
        <w:tc>
          <w:tcPr>
            <w:tcW w:w="10031" w:type="dxa"/>
            <w:gridSpan w:val="2"/>
          </w:tcPr>
          <w:p w:rsidR="000A5B9A" w:rsidRPr="005611EA" w:rsidRDefault="00C15007" w:rsidP="000A5B9A">
            <w:pPr>
              <w:pStyle w:val="Title1"/>
            </w:pPr>
            <w:bookmarkStart w:id="3" w:name="dtitle1" w:colFirst="0" w:colLast="0"/>
            <w:bookmarkEnd w:id="2"/>
            <w:r w:rsidRPr="005611EA">
              <w:t>PROPUESTAS PARA LOS TRABAJOS DE LA CONFERENCIA</w:t>
            </w:r>
          </w:p>
        </w:tc>
      </w:tr>
      <w:tr w:rsidR="000A5B9A" w:rsidRPr="005611EA" w:rsidTr="005E7F14">
        <w:trPr>
          <w:gridAfter w:val="1"/>
          <w:wAfter w:w="317" w:type="dxa"/>
          <w:cantSplit/>
        </w:trPr>
        <w:tc>
          <w:tcPr>
            <w:tcW w:w="10031" w:type="dxa"/>
            <w:gridSpan w:val="2"/>
          </w:tcPr>
          <w:p w:rsidR="000A5B9A" w:rsidRPr="005611EA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611EA" w:rsidTr="005E7F14">
        <w:trPr>
          <w:gridAfter w:val="1"/>
          <w:wAfter w:w="317" w:type="dxa"/>
          <w:cantSplit/>
        </w:trPr>
        <w:tc>
          <w:tcPr>
            <w:tcW w:w="10031" w:type="dxa"/>
            <w:gridSpan w:val="2"/>
          </w:tcPr>
          <w:p w:rsidR="000A5B9A" w:rsidRPr="005611E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5611EA">
              <w:t>Punto 9.2(9.2.2) del orden del día</w:t>
            </w:r>
          </w:p>
        </w:tc>
      </w:tr>
    </w:tbl>
    <w:bookmarkEnd w:id="5"/>
    <w:p w:rsidR="006C20F8" w:rsidRPr="005611EA" w:rsidRDefault="00AB5B7B" w:rsidP="00F54E56">
      <w:r w:rsidRPr="005611EA">
        <w:t>9</w:t>
      </w:r>
      <w:r w:rsidRPr="005611EA">
        <w:tab/>
        <w:t>examinar y aprobar el Informe del Director de la Oficina de Radiocomunicaciones, de conformidad con el Artículo 7 del Convenio:</w:t>
      </w:r>
    </w:p>
    <w:p w:rsidR="001C0E40" w:rsidRPr="005611EA" w:rsidRDefault="00AB5B7B" w:rsidP="00F54E56">
      <w:r w:rsidRPr="005611EA">
        <w:t>9.2</w:t>
      </w:r>
      <w:r w:rsidRPr="005611EA">
        <w:tab/>
        <w:t>sobre las dificultades o incoherencias observadas en la aplicación del Reglamento de Radiocomunicaciones; y</w:t>
      </w:r>
    </w:p>
    <w:p w:rsidR="008853F3" w:rsidRDefault="00F54E56" w:rsidP="00F54E56">
      <w:pPr>
        <w:rPr>
          <w:color w:val="000000"/>
          <w:szCs w:val="24"/>
        </w:rPr>
      </w:pPr>
      <w:r w:rsidRPr="00F54E56">
        <w:t>9.2(9.2.2)</w:t>
      </w:r>
      <w:r w:rsidR="00AB5B7B" w:rsidRPr="005611EA">
        <w:rPr>
          <w:color w:val="000000"/>
          <w:szCs w:val="24"/>
        </w:rPr>
        <w:tab/>
        <w:t>Aclaración sobre el uso de las atribuciones al espacio lejano con respecto a ciertas disposiciones del Reglamento de Radiocomunicaciones</w:t>
      </w:r>
      <w:bookmarkStart w:id="6" w:name="_GoBack"/>
      <w:bookmarkEnd w:id="6"/>
    </w:p>
    <w:p w:rsidR="00FD79CF" w:rsidRPr="005611EA" w:rsidRDefault="00FD79CF" w:rsidP="005B0EDF"/>
    <w:p w:rsidR="00060210" w:rsidRPr="00FD79CF" w:rsidRDefault="00060210" w:rsidP="00FD79CF">
      <w:pPr>
        <w:pStyle w:val="Headingb"/>
      </w:pPr>
      <w:r w:rsidRPr="00FD79CF">
        <w:t>Antecedentes</w:t>
      </w:r>
    </w:p>
    <w:p w:rsidR="00060210" w:rsidRPr="00837464" w:rsidRDefault="00060210" w:rsidP="00837464">
      <w:pPr>
        <w:rPr>
          <w:lang w:val="en-GB" w:eastAsia="zh-CN"/>
        </w:rPr>
      </w:pPr>
      <w:r w:rsidRPr="005B0EDF">
        <w:rPr>
          <w:lang w:eastAsia="zh-CN"/>
        </w:rPr>
        <w:t xml:space="preserve">Durante los preparativos para el punto 1.9.1 en el orden del día de la CMR-15, surgieron preguntas respecto a la protección de las operaciones cercanas a la Tierra en las misiones de espacio </w:t>
      </w:r>
      <w:r w:rsidR="00E8027F" w:rsidRPr="005B0EDF">
        <w:rPr>
          <w:lang w:eastAsia="zh-CN"/>
        </w:rPr>
        <w:t xml:space="preserve">lejano </w:t>
      </w:r>
      <w:r w:rsidRPr="005B0EDF">
        <w:rPr>
          <w:lang w:eastAsia="zh-CN"/>
        </w:rPr>
        <w:t xml:space="preserve">y si dichas operaciones debían ser protegidas de la misma manera que las transmisiones y recepciones en la región del espacio </w:t>
      </w:r>
      <w:r w:rsidR="00E8027F" w:rsidRPr="005B0EDF">
        <w:rPr>
          <w:lang w:eastAsia="zh-CN"/>
        </w:rPr>
        <w:t>lejano</w:t>
      </w:r>
      <w:r w:rsidRPr="005B0EDF">
        <w:rPr>
          <w:lang w:eastAsia="zh-CN"/>
        </w:rPr>
        <w:t xml:space="preserve">. </w:t>
      </w:r>
      <w:r w:rsidRPr="00837464">
        <w:rPr>
          <w:lang w:val="en-GB" w:eastAsia="zh-CN"/>
        </w:rPr>
        <w:t>Entre dichas operaciones se puede incluir las fases de lanzamiento y órbita temprana, los sobrevuelos de la Tierra, o el retorno a la misma.</w:t>
      </w:r>
    </w:p>
    <w:p w:rsidR="00060210" w:rsidRPr="00837464" w:rsidRDefault="00060210" w:rsidP="00837464">
      <w:pPr>
        <w:rPr>
          <w:lang w:val="en-GB" w:eastAsia="zh-CN"/>
        </w:rPr>
      </w:pPr>
      <w:r w:rsidRPr="00837464">
        <w:rPr>
          <w:lang w:val="en-GB" w:eastAsia="zh-CN"/>
        </w:rPr>
        <w:t xml:space="preserve">Al examinar la redacción de los </w:t>
      </w:r>
      <w:r w:rsidR="007F7343" w:rsidRPr="00837464">
        <w:rPr>
          <w:lang w:val="en-GB" w:eastAsia="zh-CN"/>
        </w:rPr>
        <w:t>números</w:t>
      </w:r>
      <w:r w:rsidRPr="00837464">
        <w:rPr>
          <w:lang w:val="en-GB" w:eastAsia="zh-CN"/>
        </w:rPr>
        <w:t xml:space="preserve"> 5.460 y 5.465 del Artículo 5 del RR, los cuales se aplican a l</w:t>
      </w:r>
      <w:r w:rsidR="00013425" w:rsidRPr="00837464">
        <w:rPr>
          <w:lang w:val="en-GB" w:eastAsia="zh-CN"/>
        </w:rPr>
        <w:t>a asignación de las bandas de 7 145</w:t>
      </w:r>
      <w:r w:rsidR="00013425" w:rsidRPr="00837464">
        <w:rPr>
          <w:lang w:val="en-GB" w:eastAsia="zh-CN"/>
        </w:rPr>
        <w:noBreakHyphen/>
        <w:t>7 235 MHz y 8 400-8 500 </w:t>
      </w:r>
      <w:r w:rsidRPr="00837464">
        <w:rPr>
          <w:lang w:val="en-GB" w:eastAsia="zh-CN"/>
        </w:rPr>
        <w:t xml:space="preserve">MHz a la investigación espacial, se concluyó que estas notas al pie de página podrían interpretarse de manera que su cumplimiento sea una imposibilidad física y resultaran en la restricción del uso de las frecuencias en forma incompatible con el diseño de una nave destinada a las operaciones del espacio </w:t>
      </w:r>
      <w:r w:rsidR="00E8027F" w:rsidRPr="00837464">
        <w:rPr>
          <w:lang w:val="en-GB" w:eastAsia="zh-CN"/>
        </w:rPr>
        <w:t>lejano</w:t>
      </w:r>
      <w:r w:rsidRPr="00837464">
        <w:rPr>
          <w:lang w:val="en-GB" w:eastAsia="zh-CN"/>
        </w:rPr>
        <w:t>. El Comité Coordinador remitió esta cuestión a la RPC-15 bajo el punto 9.2 del orden del día.</w:t>
      </w:r>
    </w:p>
    <w:p w:rsidR="008750A8" w:rsidRPr="00837464" w:rsidRDefault="00060210" w:rsidP="00837464">
      <w:pPr>
        <w:rPr>
          <w:lang w:val="en-GB" w:eastAsia="zh-CN"/>
        </w:rPr>
      </w:pPr>
      <w:r w:rsidRPr="00837464">
        <w:rPr>
          <w:lang w:val="en-GB" w:eastAsia="zh-CN"/>
        </w:rPr>
        <w:t xml:space="preserve">A fin de resolver el problema, se propone añadir una disposición en el Artículo 4 del RR en la que se describa el uso de las asignaciones al SRS en el espacio </w:t>
      </w:r>
      <w:r w:rsidR="00E8027F" w:rsidRPr="00837464">
        <w:rPr>
          <w:lang w:val="en-GB" w:eastAsia="zh-CN"/>
        </w:rPr>
        <w:t>lejano</w:t>
      </w:r>
      <w:r w:rsidRPr="00837464">
        <w:rPr>
          <w:lang w:val="en-GB" w:eastAsia="zh-CN"/>
        </w:rPr>
        <w:t>. Esto sería congruente con el Método A de la Sección 2/9.2.2 del Informe de la RPC y obviaría la necesidad de modificar varias disposiciones del Artículo 5</w:t>
      </w:r>
      <w:r w:rsidR="00F85594" w:rsidRPr="00837464">
        <w:rPr>
          <w:lang w:val="en-GB" w:eastAsia="zh-CN"/>
        </w:rPr>
        <w:t xml:space="preserve"> del RR designadas como de «</w:t>
      </w:r>
      <w:r w:rsidRPr="00837464">
        <w:rPr>
          <w:lang w:val="en-GB" w:eastAsia="zh-CN"/>
        </w:rPr>
        <w:t xml:space="preserve">espacio </w:t>
      </w:r>
      <w:r w:rsidR="00E8027F" w:rsidRPr="00837464">
        <w:rPr>
          <w:lang w:val="en-GB" w:eastAsia="zh-CN"/>
        </w:rPr>
        <w:t>lejano</w:t>
      </w:r>
      <w:r w:rsidR="00F85594" w:rsidRPr="00837464">
        <w:rPr>
          <w:lang w:val="en-GB" w:eastAsia="zh-CN"/>
        </w:rPr>
        <w:t>»</w:t>
      </w:r>
      <w:r w:rsidRPr="00837464">
        <w:rPr>
          <w:lang w:val="en-GB" w:eastAsia="zh-CN"/>
        </w:rPr>
        <w:t xml:space="preserve">. Esta propuesta no </w:t>
      </w:r>
      <w:r w:rsidRPr="00837464">
        <w:rPr>
          <w:lang w:val="en-GB" w:eastAsia="zh-CN"/>
        </w:rPr>
        <w:lastRenderedPageBreak/>
        <w:t xml:space="preserve">requeriría de ninguna modificación de las definiciones en el Artículo 1. Cabe hacer notar que el </w:t>
      </w:r>
      <w:r w:rsidR="00716E46" w:rsidRPr="00837464">
        <w:rPr>
          <w:lang w:val="en-GB" w:eastAsia="zh-CN"/>
        </w:rPr>
        <w:t>número</w:t>
      </w:r>
      <w:r w:rsidR="00EF085D" w:rsidRPr="00837464">
        <w:rPr>
          <w:lang w:val="en-GB" w:eastAsia="zh-CN"/>
        </w:rPr>
        <w:t> </w:t>
      </w:r>
      <w:r w:rsidRPr="00837464">
        <w:rPr>
          <w:lang w:val="en-GB" w:eastAsia="zh-CN"/>
        </w:rPr>
        <w:t>0.4 aplica.</w:t>
      </w:r>
    </w:p>
    <w:p w:rsidR="00E9639E" w:rsidRPr="001440F3" w:rsidRDefault="00295ABC" w:rsidP="001440F3">
      <w:pPr>
        <w:pStyle w:val="Headingb"/>
      </w:pPr>
      <w:r>
        <w:t>Propuesta</w:t>
      </w:r>
    </w:p>
    <w:p w:rsidR="00F008F3" w:rsidRPr="005611EA" w:rsidRDefault="00AB5B7B" w:rsidP="00D12433">
      <w:pPr>
        <w:pStyle w:val="ArtNo"/>
      </w:pPr>
      <w:r w:rsidRPr="005611EA">
        <w:t xml:space="preserve">ARTÍCULO </w:t>
      </w:r>
      <w:r w:rsidRPr="005611EA">
        <w:rPr>
          <w:rStyle w:val="href"/>
        </w:rPr>
        <w:t>4</w:t>
      </w:r>
    </w:p>
    <w:p w:rsidR="00F008F3" w:rsidRPr="005611EA" w:rsidRDefault="00AB5B7B" w:rsidP="00D44B91">
      <w:pPr>
        <w:pStyle w:val="Arttitle"/>
      </w:pPr>
      <w:r w:rsidRPr="005611EA">
        <w:t>Asignación y empleo de las frecuencias</w:t>
      </w:r>
    </w:p>
    <w:p w:rsidR="00611246" w:rsidRPr="005611EA" w:rsidRDefault="00AB5B7B">
      <w:pPr>
        <w:pStyle w:val="Proposal"/>
      </w:pPr>
      <w:r w:rsidRPr="005611EA">
        <w:t>ADD</w:t>
      </w:r>
      <w:r w:rsidRPr="005611EA">
        <w:tab/>
        <w:t>IAP/7A23A2A2/1</w:t>
      </w:r>
    </w:p>
    <w:p w:rsidR="00611246" w:rsidRPr="005611EA" w:rsidRDefault="00AB5B7B" w:rsidP="00E8027F">
      <w:r w:rsidRPr="005611EA">
        <w:rPr>
          <w:rStyle w:val="Artdef"/>
        </w:rPr>
        <w:t>4.A922</w:t>
      </w:r>
      <w:r w:rsidRPr="005611EA">
        <w:tab/>
      </w:r>
      <w:r w:rsidR="00A73A44" w:rsidRPr="00643135">
        <w:t xml:space="preserve">Los sistemas de investigación espacial destinados a operar en </w:t>
      </w:r>
      <w:r w:rsidR="00C4482A" w:rsidRPr="00643135">
        <w:t xml:space="preserve">espacio </w:t>
      </w:r>
      <w:r w:rsidR="00E8027F" w:rsidRPr="00643135">
        <w:t xml:space="preserve">lejano </w:t>
      </w:r>
      <w:r w:rsidR="00A73A44" w:rsidRPr="00643135">
        <w:t xml:space="preserve">también pueden utilizar las atribuciones del </w:t>
      </w:r>
      <w:r w:rsidRPr="00643135">
        <w:t xml:space="preserve">servicio </w:t>
      </w:r>
      <w:r w:rsidR="00A73A44" w:rsidRPr="00643135">
        <w:t xml:space="preserve">de </w:t>
      </w:r>
      <w:r w:rsidRPr="00643135">
        <w:t xml:space="preserve">investigación espacial </w:t>
      </w:r>
      <w:r w:rsidR="00A73A44" w:rsidRPr="00643135">
        <w:t>(</w:t>
      </w:r>
      <w:r w:rsidR="00C4482A" w:rsidRPr="00643135">
        <w:t xml:space="preserve">espacio </w:t>
      </w:r>
      <w:r w:rsidR="00E8027F" w:rsidRPr="00643135">
        <w:t>lejano</w:t>
      </w:r>
      <w:r w:rsidR="00A73A44" w:rsidRPr="00643135">
        <w:t xml:space="preserve">), con el mismo estatus que dichas atribuciones, cuando la nave se encuentra próxima a la Tierra, como durante su lanzamiento, órbita temprana, sobrevuelo de </w:t>
      </w:r>
      <w:r w:rsidR="00740588" w:rsidRPr="00643135">
        <w:t>la Tierra y retorno a la misma.</w:t>
      </w:r>
      <w:r w:rsidR="00740588" w:rsidRPr="00643135">
        <w:rPr>
          <w:sz w:val="16"/>
          <w:szCs w:val="16"/>
        </w:rPr>
        <w:t>     </w:t>
      </w:r>
      <w:r w:rsidR="00A73A44" w:rsidRPr="00643135">
        <w:rPr>
          <w:sz w:val="16"/>
          <w:szCs w:val="16"/>
        </w:rPr>
        <w:t>(CMR-15)</w:t>
      </w:r>
    </w:p>
    <w:p w:rsidR="00611246" w:rsidRPr="005611EA" w:rsidRDefault="00AB5B7B" w:rsidP="00E8027F">
      <w:pPr>
        <w:pStyle w:val="Reasons"/>
      </w:pPr>
      <w:r w:rsidRPr="005611EA">
        <w:rPr>
          <w:b/>
        </w:rPr>
        <w:t>Motivos:</w:t>
      </w:r>
      <w:r w:rsidRPr="005611EA">
        <w:tab/>
      </w:r>
      <w:r w:rsidR="00FB468B" w:rsidRPr="005611EA">
        <w:t xml:space="preserve">Aclarar que las operaciones cercanas a la Tierra en las misiones de </w:t>
      </w:r>
      <w:r w:rsidR="00C4482A" w:rsidRPr="005611EA">
        <w:rPr>
          <w:szCs w:val="24"/>
          <w:bdr w:val="nil"/>
        </w:rPr>
        <w:t xml:space="preserve">espacio </w:t>
      </w:r>
      <w:r w:rsidR="00E8027F" w:rsidRPr="005611EA">
        <w:rPr>
          <w:color w:val="000000"/>
          <w:szCs w:val="24"/>
        </w:rPr>
        <w:t>lejano</w:t>
      </w:r>
      <w:r w:rsidR="00FB468B" w:rsidRPr="005611EA">
        <w:t xml:space="preserve">, deben ser protegidas de la misma manera que las transmisiones y recepciones en la región del </w:t>
      </w:r>
      <w:r w:rsidR="00C4482A" w:rsidRPr="005611EA">
        <w:rPr>
          <w:szCs w:val="24"/>
          <w:bdr w:val="nil"/>
        </w:rPr>
        <w:t xml:space="preserve">espacio </w:t>
      </w:r>
      <w:r w:rsidR="00E8027F" w:rsidRPr="005611EA">
        <w:rPr>
          <w:color w:val="000000"/>
          <w:szCs w:val="24"/>
        </w:rPr>
        <w:t>lejano</w:t>
      </w:r>
      <w:r w:rsidR="00FB468B" w:rsidRPr="005611EA">
        <w:t>, sin modificar el Artículo 1.</w:t>
      </w:r>
    </w:p>
    <w:p w:rsidR="00BE19E1" w:rsidRPr="005611EA" w:rsidRDefault="00BE19E1" w:rsidP="0032202E">
      <w:pPr>
        <w:pStyle w:val="Reasons"/>
      </w:pPr>
    </w:p>
    <w:p w:rsidR="00BE19E1" w:rsidRPr="005611EA" w:rsidRDefault="00BE19E1" w:rsidP="004343A0">
      <w:pPr>
        <w:jc w:val="center"/>
      </w:pPr>
      <w:r w:rsidRPr="005611EA">
        <w:t>______________</w:t>
      </w:r>
    </w:p>
    <w:sectPr w:rsidR="00BE19E1" w:rsidRPr="005611E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5222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35" w:rsidRDefault="00E63F35" w:rsidP="00E63F3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P:\ESP\ITU-R\CONF-R\CMR15\000\007ADD23ADD02ADD02S.docx</w:t>
    </w:r>
    <w:r>
      <w:fldChar w:fldCharType="end"/>
    </w:r>
    <w:r>
      <w:t xml:space="preserve"> (387404)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5222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3F35">
      <w:rPr>
        <w:lang w:val="en-US"/>
      </w:rPr>
      <w:t>P:\ESP\ITU-R\CONF-R\CMR15\000\007ADD23ADD02ADD02S.docx</w:t>
    </w:r>
    <w:r>
      <w:fldChar w:fldCharType="end"/>
    </w:r>
    <w:r w:rsidR="00E63F35">
      <w:t xml:space="preserve"> (387404)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5222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F35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4E5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7(Add.23)(Add.2)(Add.2)-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2CE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A0D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664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8E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7C2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6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1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CC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28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21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3425"/>
    <w:rsid w:val="0002785D"/>
    <w:rsid w:val="00060210"/>
    <w:rsid w:val="00087AE8"/>
    <w:rsid w:val="000A5B9A"/>
    <w:rsid w:val="000C5D4E"/>
    <w:rsid w:val="000D2046"/>
    <w:rsid w:val="000E5BF9"/>
    <w:rsid w:val="000F0E6D"/>
    <w:rsid w:val="00121170"/>
    <w:rsid w:val="00123CC5"/>
    <w:rsid w:val="001440F3"/>
    <w:rsid w:val="0015142D"/>
    <w:rsid w:val="001616DC"/>
    <w:rsid w:val="00163962"/>
    <w:rsid w:val="00191A97"/>
    <w:rsid w:val="00193249"/>
    <w:rsid w:val="001A083F"/>
    <w:rsid w:val="001C41FA"/>
    <w:rsid w:val="001E2B52"/>
    <w:rsid w:val="001E3F27"/>
    <w:rsid w:val="00236D2A"/>
    <w:rsid w:val="00242158"/>
    <w:rsid w:val="00255F12"/>
    <w:rsid w:val="00262C09"/>
    <w:rsid w:val="00295ABC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D2589"/>
    <w:rsid w:val="00413503"/>
    <w:rsid w:val="004343A0"/>
    <w:rsid w:val="00440B3A"/>
    <w:rsid w:val="00451D52"/>
    <w:rsid w:val="0045384C"/>
    <w:rsid w:val="00454553"/>
    <w:rsid w:val="00460F52"/>
    <w:rsid w:val="004B124A"/>
    <w:rsid w:val="005133B5"/>
    <w:rsid w:val="00532097"/>
    <w:rsid w:val="005611EA"/>
    <w:rsid w:val="0058350F"/>
    <w:rsid w:val="005838F0"/>
    <w:rsid w:val="00583C7E"/>
    <w:rsid w:val="005B0EDF"/>
    <w:rsid w:val="005D46FB"/>
    <w:rsid w:val="005E7F14"/>
    <w:rsid w:val="005F2605"/>
    <w:rsid w:val="005F3B0E"/>
    <w:rsid w:val="005F559C"/>
    <w:rsid w:val="00611246"/>
    <w:rsid w:val="00637BE1"/>
    <w:rsid w:val="00643135"/>
    <w:rsid w:val="00662BA0"/>
    <w:rsid w:val="00692AAE"/>
    <w:rsid w:val="006B1FC2"/>
    <w:rsid w:val="006D6E67"/>
    <w:rsid w:val="006E1A13"/>
    <w:rsid w:val="006F2CBD"/>
    <w:rsid w:val="00701C20"/>
    <w:rsid w:val="00702F3D"/>
    <w:rsid w:val="0070518E"/>
    <w:rsid w:val="00716E46"/>
    <w:rsid w:val="007354E9"/>
    <w:rsid w:val="00740588"/>
    <w:rsid w:val="00765578"/>
    <w:rsid w:val="0077084A"/>
    <w:rsid w:val="007952C7"/>
    <w:rsid w:val="007C0B95"/>
    <w:rsid w:val="007C2317"/>
    <w:rsid w:val="007D330A"/>
    <w:rsid w:val="007E5222"/>
    <w:rsid w:val="007F7343"/>
    <w:rsid w:val="00805C64"/>
    <w:rsid w:val="00837464"/>
    <w:rsid w:val="00852F13"/>
    <w:rsid w:val="00866AE6"/>
    <w:rsid w:val="008750A8"/>
    <w:rsid w:val="008E5AF2"/>
    <w:rsid w:val="0090121B"/>
    <w:rsid w:val="00912756"/>
    <w:rsid w:val="009144C9"/>
    <w:rsid w:val="0094091F"/>
    <w:rsid w:val="00973754"/>
    <w:rsid w:val="009C0BED"/>
    <w:rsid w:val="009E11EC"/>
    <w:rsid w:val="009E50B8"/>
    <w:rsid w:val="00A118DB"/>
    <w:rsid w:val="00A4450C"/>
    <w:rsid w:val="00A73A44"/>
    <w:rsid w:val="00A95207"/>
    <w:rsid w:val="00AA5E6C"/>
    <w:rsid w:val="00AB5B7B"/>
    <w:rsid w:val="00AE5677"/>
    <w:rsid w:val="00AE658F"/>
    <w:rsid w:val="00AF2F78"/>
    <w:rsid w:val="00AF46A4"/>
    <w:rsid w:val="00B239FA"/>
    <w:rsid w:val="00B31B56"/>
    <w:rsid w:val="00B52D55"/>
    <w:rsid w:val="00B8288C"/>
    <w:rsid w:val="00BE19E1"/>
    <w:rsid w:val="00BE2E80"/>
    <w:rsid w:val="00BE5EDD"/>
    <w:rsid w:val="00BE6A1F"/>
    <w:rsid w:val="00C126C4"/>
    <w:rsid w:val="00C15007"/>
    <w:rsid w:val="00C4482A"/>
    <w:rsid w:val="00C63EB5"/>
    <w:rsid w:val="00C82CFB"/>
    <w:rsid w:val="00CC01E0"/>
    <w:rsid w:val="00CC09B1"/>
    <w:rsid w:val="00CD5FEE"/>
    <w:rsid w:val="00CE60D2"/>
    <w:rsid w:val="00CE7431"/>
    <w:rsid w:val="00D0288A"/>
    <w:rsid w:val="00D72A5D"/>
    <w:rsid w:val="00DA1DF8"/>
    <w:rsid w:val="00DC629B"/>
    <w:rsid w:val="00E05BFF"/>
    <w:rsid w:val="00E262F1"/>
    <w:rsid w:val="00E3176A"/>
    <w:rsid w:val="00E54754"/>
    <w:rsid w:val="00E56BD3"/>
    <w:rsid w:val="00E63F35"/>
    <w:rsid w:val="00E71D14"/>
    <w:rsid w:val="00E8027F"/>
    <w:rsid w:val="00E9639E"/>
    <w:rsid w:val="00ED251D"/>
    <w:rsid w:val="00EF085D"/>
    <w:rsid w:val="00F54E56"/>
    <w:rsid w:val="00F66597"/>
    <w:rsid w:val="00F675D0"/>
    <w:rsid w:val="00F8150C"/>
    <w:rsid w:val="00F85594"/>
    <w:rsid w:val="00FB1673"/>
    <w:rsid w:val="00FB468B"/>
    <w:rsid w:val="00FD79C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D04C07E-0D75-467E-9221-AE16FA7F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CommentTextChar">
    <w:name w:val="Comment Text Char"/>
    <w:basedOn w:val="DefaultParagraphFont"/>
    <w:link w:val="CommentText"/>
    <w:semiHidden/>
    <w:rsid w:val="00060210"/>
    <w:rPr>
      <w:rFonts w:ascii="Times New Roman" w:hAnsi="Times New Roman"/>
      <w:lang w:val="es-ES_tradnl" w:eastAsia="en-US"/>
    </w:rPr>
  </w:style>
  <w:style w:type="paragraph" w:customStyle="1" w:styleId="Headingb0">
    <w:name w:val="Heading_bÇ"/>
    <w:basedOn w:val="Headingb"/>
    <w:rsid w:val="00FD79CF"/>
    <w:rPr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R15-WRC15-C-0007!A23-A2-A2!MSW-S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9A6B7-8A21-4206-8A3E-15F683C7985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1319BF-0F5B-4547-B847-1A58489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R15-WRC15-C-0007!A23-A2-A2!MSW-S</vt:lpstr>
    </vt:vector>
  </TitlesOfParts>
  <Manager>Secretaría General - Pool</Manager>
  <Company>Unión Internacional de Telecomunicaciones (UIT)</Company>
  <LinksUpToDate>false</LinksUpToDate>
  <CharactersWithSpaces>3056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R15-WRC15-C-0007!A23-A2-A2!MSW-S</dc:title>
  <dc:subject>Conferencia Mundial de Radiocomunicaciones - 2015</dc:subject>
  <dc:creator>Documents Proposals Manager (DPM)</dc:creator>
  <cp:keywords>DPM_v5.2015.10.8_prod</cp:keywords>
  <dc:description/>
  <cp:lastModifiedBy>Saez Grau, Ricardo</cp:lastModifiedBy>
  <cp:revision>52</cp:revision>
  <cp:lastPrinted>2003-02-19T20:20:00Z</cp:lastPrinted>
  <dcterms:created xsi:type="dcterms:W3CDTF">2015-10-14T12:11:00Z</dcterms:created>
  <dcterms:modified xsi:type="dcterms:W3CDTF">2015-10-23T07:33:00Z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