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485" w:type="dxa"/>
        <w:tblLayout w:type="fixed"/>
        <w:tblLook w:val="0000" w:firstRow="0" w:lastRow="0" w:firstColumn="0" w:lastColumn="0" w:noHBand="0" w:noVBand="0"/>
      </w:tblPr>
      <w:tblGrid>
        <w:gridCol w:w="6761"/>
        <w:gridCol w:w="3270"/>
        <w:gridCol w:w="454"/>
      </w:tblGrid>
      <w:tr w:rsidR="00BB1D82" w:rsidRPr="007F6933" w:rsidTr="00685FCE">
        <w:trPr>
          <w:gridAfter w:val="1"/>
          <w:wAfter w:w="454" w:type="dxa"/>
          <w:cantSplit/>
        </w:trPr>
        <w:tc>
          <w:tcPr>
            <w:tcW w:w="6761" w:type="dxa"/>
          </w:tcPr>
          <w:p w:rsidR="00BB1D82" w:rsidRPr="007F6933" w:rsidRDefault="00851625" w:rsidP="002A6F8F">
            <w:pPr>
              <w:spacing w:before="400" w:after="48" w:line="240" w:lineRule="atLeast"/>
              <w:rPr>
                <w:rFonts w:ascii="Verdana" w:hAnsi="Verdana"/>
                <w:b/>
                <w:bCs/>
                <w:sz w:val="20"/>
                <w:lang w:val="fr-CH"/>
              </w:rPr>
            </w:pPr>
            <w:bookmarkStart w:id="0" w:name="_GoBack"/>
            <w:bookmarkEnd w:id="0"/>
            <w:r w:rsidRPr="007F6933">
              <w:rPr>
                <w:rFonts w:ascii="Verdana" w:hAnsi="Verdana"/>
                <w:b/>
                <w:bCs/>
                <w:sz w:val="20"/>
                <w:lang w:val="fr-CH"/>
              </w:rPr>
              <w:t>Conférence mondiale des radiocommunications (CMR-15)</w:t>
            </w:r>
            <w:r w:rsidRPr="007F6933">
              <w:rPr>
                <w:rFonts w:ascii="Verdana" w:hAnsi="Verdana"/>
                <w:b/>
                <w:bCs/>
                <w:sz w:val="20"/>
                <w:lang w:val="fr-CH"/>
              </w:rPr>
              <w:br/>
            </w:r>
            <w:r w:rsidRPr="007F6933">
              <w:rPr>
                <w:rFonts w:ascii="Verdana" w:hAnsi="Verdana"/>
                <w:b/>
                <w:bCs/>
                <w:sz w:val="18"/>
                <w:szCs w:val="18"/>
                <w:lang w:val="fr-CH"/>
              </w:rPr>
              <w:t>Genève,</w:t>
            </w:r>
            <w:r w:rsidR="00E537FF" w:rsidRPr="007F6933">
              <w:rPr>
                <w:rFonts w:ascii="Verdana" w:hAnsi="Verdana"/>
                <w:b/>
                <w:bCs/>
                <w:sz w:val="18"/>
                <w:szCs w:val="18"/>
                <w:lang w:val="fr-CH"/>
              </w:rPr>
              <w:t xml:space="preserve"> </w:t>
            </w:r>
            <w:r w:rsidRPr="007F6933">
              <w:rPr>
                <w:rFonts w:ascii="Verdana" w:hAnsi="Verdana"/>
                <w:b/>
                <w:bCs/>
                <w:sz w:val="18"/>
                <w:szCs w:val="18"/>
                <w:lang w:val="fr-CH"/>
              </w:rPr>
              <w:t>2-27 novembre 2015</w:t>
            </w:r>
          </w:p>
        </w:tc>
        <w:tc>
          <w:tcPr>
            <w:tcW w:w="3270" w:type="dxa"/>
          </w:tcPr>
          <w:p w:rsidR="00BB1D82" w:rsidRPr="007F6933" w:rsidRDefault="002C28A4" w:rsidP="002C28A4">
            <w:pPr>
              <w:spacing w:before="0" w:line="240" w:lineRule="atLeast"/>
              <w:jc w:val="right"/>
              <w:rPr>
                <w:lang w:val="fr-CH"/>
              </w:rPr>
            </w:pPr>
            <w:bookmarkStart w:id="1" w:name="ditulogo"/>
            <w:bookmarkEnd w:id="1"/>
            <w:r w:rsidRPr="007F6933">
              <w:rPr>
                <w:noProof/>
                <w:lang w:val="en-GB" w:eastAsia="zh-CN"/>
              </w:rPr>
              <w:drawing>
                <wp:inline distT="0" distB="0" distL="0" distR="0" wp14:anchorId="3054C20B" wp14:editId="3EA4F5F0">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7F6933" w:rsidTr="00685FCE">
        <w:trPr>
          <w:gridAfter w:val="1"/>
          <w:wAfter w:w="454" w:type="dxa"/>
          <w:cantSplit/>
        </w:trPr>
        <w:tc>
          <w:tcPr>
            <w:tcW w:w="6761" w:type="dxa"/>
            <w:tcBorders>
              <w:bottom w:val="single" w:sz="12" w:space="0" w:color="auto"/>
            </w:tcBorders>
          </w:tcPr>
          <w:p w:rsidR="00BB1D82" w:rsidRPr="007F6933" w:rsidRDefault="002C28A4" w:rsidP="00BB1D82">
            <w:pPr>
              <w:spacing w:before="0" w:after="48" w:line="240" w:lineRule="atLeast"/>
              <w:rPr>
                <w:b/>
                <w:smallCaps/>
                <w:szCs w:val="24"/>
                <w:lang w:val="fr-CH"/>
              </w:rPr>
            </w:pPr>
            <w:bookmarkStart w:id="2" w:name="dhead"/>
            <w:r w:rsidRPr="007F6933">
              <w:rPr>
                <w:rFonts w:ascii="Verdana" w:hAnsi="Verdana"/>
                <w:b/>
                <w:bCs/>
                <w:sz w:val="20"/>
                <w:lang w:val="fr-CH"/>
              </w:rPr>
              <w:t>UNION INTERNATIONALE DES TÉLÉCOMMUNICATIONS</w:t>
            </w:r>
          </w:p>
        </w:tc>
        <w:tc>
          <w:tcPr>
            <w:tcW w:w="3270" w:type="dxa"/>
            <w:tcBorders>
              <w:bottom w:val="single" w:sz="12" w:space="0" w:color="auto"/>
            </w:tcBorders>
          </w:tcPr>
          <w:p w:rsidR="00BB1D82" w:rsidRPr="007F6933" w:rsidRDefault="00BB1D82" w:rsidP="00BB1D82">
            <w:pPr>
              <w:spacing w:before="0" w:line="240" w:lineRule="atLeast"/>
              <w:rPr>
                <w:rFonts w:ascii="Verdana" w:hAnsi="Verdana"/>
                <w:szCs w:val="24"/>
                <w:lang w:val="fr-CH"/>
              </w:rPr>
            </w:pPr>
          </w:p>
        </w:tc>
      </w:tr>
      <w:tr w:rsidR="00BB1D82" w:rsidRPr="007F6933" w:rsidTr="00685FCE">
        <w:trPr>
          <w:gridAfter w:val="1"/>
          <w:wAfter w:w="454" w:type="dxa"/>
          <w:cantSplit/>
        </w:trPr>
        <w:tc>
          <w:tcPr>
            <w:tcW w:w="6761" w:type="dxa"/>
            <w:tcBorders>
              <w:top w:val="single" w:sz="12" w:space="0" w:color="auto"/>
            </w:tcBorders>
          </w:tcPr>
          <w:p w:rsidR="00BB1D82" w:rsidRPr="007F6933" w:rsidRDefault="00BB1D82" w:rsidP="00BB1D82">
            <w:pPr>
              <w:spacing w:before="0" w:after="48" w:line="240" w:lineRule="atLeast"/>
              <w:rPr>
                <w:rFonts w:ascii="Verdana" w:hAnsi="Verdana"/>
                <w:b/>
                <w:smallCaps/>
                <w:sz w:val="20"/>
                <w:lang w:val="fr-CH"/>
              </w:rPr>
            </w:pPr>
          </w:p>
        </w:tc>
        <w:tc>
          <w:tcPr>
            <w:tcW w:w="3270" w:type="dxa"/>
            <w:tcBorders>
              <w:top w:val="single" w:sz="12" w:space="0" w:color="auto"/>
            </w:tcBorders>
          </w:tcPr>
          <w:p w:rsidR="00BB1D82" w:rsidRPr="007F6933" w:rsidRDefault="00BB1D82" w:rsidP="00BB1D82">
            <w:pPr>
              <w:spacing w:before="0" w:line="240" w:lineRule="atLeast"/>
              <w:rPr>
                <w:rFonts w:ascii="Verdana" w:hAnsi="Verdana"/>
                <w:sz w:val="20"/>
                <w:lang w:val="fr-CH"/>
              </w:rPr>
            </w:pPr>
          </w:p>
        </w:tc>
      </w:tr>
      <w:tr w:rsidR="00BB1D82" w:rsidRPr="007F6933" w:rsidTr="00685FCE">
        <w:trPr>
          <w:cantSplit/>
        </w:trPr>
        <w:tc>
          <w:tcPr>
            <w:tcW w:w="6761" w:type="dxa"/>
            <w:shd w:val="clear" w:color="auto" w:fill="auto"/>
          </w:tcPr>
          <w:p w:rsidR="00BB1D82" w:rsidRPr="007F6933" w:rsidRDefault="006D4724" w:rsidP="00BA5BD0">
            <w:pPr>
              <w:spacing w:before="0"/>
              <w:rPr>
                <w:rFonts w:ascii="Verdana" w:hAnsi="Verdana"/>
                <w:b/>
                <w:sz w:val="20"/>
                <w:lang w:val="fr-CH"/>
              </w:rPr>
            </w:pPr>
            <w:r w:rsidRPr="007F6933">
              <w:rPr>
                <w:rFonts w:ascii="Verdana" w:hAnsi="Verdana"/>
                <w:b/>
                <w:sz w:val="20"/>
                <w:lang w:val="fr-CH"/>
              </w:rPr>
              <w:t>SÉANCE PLÉNIÈRE</w:t>
            </w:r>
          </w:p>
        </w:tc>
        <w:tc>
          <w:tcPr>
            <w:tcW w:w="3724" w:type="dxa"/>
            <w:gridSpan w:val="2"/>
            <w:shd w:val="clear" w:color="auto" w:fill="auto"/>
          </w:tcPr>
          <w:p w:rsidR="00BB1D82" w:rsidRPr="007F6933" w:rsidRDefault="006D4724" w:rsidP="00BA5BD0">
            <w:pPr>
              <w:spacing w:before="0"/>
              <w:rPr>
                <w:rFonts w:ascii="Verdana" w:hAnsi="Verdana"/>
                <w:sz w:val="20"/>
                <w:lang w:val="fr-CH"/>
              </w:rPr>
            </w:pPr>
            <w:r w:rsidRPr="007F6933">
              <w:rPr>
                <w:rFonts w:ascii="Verdana" w:eastAsia="SimSun" w:hAnsi="Verdana" w:cs="Traditional Arabic"/>
                <w:b/>
                <w:sz w:val="20"/>
                <w:lang w:val="fr-CH"/>
              </w:rPr>
              <w:t>Addendum 2 au</w:t>
            </w:r>
            <w:r w:rsidRPr="007F6933">
              <w:rPr>
                <w:rFonts w:ascii="Verdana" w:eastAsia="SimSun" w:hAnsi="Verdana" w:cs="Traditional Arabic"/>
                <w:b/>
                <w:sz w:val="20"/>
                <w:lang w:val="fr-CH"/>
              </w:rPr>
              <w:br/>
              <w:t>Document 7(Add.23)(Add.2)</w:t>
            </w:r>
            <w:r w:rsidR="00BB1D82" w:rsidRPr="007F6933">
              <w:rPr>
                <w:rFonts w:ascii="Verdana" w:hAnsi="Verdana"/>
                <w:b/>
                <w:sz w:val="20"/>
                <w:lang w:val="fr-CH"/>
              </w:rPr>
              <w:t>-</w:t>
            </w:r>
            <w:r w:rsidRPr="007F6933">
              <w:rPr>
                <w:rFonts w:ascii="Verdana" w:hAnsi="Verdana"/>
                <w:b/>
                <w:sz w:val="20"/>
                <w:lang w:val="fr-CH"/>
              </w:rPr>
              <w:t>F</w:t>
            </w:r>
          </w:p>
        </w:tc>
      </w:tr>
      <w:bookmarkEnd w:id="2"/>
      <w:tr w:rsidR="00690C7B" w:rsidRPr="007F6933" w:rsidTr="00685FCE">
        <w:trPr>
          <w:gridAfter w:val="1"/>
          <w:wAfter w:w="454" w:type="dxa"/>
          <w:cantSplit/>
        </w:trPr>
        <w:tc>
          <w:tcPr>
            <w:tcW w:w="6761" w:type="dxa"/>
            <w:shd w:val="clear" w:color="auto" w:fill="auto"/>
          </w:tcPr>
          <w:p w:rsidR="00690C7B" w:rsidRPr="007F6933" w:rsidRDefault="00690C7B" w:rsidP="00BA5BD0">
            <w:pPr>
              <w:spacing w:before="0"/>
              <w:rPr>
                <w:rFonts w:ascii="Verdana" w:hAnsi="Verdana"/>
                <w:b/>
                <w:sz w:val="20"/>
                <w:lang w:val="fr-CH"/>
              </w:rPr>
            </w:pPr>
          </w:p>
        </w:tc>
        <w:tc>
          <w:tcPr>
            <w:tcW w:w="3270" w:type="dxa"/>
            <w:shd w:val="clear" w:color="auto" w:fill="auto"/>
          </w:tcPr>
          <w:p w:rsidR="00690C7B" w:rsidRPr="007F6933" w:rsidRDefault="00690C7B" w:rsidP="00BA5BD0">
            <w:pPr>
              <w:spacing w:before="0"/>
              <w:rPr>
                <w:rFonts w:ascii="Verdana" w:hAnsi="Verdana"/>
                <w:b/>
                <w:sz w:val="20"/>
                <w:lang w:val="fr-CH"/>
              </w:rPr>
            </w:pPr>
            <w:r w:rsidRPr="007F6933">
              <w:rPr>
                <w:rFonts w:ascii="Verdana" w:hAnsi="Verdana"/>
                <w:b/>
                <w:sz w:val="20"/>
                <w:lang w:val="fr-CH"/>
              </w:rPr>
              <w:t>29 septembre 2015</w:t>
            </w:r>
          </w:p>
        </w:tc>
      </w:tr>
      <w:tr w:rsidR="00690C7B" w:rsidRPr="007F6933" w:rsidTr="00685FCE">
        <w:trPr>
          <w:gridAfter w:val="1"/>
          <w:wAfter w:w="454" w:type="dxa"/>
          <w:cantSplit/>
        </w:trPr>
        <w:tc>
          <w:tcPr>
            <w:tcW w:w="6761" w:type="dxa"/>
          </w:tcPr>
          <w:p w:rsidR="00690C7B" w:rsidRPr="007F6933" w:rsidRDefault="00690C7B" w:rsidP="00BA5BD0">
            <w:pPr>
              <w:spacing w:before="0" w:after="48"/>
              <w:rPr>
                <w:rFonts w:ascii="Verdana" w:hAnsi="Verdana"/>
                <w:b/>
                <w:smallCaps/>
                <w:sz w:val="20"/>
                <w:lang w:val="fr-CH"/>
              </w:rPr>
            </w:pPr>
          </w:p>
        </w:tc>
        <w:tc>
          <w:tcPr>
            <w:tcW w:w="3270" w:type="dxa"/>
          </w:tcPr>
          <w:p w:rsidR="00690C7B" w:rsidRPr="007F6933" w:rsidRDefault="00690C7B" w:rsidP="00BA5BD0">
            <w:pPr>
              <w:spacing w:before="0"/>
              <w:rPr>
                <w:rFonts w:ascii="Verdana" w:hAnsi="Verdana"/>
                <w:b/>
                <w:sz w:val="20"/>
                <w:lang w:val="fr-CH"/>
              </w:rPr>
            </w:pPr>
            <w:r w:rsidRPr="007F6933">
              <w:rPr>
                <w:rFonts w:ascii="Verdana" w:hAnsi="Verdana"/>
                <w:b/>
                <w:sz w:val="20"/>
                <w:lang w:val="fr-CH"/>
              </w:rPr>
              <w:t>Original: anglais</w:t>
            </w:r>
          </w:p>
        </w:tc>
      </w:tr>
      <w:tr w:rsidR="00690C7B" w:rsidRPr="007F6933" w:rsidTr="00685FCE">
        <w:trPr>
          <w:gridAfter w:val="1"/>
          <w:wAfter w:w="454" w:type="dxa"/>
          <w:cantSplit/>
        </w:trPr>
        <w:tc>
          <w:tcPr>
            <w:tcW w:w="10031" w:type="dxa"/>
            <w:gridSpan w:val="2"/>
          </w:tcPr>
          <w:p w:rsidR="00690C7B" w:rsidRPr="007F6933" w:rsidRDefault="00690C7B" w:rsidP="00BA5BD0">
            <w:pPr>
              <w:spacing w:before="0"/>
              <w:rPr>
                <w:rFonts w:ascii="Verdana" w:hAnsi="Verdana"/>
                <w:b/>
                <w:sz w:val="20"/>
                <w:lang w:val="fr-CH"/>
              </w:rPr>
            </w:pPr>
          </w:p>
        </w:tc>
      </w:tr>
      <w:tr w:rsidR="00690C7B" w:rsidRPr="007F6933" w:rsidTr="00227FF1">
        <w:trPr>
          <w:gridAfter w:val="1"/>
          <w:wAfter w:w="454" w:type="dxa"/>
          <w:cantSplit/>
          <w:trHeight w:val="1197"/>
        </w:trPr>
        <w:tc>
          <w:tcPr>
            <w:tcW w:w="10031" w:type="dxa"/>
            <w:gridSpan w:val="2"/>
          </w:tcPr>
          <w:p w:rsidR="00690C7B" w:rsidRPr="007F6933" w:rsidRDefault="00690C7B" w:rsidP="009A4151">
            <w:pPr>
              <w:pStyle w:val="Source"/>
              <w:spacing w:before="640"/>
              <w:rPr>
                <w:lang w:val="fr-CH"/>
              </w:rPr>
            </w:pPr>
            <w:bookmarkStart w:id="3" w:name="dsource" w:colFirst="0" w:colLast="0"/>
            <w:r w:rsidRPr="007F6933">
              <w:rPr>
                <w:lang w:val="fr-CH"/>
              </w:rPr>
              <w:t>Etats Membres de la Commission interaméricaine des télécommunications (CITEL)</w:t>
            </w:r>
          </w:p>
        </w:tc>
      </w:tr>
      <w:tr w:rsidR="00690C7B" w:rsidRPr="007F6933" w:rsidTr="00685FCE">
        <w:trPr>
          <w:gridAfter w:val="1"/>
          <w:wAfter w:w="454" w:type="dxa"/>
          <w:cantSplit/>
        </w:trPr>
        <w:tc>
          <w:tcPr>
            <w:tcW w:w="10031" w:type="dxa"/>
            <w:gridSpan w:val="2"/>
          </w:tcPr>
          <w:p w:rsidR="00690C7B" w:rsidRPr="007F6933" w:rsidRDefault="00690C7B" w:rsidP="00D846A7">
            <w:pPr>
              <w:pStyle w:val="Title1"/>
              <w:rPr>
                <w:lang w:val="fr-CH"/>
              </w:rPr>
            </w:pPr>
            <w:bookmarkStart w:id="4" w:name="dtitle1" w:colFirst="0" w:colLast="0"/>
            <w:bookmarkEnd w:id="3"/>
            <w:r w:rsidRPr="007F6933">
              <w:rPr>
                <w:lang w:val="fr-CH"/>
              </w:rPr>
              <w:t>Propos</w:t>
            </w:r>
            <w:r w:rsidR="00E15308" w:rsidRPr="007F6933">
              <w:rPr>
                <w:lang w:val="fr-CH"/>
              </w:rPr>
              <w:t>ITIONS POUR LES TRAvaux de la conf</w:t>
            </w:r>
            <w:r w:rsidR="00D846A7">
              <w:rPr>
                <w:lang w:val="fr-CH"/>
              </w:rPr>
              <w:t>é</w:t>
            </w:r>
            <w:r w:rsidR="00E15308" w:rsidRPr="007F6933">
              <w:rPr>
                <w:lang w:val="fr-CH"/>
              </w:rPr>
              <w:t>rence</w:t>
            </w:r>
          </w:p>
        </w:tc>
      </w:tr>
      <w:tr w:rsidR="00690C7B" w:rsidRPr="007F6933" w:rsidTr="00227FF1">
        <w:trPr>
          <w:gridAfter w:val="1"/>
          <w:wAfter w:w="454" w:type="dxa"/>
          <w:cantSplit/>
          <w:trHeight w:val="419"/>
        </w:trPr>
        <w:tc>
          <w:tcPr>
            <w:tcW w:w="10031" w:type="dxa"/>
            <w:gridSpan w:val="2"/>
          </w:tcPr>
          <w:p w:rsidR="00690C7B" w:rsidRPr="00D846A7" w:rsidRDefault="00690C7B" w:rsidP="009A4151">
            <w:pPr>
              <w:pStyle w:val="Title2"/>
              <w:spacing w:before="240"/>
            </w:pPr>
            <w:bookmarkStart w:id="5" w:name="dtitle2" w:colFirst="0" w:colLast="0"/>
            <w:bookmarkEnd w:id="4"/>
          </w:p>
        </w:tc>
      </w:tr>
      <w:tr w:rsidR="00690C7B" w:rsidRPr="007F6933" w:rsidTr="00685FCE">
        <w:trPr>
          <w:gridAfter w:val="1"/>
          <w:wAfter w:w="454" w:type="dxa"/>
          <w:cantSplit/>
        </w:trPr>
        <w:tc>
          <w:tcPr>
            <w:tcW w:w="10031" w:type="dxa"/>
            <w:gridSpan w:val="2"/>
          </w:tcPr>
          <w:p w:rsidR="00690C7B" w:rsidRPr="007F6933" w:rsidRDefault="00690C7B" w:rsidP="00690C7B">
            <w:pPr>
              <w:pStyle w:val="Agendaitem"/>
            </w:pPr>
            <w:bookmarkStart w:id="6" w:name="dtitle3" w:colFirst="0" w:colLast="0"/>
            <w:bookmarkEnd w:id="5"/>
            <w:r w:rsidRPr="007F6933">
              <w:t>Point 9.2(9.2.2) de l'ordre du jour</w:t>
            </w:r>
          </w:p>
        </w:tc>
      </w:tr>
    </w:tbl>
    <w:bookmarkEnd w:id="6"/>
    <w:p w:rsidR="001C0E40" w:rsidRPr="007F6933" w:rsidRDefault="00874875" w:rsidP="00FB05A7">
      <w:pPr>
        <w:rPr>
          <w:lang w:val="fr-CH"/>
        </w:rPr>
      </w:pPr>
      <w:r w:rsidRPr="007F6933">
        <w:rPr>
          <w:lang w:val="fr-CH"/>
        </w:rPr>
        <w:t>9</w:t>
      </w:r>
      <w:r w:rsidRPr="007F6933">
        <w:rPr>
          <w:lang w:val="fr-CH"/>
        </w:rPr>
        <w:tab/>
        <w:t>examiner et approuver le rapport du Directeur du Bureau des radiocommunications, conformément à l'article 7 de la Convention:</w:t>
      </w:r>
    </w:p>
    <w:p w:rsidR="001C0E40" w:rsidRPr="007F6933" w:rsidRDefault="00874875" w:rsidP="00F611B2">
      <w:pPr>
        <w:rPr>
          <w:lang w:val="fr-CH"/>
        </w:rPr>
      </w:pPr>
      <w:r w:rsidRPr="007F6933">
        <w:rPr>
          <w:lang w:val="fr-CH"/>
        </w:rPr>
        <w:t>9.2</w:t>
      </w:r>
      <w:r w:rsidRPr="007F6933">
        <w:rPr>
          <w:lang w:val="fr-CH"/>
        </w:rPr>
        <w:tab/>
        <w:t>sur les difficultés rencontrées ou les incohérences constatées dans l'application du Règlement des radiocommunications; et</w:t>
      </w:r>
    </w:p>
    <w:p w:rsidR="004D1E5B" w:rsidRPr="007F6933" w:rsidRDefault="00874875" w:rsidP="00314ACB">
      <w:pPr>
        <w:rPr>
          <w:lang w:val="fr-CH"/>
        </w:rPr>
      </w:pPr>
      <w:r w:rsidRPr="007F6933">
        <w:rPr>
          <w:lang w:val="fr-CH"/>
        </w:rPr>
        <w:t xml:space="preserve">9.2(9.2.2) </w:t>
      </w:r>
      <w:r w:rsidRPr="007F6933">
        <w:rPr>
          <w:lang w:val="fr-CH"/>
        </w:rPr>
        <w:tab/>
        <w:t>Précisions en ce qui concerne l'utilisation des attributions au service de recherche spatiale (espace lointain) visée dans certaines dispositions du Règlement des radiocommunications</w:t>
      </w:r>
    </w:p>
    <w:p w:rsidR="003A583E" w:rsidRPr="007F6933" w:rsidRDefault="00D94818" w:rsidP="00D055C5">
      <w:pPr>
        <w:pStyle w:val="Headingb"/>
        <w:rPr>
          <w:lang w:val="fr-CH"/>
        </w:rPr>
      </w:pPr>
      <w:r>
        <w:rPr>
          <w:lang w:val="fr-CH"/>
        </w:rPr>
        <w:t>Contexte</w:t>
      </w:r>
    </w:p>
    <w:p w:rsidR="00D055C5" w:rsidRPr="007F6933" w:rsidRDefault="00D055C5" w:rsidP="009A4151">
      <w:pPr>
        <w:spacing w:before="100"/>
        <w:rPr>
          <w:lang w:val="fr-CH"/>
        </w:rPr>
      </w:pPr>
      <w:r w:rsidRPr="007F6933">
        <w:rPr>
          <w:lang w:val="fr-CH"/>
        </w:rPr>
        <w:t xml:space="preserve">Lors des travaux préparatoires en lien avec le point 1.9.1 de l'ordre du jour de la CMR-15, des questions ont été soulevées en ce qui concerne la </w:t>
      </w:r>
      <w:r w:rsidRPr="007F6933">
        <w:rPr>
          <w:color w:val="000000"/>
          <w:lang w:val="fr-CH"/>
        </w:rPr>
        <w:t xml:space="preserve">protection des opérations </w:t>
      </w:r>
      <w:r w:rsidR="001478DC" w:rsidRPr="007F6933">
        <w:rPr>
          <w:color w:val="000000"/>
          <w:lang w:val="fr-CH"/>
        </w:rPr>
        <w:t xml:space="preserve">au voisinage de la Terre </w:t>
      </w:r>
      <w:r w:rsidRPr="007F6933">
        <w:rPr>
          <w:color w:val="000000"/>
          <w:lang w:val="fr-CH"/>
        </w:rPr>
        <w:t xml:space="preserve">relatives aux missions </w:t>
      </w:r>
      <w:r w:rsidR="00D94818">
        <w:rPr>
          <w:color w:val="000000"/>
          <w:lang w:val="fr-CH"/>
        </w:rPr>
        <w:t>dans l'</w:t>
      </w:r>
      <w:r w:rsidRPr="007F6933">
        <w:rPr>
          <w:color w:val="000000"/>
          <w:lang w:val="fr-CH"/>
        </w:rPr>
        <w:t xml:space="preserve">espace lointain </w:t>
      </w:r>
      <w:r w:rsidRPr="007F6933">
        <w:rPr>
          <w:lang w:val="fr-CH"/>
        </w:rPr>
        <w:t>et la nécessité ou non de protéger ces opérations de la même manière que les émissions/réceptions dans l'espace lointain.</w:t>
      </w:r>
      <w:r w:rsidR="00AB52A1" w:rsidRPr="007F6933">
        <w:rPr>
          <w:lang w:val="fr-CH"/>
        </w:rPr>
        <w:t xml:space="preserve"> Parmi ces opérations, on peut citer le lancement, le début de fonctionnement en orbite, le survol de la Terre et le retour vers la Terre.</w:t>
      </w:r>
    </w:p>
    <w:p w:rsidR="00D055C5" w:rsidRPr="007F6933" w:rsidRDefault="00685FCE" w:rsidP="00D94818">
      <w:pPr>
        <w:rPr>
          <w:lang w:val="fr-CH"/>
        </w:rPr>
      </w:pPr>
      <w:r w:rsidRPr="007F6933">
        <w:rPr>
          <w:lang w:val="fr-CH"/>
        </w:rPr>
        <w:t>A</w:t>
      </w:r>
      <w:r w:rsidR="00D055C5" w:rsidRPr="007F6933">
        <w:rPr>
          <w:lang w:val="fr-CH"/>
        </w:rPr>
        <w:t xml:space="preserve"> l'issue de l'examen des numéros </w:t>
      </w:r>
      <w:r w:rsidR="00D055C5" w:rsidRPr="00D94818">
        <w:rPr>
          <w:bCs/>
          <w:lang w:val="fr-CH"/>
        </w:rPr>
        <w:t>5.460 et 5.465</w:t>
      </w:r>
      <w:r w:rsidR="00D055C5" w:rsidRPr="00D94818">
        <w:rPr>
          <w:rFonts w:eastAsia="MS Mincho"/>
          <w:bCs/>
          <w:lang w:val="fr-CH"/>
        </w:rPr>
        <w:t xml:space="preserve"> </w:t>
      </w:r>
      <w:r w:rsidR="00D055C5" w:rsidRPr="00D94818">
        <w:rPr>
          <w:bCs/>
          <w:lang w:val="fr-CH"/>
        </w:rPr>
        <w:t>de l'Article 5</w:t>
      </w:r>
      <w:r w:rsidR="00D055C5" w:rsidRPr="007F6933">
        <w:rPr>
          <w:b/>
          <w:lang w:val="fr-CH"/>
        </w:rPr>
        <w:t xml:space="preserve"> </w:t>
      </w:r>
      <w:r w:rsidR="00D055C5" w:rsidRPr="007F6933">
        <w:rPr>
          <w:lang w:val="fr-CH"/>
        </w:rPr>
        <w:t>du RR, qui s'appliquent aux attributions au service de recherche spatiale dans les bandes 7 145-7 235 MHz et 8 400-8 500 MHz,</w:t>
      </w:r>
      <w:r w:rsidR="00D055C5" w:rsidRPr="007F6933">
        <w:rPr>
          <w:b/>
          <w:lang w:val="fr-CH"/>
        </w:rPr>
        <w:t xml:space="preserve"> </w:t>
      </w:r>
      <w:r w:rsidR="00D055C5" w:rsidRPr="007F6933">
        <w:rPr>
          <w:lang w:val="fr-CH"/>
        </w:rPr>
        <w:t>il est apparu que ces renvois peuvent donner lieu</w:t>
      </w:r>
      <w:r w:rsidR="00D94818">
        <w:rPr>
          <w:lang w:val="fr-CH"/>
        </w:rPr>
        <w:t xml:space="preserve"> </w:t>
      </w:r>
      <w:r w:rsidR="00D055C5" w:rsidRPr="007F6933">
        <w:rPr>
          <w:lang w:val="fr-CH"/>
        </w:rPr>
        <w:t xml:space="preserve">à une interprétation </w:t>
      </w:r>
      <w:r w:rsidR="00D94818" w:rsidRPr="007F6933">
        <w:rPr>
          <w:lang w:val="fr-CH"/>
        </w:rPr>
        <w:t xml:space="preserve">qu'il est </w:t>
      </w:r>
      <w:r w:rsidR="00D94818" w:rsidRPr="007F6933">
        <w:rPr>
          <w:color w:val="000000"/>
          <w:lang w:val="fr-CH"/>
        </w:rPr>
        <w:t>matériellement impossible de respecter</w:t>
      </w:r>
      <w:r w:rsidR="00D94818" w:rsidRPr="007F6933">
        <w:rPr>
          <w:lang w:val="fr-CH"/>
        </w:rPr>
        <w:t xml:space="preserve"> </w:t>
      </w:r>
      <w:r w:rsidR="00D94818">
        <w:rPr>
          <w:lang w:val="fr-CH"/>
        </w:rPr>
        <w:t xml:space="preserve">et qui est </w:t>
      </w:r>
      <w:r w:rsidR="00D055C5" w:rsidRPr="007F6933">
        <w:rPr>
          <w:lang w:val="fr-CH"/>
        </w:rPr>
        <w:t xml:space="preserve">susceptible de restreindre l'utilisation des fréquences qui ne sont pas compatibles avec la conception d'un engin spatial destiné à fonctionner dans l'espace lointain. </w:t>
      </w:r>
      <w:r w:rsidR="00AB52A1" w:rsidRPr="007F6933">
        <w:rPr>
          <w:lang w:val="fr-CH"/>
        </w:rPr>
        <w:t>L</w:t>
      </w:r>
      <w:r w:rsidR="00D055C5" w:rsidRPr="007F6933">
        <w:rPr>
          <w:lang w:val="fr-CH"/>
        </w:rPr>
        <w:t xml:space="preserve">a Commission spéciale </w:t>
      </w:r>
      <w:r w:rsidR="00AB52A1" w:rsidRPr="007F6933">
        <w:rPr>
          <w:lang w:val="fr-CH"/>
        </w:rPr>
        <w:t xml:space="preserve">a soumis cette question </w:t>
      </w:r>
      <w:r w:rsidR="00D055C5" w:rsidRPr="007F6933">
        <w:rPr>
          <w:lang w:val="fr-CH"/>
        </w:rPr>
        <w:t>à la RPC-15 au titre du point 9.2 de l'ordre du jour.</w:t>
      </w:r>
    </w:p>
    <w:p w:rsidR="00D055C5" w:rsidRPr="007F6933" w:rsidRDefault="00AB52A1" w:rsidP="00151174">
      <w:pPr>
        <w:rPr>
          <w:lang w:val="fr-CH"/>
        </w:rPr>
      </w:pPr>
      <w:r w:rsidRPr="007F6933">
        <w:rPr>
          <w:lang w:val="fr-CH"/>
        </w:rPr>
        <w:t>P</w:t>
      </w:r>
      <w:r w:rsidR="00D055C5" w:rsidRPr="007F6933">
        <w:rPr>
          <w:iCs/>
          <w:lang w:val="fr-CH"/>
        </w:rPr>
        <w:t>our traiter cette question</w:t>
      </w:r>
      <w:r w:rsidRPr="007F6933">
        <w:rPr>
          <w:iCs/>
          <w:lang w:val="fr-CH"/>
        </w:rPr>
        <w:t>, il est proposé d'</w:t>
      </w:r>
      <w:r w:rsidR="00D055C5" w:rsidRPr="007F6933">
        <w:rPr>
          <w:lang w:val="fr-CH"/>
        </w:rPr>
        <w:t xml:space="preserve">ajouter une disposition dans l'Article </w:t>
      </w:r>
      <w:r w:rsidR="00D055C5" w:rsidRPr="00D94818">
        <w:rPr>
          <w:lang w:val="fr-CH"/>
        </w:rPr>
        <w:t>4</w:t>
      </w:r>
      <w:r w:rsidR="00D055C5" w:rsidRPr="007F6933">
        <w:rPr>
          <w:lang w:val="fr-CH"/>
        </w:rPr>
        <w:t xml:space="preserve"> du RR contenant une description de l'utilisation des </w:t>
      </w:r>
      <w:r w:rsidR="00D055C5" w:rsidRPr="007F6933">
        <w:rPr>
          <w:bCs/>
          <w:lang w:val="fr-CH"/>
        </w:rPr>
        <w:t>attributions au service de recherche spatiale (espace lointain)</w:t>
      </w:r>
      <w:r w:rsidRPr="007F6933">
        <w:rPr>
          <w:szCs w:val="24"/>
          <w:lang w:val="fr-CH"/>
        </w:rPr>
        <w:t xml:space="preserve">. Avec cette proposition, qui correspond à la Méthode A décrite dans la section 2/9.2.2 du Rapport de la RPC, il n'y aurait pas lieu de modifier un certain nombre de dispositions </w:t>
      </w:r>
      <w:r w:rsidR="00D055C5" w:rsidRPr="007F6933">
        <w:rPr>
          <w:lang w:val="fr-CH"/>
        </w:rPr>
        <w:t xml:space="preserve">de l'Article </w:t>
      </w:r>
      <w:r w:rsidR="00D055C5" w:rsidRPr="00D94818">
        <w:rPr>
          <w:lang w:val="fr-CH"/>
        </w:rPr>
        <w:t>5</w:t>
      </w:r>
      <w:r w:rsidR="00D055C5" w:rsidRPr="007F6933">
        <w:rPr>
          <w:lang w:val="fr-CH"/>
        </w:rPr>
        <w:t xml:space="preserve"> du RR contenant l'expression «espace lointain»</w:t>
      </w:r>
      <w:r w:rsidR="001478DC" w:rsidRPr="007F6933">
        <w:rPr>
          <w:lang w:val="fr-CH"/>
        </w:rPr>
        <w:t xml:space="preserve">, ni d'apporter des modifications aux </w:t>
      </w:r>
      <w:r w:rsidR="00D055C5" w:rsidRPr="007F6933">
        <w:rPr>
          <w:lang w:val="fr-CH"/>
        </w:rPr>
        <w:t>d</w:t>
      </w:r>
      <w:r w:rsidR="001478DC" w:rsidRPr="007F6933">
        <w:rPr>
          <w:lang w:val="fr-CH"/>
        </w:rPr>
        <w:t>é</w:t>
      </w:r>
      <w:r w:rsidR="00D055C5" w:rsidRPr="007F6933">
        <w:rPr>
          <w:lang w:val="fr-CH"/>
        </w:rPr>
        <w:t xml:space="preserve">finitions </w:t>
      </w:r>
      <w:r w:rsidR="001478DC" w:rsidRPr="007F6933">
        <w:rPr>
          <w:lang w:val="fr-CH"/>
        </w:rPr>
        <w:t>de l'</w:t>
      </w:r>
      <w:r w:rsidR="00D055C5" w:rsidRPr="007F6933">
        <w:rPr>
          <w:lang w:val="fr-CH"/>
        </w:rPr>
        <w:t>Article</w:t>
      </w:r>
      <w:r w:rsidR="001478DC" w:rsidRPr="007F6933">
        <w:rPr>
          <w:lang w:val="fr-CH"/>
        </w:rPr>
        <w:t> </w:t>
      </w:r>
      <w:r w:rsidR="00D055C5" w:rsidRPr="007F6933">
        <w:rPr>
          <w:lang w:val="fr-CH"/>
        </w:rPr>
        <w:t xml:space="preserve">1. </w:t>
      </w:r>
      <w:r w:rsidRPr="007F6933">
        <w:rPr>
          <w:lang w:val="fr-CH"/>
        </w:rPr>
        <w:t>Il convient de noter que le numéro </w:t>
      </w:r>
      <w:r w:rsidR="00D055C5" w:rsidRPr="007F6933">
        <w:rPr>
          <w:lang w:val="fr-CH"/>
        </w:rPr>
        <w:t xml:space="preserve">0.4 </w:t>
      </w:r>
      <w:r w:rsidRPr="007F6933">
        <w:rPr>
          <w:lang w:val="fr-CH"/>
        </w:rPr>
        <w:t>s'applique</w:t>
      </w:r>
      <w:r w:rsidR="00D055C5" w:rsidRPr="007F6933">
        <w:rPr>
          <w:lang w:val="fr-CH"/>
        </w:rPr>
        <w:t>.</w:t>
      </w:r>
    </w:p>
    <w:p w:rsidR="00D055C5" w:rsidRPr="007F6933" w:rsidRDefault="00D055C5" w:rsidP="009A4151">
      <w:pPr>
        <w:pStyle w:val="Headingb"/>
        <w:spacing w:before="140"/>
        <w:rPr>
          <w:lang w:val="fr-CH"/>
        </w:rPr>
      </w:pPr>
      <w:r w:rsidRPr="007F6933">
        <w:rPr>
          <w:lang w:val="fr-CH"/>
        </w:rPr>
        <w:t>Propo</w:t>
      </w:r>
      <w:r w:rsidR="00685FCE" w:rsidRPr="007F6933">
        <w:rPr>
          <w:lang w:val="fr-CH"/>
        </w:rPr>
        <w:t>sition</w:t>
      </w:r>
    </w:p>
    <w:p w:rsidR="0015203F" w:rsidRPr="009A4151" w:rsidRDefault="0015203F" w:rsidP="009A4151">
      <w:pPr>
        <w:spacing w:before="0"/>
        <w:rPr>
          <w:sz w:val="16"/>
          <w:szCs w:val="16"/>
          <w:lang w:val="fr-CH"/>
        </w:rPr>
      </w:pPr>
      <w:r w:rsidRPr="007F6933">
        <w:rPr>
          <w:lang w:val="fr-CH"/>
        </w:rPr>
        <w:br w:type="page"/>
      </w:r>
    </w:p>
    <w:p w:rsidR="004A6A8C" w:rsidRPr="007F6933" w:rsidRDefault="00874875" w:rsidP="009E29B7">
      <w:pPr>
        <w:pStyle w:val="ArtNo"/>
        <w:rPr>
          <w:lang w:val="fr-CH"/>
        </w:rPr>
      </w:pPr>
      <w:r w:rsidRPr="007F6933">
        <w:rPr>
          <w:lang w:val="fr-CH"/>
        </w:rPr>
        <w:lastRenderedPageBreak/>
        <w:t xml:space="preserve">ARTICLE </w:t>
      </w:r>
      <w:r w:rsidRPr="007F6933">
        <w:rPr>
          <w:rStyle w:val="href"/>
          <w:color w:val="000000"/>
          <w:lang w:val="fr-CH"/>
        </w:rPr>
        <w:t>4</w:t>
      </w:r>
    </w:p>
    <w:p w:rsidR="004A6A8C" w:rsidRPr="007F6933" w:rsidRDefault="00874875" w:rsidP="00D94B99">
      <w:pPr>
        <w:pStyle w:val="Arttitle"/>
        <w:rPr>
          <w:lang w:val="fr-CH"/>
        </w:rPr>
      </w:pPr>
      <w:r w:rsidRPr="007F6933">
        <w:rPr>
          <w:lang w:val="fr-CH"/>
        </w:rPr>
        <w:t>Assignation et emploi de fréquences</w:t>
      </w:r>
    </w:p>
    <w:p w:rsidR="006D5B34" w:rsidRPr="007F6933" w:rsidRDefault="00874875">
      <w:pPr>
        <w:pStyle w:val="Proposal"/>
        <w:rPr>
          <w:lang w:val="fr-CH"/>
        </w:rPr>
      </w:pPr>
      <w:r w:rsidRPr="007F6933">
        <w:rPr>
          <w:lang w:val="fr-CH"/>
        </w:rPr>
        <w:t>ADD</w:t>
      </w:r>
      <w:r w:rsidRPr="007F6933">
        <w:rPr>
          <w:lang w:val="fr-CH"/>
        </w:rPr>
        <w:tab/>
        <w:t>IAP/7A23A2A2/1</w:t>
      </w:r>
    </w:p>
    <w:p w:rsidR="006D5B34" w:rsidRPr="007F6933" w:rsidRDefault="00874875" w:rsidP="009A4151">
      <w:pPr>
        <w:rPr>
          <w:lang w:val="fr-CH"/>
        </w:rPr>
      </w:pPr>
      <w:r w:rsidRPr="007F6933">
        <w:rPr>
          <w:rStyle w:val="Artdef"/>
          <w:lang w:val="fr-CH"/>
        </w:rPr>
        <w:t>4.A922</w:t>
      </w:r>
      <w:r w:rsidRPr="007F6933">
        <w:rPr>
          <w:lang w:val="fr-CH"/>
        </w:rPr>
        <w:tab/>
      </w:r>
      <w:r w:rsidR="003C0BEB" w:rsidRPr="007F6933">
        <w:rPr>
          <w:lang w:val="fr-CH"/>
        </w:rPr>
        <w:t xml:space="preserve">Les systèmes de recherche spatiale destinés à être exploités dans l'espace lointain peuvent également utiliser les attributions au service de recherche spatiale (espace lointain), avec le même statut que </w:t>
      </w:r>
      <w:r w:rsidR="00151174">
        <w:rPr>
          <w:lang w:val="fr-CH"/>
        </w:rPr>
        <w:t xml:space="preserve">celui de </w:t>
      </w:r>
      <w:r w:rsidR="001478DC" w:rsidRPr="007F6933">
        <w:rPr>
          <w:lang w:val="fr-CH"/>
        </w:rPr>
        <w:t xml:space="preserve">ces </w:t>
      </w:r>
      <w:r w:rsidR="003C0BEB" w:rsidRPr="007F6933">
        <w:rPr>
          <w:lang w:val="fr-CH"/>
        </w:rPr>
        <w:t>attribution</w:t>
      </w:r>
      <w:r w:rsidR="001478DC" w:rsidRPr="007F6933">
        <w:rPr>
          <w:lang w:val="fr-CH"/>
        </w:rPr>
        <w:t>s</w:t>
      </w:r>
      <w:r w:rsidR="003C0BEB" w:rsidRPr="007F6933">
        <w:rPr>
          <w:lang w:val="fr-CH"/>
        </w:rPr>
        <w:t>, lorsque les engins spatiaux sont situés au voisinage de la Terre, notamment pendant le lancement, le début de fonctionnement en orbite, le survol de la Terre et le retour vers la Terre.</w:t>
      </w:r>
      <w:r w:rsidR="003C0BEB" w:rsidRPr="007F6933">
        <w:rPr>
          <w:sz w:val="16"/>
          <w:szCs w:val="16"/>
          <w:lang w:val="fr-CH"/>
        </w:rPr>
        <w:t>     (CMR-15)</w:t>
      </w:r>
    </w:p>
    <w:p w:rsidR="006D5B34" w:rsidRPr="007F6933" w:rsidRDefault="00874875" w:rsidP="009A4151">
      <w:pPr>
        <w:pStyle w:val="Reasons"/>
        <w:rPr>
          <w:szCs w:val="24"/>
          <w:lang w:val="fr-CH"/>
        </w:rPr>
      </w:pPr>
      <w:r w:rsidRPr="007F6933">
        <w:rPr>
          <w:b/>
          <w:lang w:val="fr-CH"/>
        </w:rPr>
        <w:t>Motifs:</w:t>
      </w:r>
      <w:r w:rsidRPr="007F6933">
        <w:rPr>
          <w:lang w:val="fr-CH"/>
        </w:rPr>
        <w:tab/>
      </w:r>
      <w:r w:rsidR="001478DC" w:rsidRPr="007F6933">
        <w:rPr>
          <w:szCs w:val="24"/>
          <w:lang w:val="fr-CH"/>
        </w:rPr>
        <w:t xml:space="preserve">Préciser que les opérations </w:t>
      </w:r>
      <w:r w:rsidR="001478DC" w:rsidRPr="007F6933">
        <w:rPr>
          <w:color w:val="000000"/>
          <w:lang w:val="fr-CH"/>
        </w:rPr>
        <w:t xml:space="preserve">au voisinage de la Terre relatives aux missions dans l'espace lointain doivent être </w:t>
      </w:r>
      <w:r w:rsidR="001478DC" w:rsidRPr="007F6933">
        <w:rPr>
          <w:szCs w:val="24"/>
          <w:lang w:val="fr-CH"/>
        </w:rPr>
        <w:t>protégées de la même manière que les é</w:t>
      </w:r>
      <w:r w:rsidR="003C0BEB" w:rsidRPr="007F6933">
        <w:rPr>
          <w:szCs w:val="24"/>
          <w:lang w:val="fr-CH"/>
        </w:rPr>
        <w:t>missions/r</w:t>
      </w:r>
      <w:r w:rsidR="001478DC" w:rsidRPr="007F6933">
        <w:rPr>
          <w:szCs w:val="24"/>
          <w:lang w:val="fr-CH"/>
        </w:rPr>
        <w:t>é</w:t>
      </w:r>
      <w:r w:rsidR="003C0BEB" w:rsidRPr="007F6933">
        <w:rPr>
          <w:szCs w:val="24"/>
          <w:lang w:val="fr-CH"/>
        </w:rPr>
        <w:t xml:space="preserve">ceptions </w:t>
      </w:r>
      <w:r w:rsidR="001478DC" w:rsidRPr="007F6933">
        <w:rPr>
          <w:szCs w:val="24"/>
          <w:lang w:val="fr-CH"/>
        </w:rPr>
        <w:t>dans l'espace lointain sans modifier l'</w:t>
      </w:r>
      <w:r w:rsidR="003C0BEB" w:rsidRPr="007F6933">
        <w:rPr>
          <w:szCs w:val="24"/>
          <w:lang w:val="fr-CH"/>
        </w:rPr>
        <w:t>Article</w:t>
      </w:r>
      <w:r w:rsidR="001478DC" w:rsidRPr="007F6933">
        <w:rPr>
          <w:szCs w:val="24"/>
          <w:lang w:val="fr-CH"/>
        </w:rPr>
        <w:t> </w:t>
      </w:r>
      <w:r w:rsidR="003C0BEB" w:rsidRPr="007F6933">
        <w:rPr>
          <w:szCs w:val="24"/>
          <w:lang w:val="fr-CH"/>
        </w:rPr>
        <w:t>1.</w:t>
      </w:r>
    </w:p>
    <w:p w:rsidR="003C0BEB" w:rsidRPr="007F6933" w:rsidRDefault="003C0BEB" w:rsidP="009A4151">
      <w:pPr>
        <w:pStyle w:val="Reasons"/>
        <w:rPr>
          <w:lang w:val="fr-CH"/>
        </w:rPr>
      </w:pPr>
    </w:p>
    <w:p w:rsidR="003C0BEB" w:rsidRPr="007F6933" w:rsidRDefault="003C0BEB" w:rsidP="003C0BEB">
      <w:pPr>
        <w:jc w:val="center"/>
        <w:rPr>
          <w:lang w:val="fr-CH"/>
        </w:rPr>
      </w:pPr>
      <w:r w:rsidRPr="007F6933">
        <w:rPr>
          <w:lang w:val="fr-CH"/>
        </w:rPr>
        <w:t>______________</w:t>
      </w:r>
    </w:p>
    <w:sectPr w:rsidR="003C0BEB" w:rsidRPr="007F6933">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FA3357">
      <w:rPr>
        <w:noProof/>
        <w:lang w:val="en-US"/>
      </w:rPr>
      <w:t>P:\FRA\ITU-R\CONF-R\CMR15\000\007ADD23ADD02ADD02F.docx</w:t>
    </w:r>
    <w:r>
      <w:fldChar w:fldCharType="end"/>
    </w:r>
    <w:r>
      <w:rPr>
        <w:lang w:val="en-US"/>
      </w:rPr>
      <w:tab/>
    </w:r>
    <w:r>
      <w:fldChar w:fldCharType="begin"/>
    </w:r>
    <w:r>
      <w:instrText xml:space="preserve"> SAVEDATE \@ DD.MM.YY </w:instrText>
    </w:r>
    <w:r>
      <w:fldChar w:fldCharType="separate"/>
    </w:r>
    <w:r w:rsidR="00FA3357">
      <w:rPr>
        <w:noProof/>
      </w:rPr>
      <w:t>20.10.15</w:t>
    </w:r>
    <w:r>
      <w:fldChar w:fldCharType="end"/>
    </w:r>
    <w:r>
      <w:rPr>
        <w:lang w:val="en-US"/>
      </w:rPr>
      <w:tab/>
    </w:r>
    <w:r>
      <w:fldChar w:fldCharType="begin"/>
    </w:r>
    <w:r>
      <w:instrText xml:space="preserve"> PRINTDATE \@ DD.MM.YY </w:instrText>
    </w:r>
    <w:r>
      <w:fldChar w:fldCharType="separate"/>
    </w:r>
    <w:r w:rsidR="00FA3357">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515A7E">
    <w:pPr>
      <w:pStyle w:val="Footer"/>
      <w:rPr>
        <w:lang w:val="en-US"/>
      </w:rPr>
    </w:pPr>
    <w:r>
      <w:fldChar w:fldCharType="begin"/>
    </w:r>
    <w:r>
      <w:rPr>
        <w:lang w:val="en-US"/>
      </w:rPr>
      <w:instrText xml:space="preserve"> FILENAME \p  \* MERGEFORMAT </w:instrText>
    </w:r>
    <w:r>
      <w:fldChar w:fldCharType="separate"/>
    </w:r>
    <w:r w:rsidR="00FA3357">
      <w:rPr>
        <w:lang w:val="en-US"/>
      </w:rPr>
      <w:t>P:\FRA\ITU-R\CONF-R\CMR15\000\007ADD23ADD02ADD02F.docx</w:t>
    </w:r>
    <w:r>
      <w:fldChar w:fldCharType="end"/>
    </w:r>
    <w:r w:rsidR="003F2531" w:rsidRPr="003F2531">
      <w:rPr>
        <w:lang w:val="en-US"/>
      </w:rPr>
      <w:t xml:space="preserve"> (387404)</w:t>
    </w:r>
    <w:r>
      <w:rPr>
        <w:lang w:val="en-US"/>
      </w:rPr>
      <w:tab/>
    </w:r>
    <w:r>
      <w:fldChar w:fldCharType="begin"/>
    </w:r>
    <w:r>
      <w:instrText xml:space="preserve"> SAVEDATE \@ DD.MM.YY </w:instrText>
    </w:r>
    <w:r>
      <w:fldChar w:fldCharType="separate"/>
    </w:r>
    <w:r w:rsidR="00FA3357">
      <w:t>20.10.15</w:t>
    </w:r>
    <w:r>
      <w:fldChar w:fldCharType="end"/>
    </w:r>
    <w:r>
      <w:rPr>
        <w:lang w:val="en-US"/>
      </w:rPr>
      <w:tab/>
    </w:r>
    <w:r>
      <w:fldChar w:fldCharType="begin"/>
    </w:r>
    <w:r>
      <w:instrText xml:space="preserve"> PRINTDATE \@ DD.MM.YY </w:instrText>
    </w:r>
    <w:r>
      <w:fldChar w:fldCharType="separate"/>
    </w:r>
    <w:r w:rsidR="00FA3357">
      <w:t>20.10.15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FA3357">
      <w:rPr>
        <w:lang w:val="en-US"/>
      </w:rPr>
      <w:t>P:\FRA\ITU-R\CONF-R\CMR15\000\007ADD23ADD02ADD02F.docx</w:t>
    </w:r>
    <w:r>
      <w:fldChar w:fldCharType="end"/>
    </w:r>
    <w:r w:rsidR="003F2531" w:rsidRPr="003F2531">
      <w:rPr>
        <w:lang w:val="en-US"/>
      </w:rPr>
      <w:t xml:space="preserve"> (387404)</w:t>
    </w:r>
    <w:r>
      <w:rPr>
        <w:lang w:val="en-US"/>
      </w:rPr>
      <w:tab/>
    </w:r>
    <w:r>
      <w:fldChar w:fldCharType="begin"/>
    </w:r>
    <w:r>
      <w:instrText xml:space="preserve"> SAVEDATE \@ DD.MM.YY </w:instrText>
    </w:r>
    <w:r>
      <w:fldChar w:fldCharType="separate"/>
    </w:r>
    <w:r w:rsidR="00FA3357">
      <w:t>20.10.15</w:t>
    </w:r>
    <w:r>
      <w:fldChar w:fldCharType="end"/>
    </w:r>
    <w:r>
      <w:rPr>
        <w:lang w:val="en-US"/>
      </w:rPr>
      <w:tab/>
    </w:r>
    <w:r>
      <w:fldChar w:fldCharType="begin"/>
    </w:r>
    <w:r>
      <w:instrText xml:space="preserve"> PRINTDATE \@ DD.MM.YY </w:instrText>
    </w:r>
    <w:r>
      <w:fldChar w:fldCharType="separate"/>
    </w:r>
    <w:r w:rsidR="00FA3357">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FA3357">
      <w:rPr>
        <w:noProof/>
      </w:rPr>
      <w:t>2</w:t>
    </w:r>
    <w:r>
      <w:fldChar w:fldCharType="end"/>
    </w:r>
  </w:p>
  <w:p w:rsidR="004F1F8E" w:rsidRDefault="004F1F8E" w:rsidP="002C28A4">
    <w:pPr>
      <w:pStyle w:val="Header"/>
    </w:pPr>
    <w:r>
      <w:t>CMR1</w:t>
    </w:r>
    <w:r w:rsidR="002C28A4">
      <w:t>5</w:t>
    </w:r>
    <w:r>
      <w:t>/</w:t>
    </w:r>
    <w:r w:rsidR="006A4B45">
      <w:t>7(Add.23)(Add.2)(Add.2)-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478DC"/>
    <w:rsid w:val="00151174"/>
    <w:rsid w:val="0015203F"/>
    <w:rsid w:val="00160C64"/>
    <w:rsid w:val="0018169B"/>
    <w:rsid w:val="0019352B"/>
    <w:rsid w:val="001960D0"/>
    <w:rsid w:val="001F17E8"/>
    <w:rsid w:val="00204306"/>
    <w:rsid w:val="00227FF1"/>
    <w:rsid w:val="00232FD2"/>
    <w:rsid w:val="0026554E"/>
    <w:rsid w:val="002A4622"/>
    <w:rsid w:val="002A6F8F"/>
    <w:rsid w:val="002B17E5"/>
    <w:rsid w:val="002C0EBF"/>
    <w:rsid w:val="002C28A4"/>
    <w:rsid w:val="00315AFE"/>
    <w:rsid w:val="003606A6"/>
    <w:rsid w:val="0036650C"/>
    <w:rsid w:val="00393ACD"/>
    <w:rsid w:val="003A583E"/>
    <w:rsid w:val="003C0BEB"/>
    <w:rsid w:val="003E112B"/>
    <w:rsid w:val="003E1D1C"/>
    <w:rsid w:val="003E7B05"/>
    <w:rsid w:val="003F2531"/>
    <w:rsid w:val="00466211"/>
    <w:rsid w:val="004834A9"/>
    <w:rsid w:val="004D01FC"/>
    <w:rsid w:val="004E28C3"/>
    <w:rsid w:val="004F1F8E"/>
    <w:rsid w:val="00512A32"/>
    <w:rsid w:val="00515A7E"/>
    <w:rsid w:val="00586CF2"/>
    <w:rsid w:val="005C3768"/>
    <w:rsid w:val="005C6C3F"/>
    <w:rsid w:val="005F4BE5"/>
    <w:rsid w:val="00613635"/>
    <w:rsid w:val="0062093D"/>
    <w:rsid w:val="00637ECF"/>
    <w:rsid w:val="00647B59"/>
    <w:rsid w:val="00685FCE"/>
    <w:rsid w:val="00690C7B"/>
    <w:rsid w:val="006A4B45"/>
    <w:rsid w:val="006D4724"/>
    <w:rsid w:val="006D5B34"/>
    <w:rsid w:val="00701BAE"/>
    <w:rsid w:val="00721F04"/>
    <w:rsid w:val="00730E95"/>
    <w:rsid w:val="007426B9"/>
    <w:rsid w:val="00764342"/>
    <w:rsid w:val="00774362"/>
    <w:rsid w:val="00786598"/>
    <w:rsid w:val="00793EC6"/>
    <w:rsid w:val="007A04E8"/>
    <w:rsid w:val="007F6933"/>
    <w:rsid w:val="00850CCA"/>
    <w:rsid w:val="00851625"/>
    <w:rsid w:val="00863C0A"/>
    <w:rsid w:val="00874875"/>
    <w:rsid w:val="008814E5"/>
    <w:rsid w:val="008A3120"/>
    <w:rsid w:val="008D41BE"/>
    <w:rsid w:val="008D58D3"/>
    <w:rsid w:val="00923064"/>
    <w:rsid w:val="00930FFD"/>
    <w:rsid w:val="00936D25"/>
    <w:rsid w:val="00941EA5"/>
    <w:rsid w:val="00964700"/>
    <w:rsid w:val="00966C16"/>
    <w:rsid w:val="0098732F"/>
    <w:rsid w:val="009A045F"/>
    <w:rsid w:val="009A4151"/>
    <w:rsid w:val="009A558A"/>
    <w:rsid w:val="009C7E7C"/>
    <w:rsid w:val="00A00473"/>
    <w:rsid w:val="00A03C9B"/>
    <w:rsid w:val="00A2763B"/>
    <w:rsid w:val="00A37105"/>
    <w:rsid w:val="00A606C3"/>
    <w:rsid w:val="00A83B09"/>
    <w:rsid w:val="00A84541"/>
    <w:rsid w:val="00AB52A1"/>
    <w:rsid w:val="00AE36A0"/>
    <w:rsid w:val="00B00294"/>
    <w:rsid w:val="00B64FD0"/>
    <w:rsid w:val="00BA5BD0"/>
    <w:rsid w:val="00BB1D82"/>
    <w:rsid w:val="00BF26E7"/>
    <w:rsid w:val="00C31D64"/>
    <w:rsid w:val="00C53FCA"/>
    <w:rsid w:val="00C76BAF"/>
    <w:rsid w:val="00C814B9"/>
    <w:rsid w:val="00CD516F"/>
    <w:rsid w:val="00D055C5"/>
    <w:rsid w:val="00D119A7"/>
    <w:rsid w:val="00D25FBA"/>
    <w:rsid w:val="00D32B28"/>
    <w:rsid w:val="00D42954"/>
    <w:rsid w:val="00D66EAC"/>
    <w:rsid w:val="00D730DF"/>
    <w:rsid w:val="00D772F0"/>
    <w:rsid w:val="00D77BDC"/>
    <w:rsid w:val="00D846A7"/>
    <w:rsid w:val="00D94818"/>
    <w:rsid w:val="00DC402B"/>
    <w:rsid w:val="00DE0932"/>
    <w:rsid w:val="00E03A27"/>
    <w:rsid w:val="00E049F1"/>
    <w:rsid w:val="00E15308"/>
    <w:rsid w:val="00E37A25"/>
    <w:rsid w:val="00E537FF"/>
    <w:rsid w:val="00E6539B"/>
    <w:rsid w:val="00E70A31"/>
    <w:rsid w:val="00EA3F38"/>
    <w:rsid w:val="00EA5AB6"/>
    <w:rsid w:val="00EC7615"/>
    <w:rsid w:val="00ED16AA"/>
    <w:rsid w:val="00EF662E"/>
    <w:rsid w:val="00F148F1"/>
    <w:rsid w:val="00FA3357"/>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9121C989-C907-4D45-9B1C-B01CAE6E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R15-WRC15-C-0007!A23-A2-A2!MSW-F</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6C272462-37A0-45DE-997E-D8B12975379B}">
  <ds:schemaRefs>
    <ds:schemaRef ds:uri="http://purl.org/dc/dcmitype/"/>
    <ds:schemaRef ds:uri="http://schemas.openxmlformats.org/package/2006/metadata/core-properties"/>
    <ds:schemaRef ds:uri="32a1a8c5-2265-4ebc-b7a0-2071e2c5c9bb"/>
    <ds:schemaRef ds:uri="http://schemas.microsoft.com/office/infopath/2007/PartnerControls"/>
    <ds:schemaRef ds:uri="http://www.w3.org/XML/1998/namespace"/>
    <ds:schemaRef ds:uri="http://purl.org/dc/terms/"/>
    <ds:schemaRef ds:uri="http://schemas.microsoft.com/office/2006/documentManagement/types"/>
    <ds:schemaRef ds:uri="996b2e75-67fd-4955-a3b0-5ab9934cb50b"/>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488</Words>
  <Characters>2755</Characters>
  <Application>Microsoft Office Word</Application>
  <DocSecurity>0</DocSecurity>
  <Lines>60</Lines>
  <Paragraphs>23</Paragraphs>
  <ScaleCrop>false</ScaleCrop>
  <HeadingPairs>
    <vt:vector size="2" baseType="variant">
      <vt:variant>
        <vt:lpstr>Title</vt:lpstr>
      </vt:variant>
      <vt:variant>
        <vt:i4>1</vt:i4>
      </vt:variant>
    </vt:vector>
  </HeadingPairs>
  <TitlesOfParts>
    <vt:vector size="1" baseType="lpstr">
      <vt:lpstr>R15-WRC15-C-0007!A23-A2-A2!MSW-F</vt:lpstr>
    </vt:vector>
  </TitlesOfParts>
  <Manager>Secrétariat général - Pool</Manager>
  <Company>Union internationale des télécommunications (UIT)</Company>
  <LinksUpToDate>false</LinksUpToDate>
  <CharactersWithSpaces>3225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R15-WRC15-C-0007!A23-A2-A2!MSW-F</dc:title>
  <dc:subject>Conférence mondiale des radiocommunications - 2015</dc:subject>
  <dc:creator>Documents Proposals Manager (DPM)</dc:creator>
  <cp:keywords>DPM_v5.2015.10.8_prod</cp:keywords>
  <dc:description/>
  <cp:lastModifiedBy>Jones, Jacqueline</cp:lastModifiedBy>
  <cp:revision>11</cp:revision>
  <cp:lastPrinted>2015-10-20T14:13:00Z</cp:lastPrinted>
  <dcterms:created xsi:type="dcterms:W3CDTF">2015-10-13T13:10:00Z</dcterms:created>
  <dcterms:modified xsi:type="dcterms:W3CDTF">2015-10-20T14:13:00Z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