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204"/>
        <w:gridCol w:w="3827"/>
      </w:tblGrid>
      <w:tr w:rsidR="00622560" w:rsidTr="001238A8">
        <w:trPr>
          <w:cantSplit/>
        </w:trPr>
        <w:tc>
          <w:tcPr>
            <w:tcW w:w="6204" w:type="dxa"/>
          </w:tcPr>
          <w:p w:rsidR="00622560" w:rsidRPr="00566240" w:rsidRDefault="00B711CC" w:rsidP="00EF123E">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827" w:type="dxa"/>
          </w:tcPr>
          <w:p w:rsidR="00622560" w:rsidRPr="00622560" w:rsidRDefault="00B711CC" w:rsidP="00EF123E">
            <w:pPr>
              <w:spacing w:before="0"/>
              <w:jc w:val="right"/>
              <w:rPr>
                <w:rFonts w:ascii="Verdana" w:hAnsi="Verdana"/>
                <w:sz w:val="20"/>
              </w:rPr>
            </w:pPr>
            <w:bookmarkStart w:id="2" w:name="ditulogo"/>
            <w:bookmarkEnd w:id="2"/>
            <w:r>
              <w:rPr>
                <w:noProof/>
                <w:lang w:val="en-US" w:eastAsia="zh-CN"/>
              </w:rPr>
              <w:drawing>
                <wp:inline distT="0" distB="0" distL="0" distR="0" wp14:anchorId="7D67F5E7" wp14:editId="18518D1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1238A8">
        <w:trPr>
          <w:cantSplit/>
        </w:trPr>
        <w:tc>
          <w:tcPr>
            <w:tcW w:w="6204" w:type="dxa"/>
            <w:tcBorders>
              <w:bottom w:val="single" w:sz="12" w:space="0" w:color="auto"/>
            </w:tcBorders>
          </w:tcPr>
          <w:p w:rsidR="00622560" w:rsidRPr="00617BE4" w:rsidRDefault="00B711CC" w:rsidP="00EF123E">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827" w:type="dxa"/>
            <w:tcBorders>
              <w:bottom w:val="single" w:sz="12" w:space="0" w:color="auto"/>
            </w:tcBorders>
          </w:tcPr>
          <w:p w:rsidR="00622560" w:rsidRPr="00622560" w:rsidRDefault="00622560" w:rsidP="00EF123E">
            <w:pPr>
              <w:spacing w:before="0"/>
              <w:rPr>
                <w:rFonts w:ascii="Verdana" w:hAnsi="Verdana"/>
                <w:sz w:val="20"/>
                <w:szCs w:val="24"/>
              </w:rPr>
            </w:pPr>
          </w:p>
        </w:tc>
      </w:tr>
      <w:tr w:rsidR="00622560" w:rsidRPr="00C324A8" w:rsidTr="001238A8">
        <w:trPr>
          <w:cantSplit/>
        </w:trPr>
        <w:tc>
          <w:tcPr>
            <w:tcW w:w="6204" w:type="dxa"/>
            <w:tcBorders>
              <w:top w:val="single" w:sz="12" w:space="0" w:color="auto"/>
            </w:tcBorders>
          </w:tcPr>
          <w:p w:rsidR="00622560" w:rsidRPr="00CB4E5A" w:rsidRDefault="00622560" w:rsidP="00EF123E">
            <w:pPr>
              <w:rPr>
                <w:rFonts w:ascii="Verdana" w:hAnsi="Verdana"/>
                <w:b/>
                <w:bCs/>
                <w:sz w:val="20"/>
              </w:rPr>
            </w:pPr>
          </w:p>
        </w:tc>
        <w:tc>
          <w:tcPr>
            <w:tcW w:w="3827" w:type="dxa"/>
            <w:tcBorders>
              <w:top w:val="single" w:sz="12" w:space="0" w:color="auto"/>
            </w:tcBorders>
          </w:tcPr>
          <w:p w:rsidR="00622560" w:rsidRPr="00CB4E5A" w:rsidRDefault="00622560" w:rsidP="00EF123E">
            <w:pPr>
              <w:rPr>
                <w:rFonts w:ascii="Verdana" w:hAnsi="Verdana"/>
                <w:b/>
                <w:bCs/>
                <w:sz w:val="20"/>
              </w:rPr>
            </w:pPr>
          </w:p>
        </w:tc>
      </w:tr>
      <w:tr w:rsidR="00622560" w:rsidRPr="00C324A8" w:rsidTr="001238A8">
        <w:trPr>
          <w:cantSplit/>
          <w:trHeight w:val="23"/>
        </w:trPr>
        <w:tc>
          <w:tcPr>
            <w:tcW w:w="6204" w:type="dxa"/>
            <w:shd w:val="clear" w:color="auto" w:fill="auto"/>
          </w:tcPr>
          <w:p w:rsidR="00622560" w:rsidRPr="00A466E6" w:rsidRDefault="000273B7" w:rsidP="00EF123E">
            <w:pPr>
              <w:spacing w:before="0"/>
              <w:rPr>
                <w:rFonts w:ascii="Verdana" w:hAnsi="Verdana"/>
                <w:b/>
                <w:sz w:val="20"/>
              </w:rPr>
            </w:pPr>
            <w:r w:rsidRPr="00A466E6">
              <w:rPr>
                <w:rFonts w:ascii="Verdana" w:hAnsi="Verdana"/>
                <w:b/>
                <w:sz w:val="20"/>
              </w:rPr>
              <w:t>全体会议</w:t>
            </w:r>
          </w:p>
        </w:tc>
        <w:tc>
          <w:tcPr>
            <w:tcW w:w="3827" w:type="dxa"/>
            <w:shd w:val="clear" w:color="auto" w:fill="auto"/>
          </w:tcPr>
          <w:p w:rsidR="00622560" w:rsidRPr="00622560" w:rsidRDefault="000273B7" w:rsidP="00EF123E">
            <w:pPr>
              <w:spacing w:before="0"/>
              <w:rPr>
                <w:rFonts w:ascii="Verdana" w:hAnsi="Verdana"/>
                <w:sz w:val="20"/>
              </w:rPr>
            </w:pPr>
            <w:r>
              <w:rPr>
                <w:rFonts w:ascii="Verdana" w:hAnsi="Verdana" w:cs="Traditional Arabic"/>
                <w:b/>
                <w:sz w:val="20"/>
              </w:rPr>
              <w:t>文件</w:t>
            </w:r>
            <w:r w:rsidR="001238A8">
              <w:rPr>
                <w:rFonts w:ascii="Verdana" w:hAnsi="Verdana" w:cs="Traditional Arabic"/>
                <w:b/>
                <w:sz w:val="20"/>
              </w:rPr>
              <w:t xml:space="preserve"> 7</w:t>
            </w:r>
            <w:r>
              <w:rPr>
                <w:rFonts w:ascii="Verdana" w:hAnsi="Verdana" w:cs="Traditional Arabic"/>
                <w:b/>
                <w:sz w:val="20"/>
              </w:rPr>
              <w:t>(Add.23)(Add.1)</w:t>
            </w:r>
            <w:r w:rsidR="001238A8">
              <w:rPr>
                <w:rFonts w:ascii="Verdana" w:hAnsi="Verdana" w:cs="Traditional Arabic"/>
                <w:b/>
                <w:sz w:val="20"/>
              </w:rPr>
              <w:t>(Add.8)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1238A8">
        <w:trPr>
          <w:cantSplit/>
          <w:trHeight w:val="23"/>
        </w:trPr>
        <w:tc>
          <w:tcPr>
            <w:tcW w:w="6204" w:type="dxa"/>
            <w:shd w:val="clear" w:color="auto" w:fill="auto"/>
          </w:tcPr>
          <w:p w:rsidR="008221A4" w:rsidRPr="00C324A8" w:rsidRDefault="008221A4" w:rsidP="00EF123E">
            <w:pPr>
              <w:spacing w:before="0"/>
              <w:rPr>
                <w:rFonts w:ascii="Verdana" w:hAnsi="Verdana"/>
                <w:b/>
                <w:smallCaps/>
                <w:sz w:val="20"/>
              </w:rPr>
            </w:pPr>
          </w:p>
        </w:tc>
        <w:tc>
          <w:tcPr>
            <w:tcW w:w="3827" w:type="dxa"/>
            <w:shd w:val="clear" w:color="auto" w:fill="auto"/>
          </w:tcPr>
          <w:p w:rsidR="008221A4" w:rsidRPr="00622560" w:rsidRDefault="008221A4" w:rsidP="00EF123E">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1238A8">
        <w:trPr>
          <w:cantSplit/>
          <w:trHeight w:val="23"/>
        </w:trPr>
        <w:tc>
          <w:tcPr>
            <w:tcW w:w="6204" w:type="dxa"/>
          </w:tcPr>
          <w:p w:rsidR="008221A4" w:rsidRPr="00CB4E5A" w:rsidRDefault="008221A4" w:rsidP="00EF123E">
            <w:pPr>
              <w:spacing w:before="0"/>
              <w:rPr>
                <w:rFonts w:ascii="Verdana" w:hAnsi="Verdana"/>
                <w:b/>
                <w:bCs/>
                <w:sz w:val="20"/>
              </w:rPr>
            </w:pPr>
          </w:p>
        </w:tc>
        <w:tc>
          <w:tcPr>
            <w:tcW w:w="3827" w:type="dxa"/>
          </w:tcPr>
          <w:p w:rsidR="008221A4" w:rsidRPr="00622560" w:rsidRDefault="008221A4" w:rsidP="00EF123E">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EF123E">
            <w:pPr>
              <w:spacing w:before="0"/>
              <w:rPr>
                <w:rFonts w:ascii="Verdana" w:hAnsi="Verdana"/>
                <w:b/>
                <w:bCs/>
                <w:sz w:val="20"/>
              </w:rPr>
            </w:pPr>
          </w:p>
        </w:tc>
      </w:tr>
      <w:tr w:rsidR="008221A4">
        <w:trPr>
          <w:cantSplit/>
        </w:trPr>
        <w:tc>
          <w:tcPr>
            <w:tcW w:w="10031" w:type="dxa"/>
            <w:gridSpan w:val="2"/>
          </w:tcPr>
          <w:p w:rsidR="008221A4" w:rsidRDefault="008221A4" w:rsidP="00EF123E">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9B6366" w:rsidP="00EF123E">
            <w:pPr>
              <w:pStyle w:val="Title1"/>
            </w:pPr>
            <w:bookmarkStart w:id="5" w:name="dtitle1" w:colFirst="0" w:colLast="0"/>
            <w:bookmarkEnd w:id="4"/>
            <w:r w:rsidRPr="009B6366">
              <w:rPr>
                <w:rFonts w:hint="eastAsia"/>
              </w:rPr>
              <w:t>有关大会工作的提案</w:t>
            </w:r>
          </w:p>
        </w:tc>
      </w:tr>
      <w:tr w:rsidR="008221A4">
        <w:trPr>
          <w:cantSplit/>
        </w:trPr>
        <w:tc>
          <w:tcPr>
            <w:tcW w:w="10031" w:type="dxa"/>
            <w:gridSpan w:val="2"/>
          </w:tcPr>
          <w:p w:rsidR="008221A4" w:rsidRDefault="008221A4" w:rsidP="00EF123E">
            <w:pPr>
              <w:pStyle w:val="Title2"/>
            </w:pPr>
            <w:bookmarkStart w:id="6" w:name="dtitle2" w:colFirst="0" w:colLast="0"/>
            <w:bookmarkEnd w:id="5"/>
          </w:p>
        </w:tc>
      </w:tr>
      <w:tr w:rsidR="008221A4">
        <w:trPr>
          <w:cantSplit/>
        </w:trPr>
        <w:tc>
          <w:tcPr>
            <w:tcW w:w="10031" w:type="dxa"/>
            <w:gridSpan w:val="2"/>
          </w:tcPr>
          <w:p w:rsidR="008221A4" w:rsidRDefault="008221A4" w:rsidP="00EF123E">
            <w:pPr>
              <w:pStyle w:val="Agendaitem"/>
            </w:pPr>
            <w:bookmarkStart w:id="7" w:name="dtitle3" w:colFirst="0" w:colLast="0"/>
            <w:bookmarkEnd w:id="6"/>
            <w:r w:rsidRPr="000273B7">
              <w:t>议项</w:t>
            </w:r>
            <w:r w:rsidRPr="000273B7">
              <w:t>9.1(9.1.8)</w:t>
            </w:r>
          </w:p>
        </w:tc>
      </w:tr>
    </w:tbl>
    <w:bookmarkEnd w:id="7"/>
    <w:p w:rsidR="008B60D0" w:rsidRPr="00676FBA" w:rsidRDefault="00692F53" w:rsidP="00EF123E">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692F53" w:rsidP="00EF123E">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AD6A9A" w:rsidRDefault="00692F53" w:rsidP="00EF123E">
      <w:pPr>
        <w:rPr>
          <w:lang w:val="en-US" w:eastAsia="zh-CN"/>
        </w:rPr>
      </w:pPr>
      <w:r w:rsidRPr="009C33AA">
        <w:rPr>
          <w:lang w:eastAsia="zh-CN"/>
        </w:rPr>
        <w:t>9.1</w:t>
      </w:r>
      <w:r>
        <w:rPr>
          <w:lang w:eastAsia="zh-CN"/>
        </w:rPr>
        <w:t>(9.1.8)</w:t>
      </w:r>
      <w:r w:rsidRPr="009C33AA">
        <w:rPr>
          <w:b/>
          <w:lang w:eastAsia="zh-CN"/>
        </w:rPr>
        <w:tab/>
      </w:r>
      <w:r>
        <w:rPr>
          <w:rFonts w:hint="eastAsia"/>
          <w:lang w:eastAsia="zh-CN"/>
        </w:rPr>
        <w:t>第</w:t>
      </w:r>
      <w:r w:rsidRPr="001D720F">
        <w:rPr>
          <w:rFonts w:hint="eastAsia"/>
          <w:b/>
          <w:bCs/>
          <w:lang w:eastAsia="zh-CN"/>
        </w:rPr>
        <w:t>757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AD6A9A" w:rsidRPr="00AD6A9A">
        <w:rPr>
          <w:rFonts w:hint="eastAsia"/>
          <w:lang w:eastAsia="zh-CN"/>
        </w:rPr>
        <w:t xml:space="preserve"> </w:t>
      </w:r>
      <w:r w:rsidR="00AD6A9A">
        <w:rPr>
          <w:lang w:eastAsia="zh-CN"/>
        </w:rPr>
        <w:t>–</w:t>
      </w:r>
      <w:r>
        <w:rPr>
          <w:rFonts w:hint="eastAsia"/>
          <w:lang w:eastAsia="zh-CN"/>
        </w:rPr>
        <w:t xml:space="preserve"> </w:t>
      </w:r>
      <w:r w:rsidR="00865904">
        <w:rPr>
          <w:rFonts w:hint="eastAsia"/>
          <w:lang w:val="en-US" w:eastAsia="zh-CN"/>
        </w:rPr>
        <w:t>纳</w:t>
      </w:r>
      <w:r>
        <w:rPr>
          <w:rFonts w:hint="eastAsia"/>
          <w:lang w:eastAsia="zh-CN"/>
        </w:rPr>
        <w:t>卫星和</w:t>
      </w:r>
      <w:r w:rsidR="00865904">
        <w:rPr>
          <w:rFonts w:hint="eastAsia"/>
          <w:lang w:eastAsia="zh-CN"/>
        </w:rPr>
        <w:t>皮</w:t>
      </w:r>
      <w:r>
        <w:rPr>
          <w:rFonts w:hint="eastAsia"/>
          <w:lang w:eastAsia="zh-CN"/>
        </w:rPr>
        <w:t>卫星的规则问题</w:t>
      </w:r>
    </w:p>
    <w:p w:rsidR="00622560" w:rsidRDefault="00622560" w:rsidP="00EF123E">
      <w:pPr>
        <w:rPr>
          <w:lang w:eastAsia="zh-CN"/>
        </w:rPr>
      </w:pPr>
    </w:p>
    <w:p w:rsidR="001525A1" w:rsidRPr="001D74E2" w:rsidRDefault="001525A1" w:rsidP="00EF123E">
      <w:pPr>
        <w:pStyle w:val="Headingb"/>
        <w:rPr>
          <w:lang w:val="en-US" w:eastAsia="zh-CN"/>
        </w:rPr>
      </w:pPr>
      <w:r>
        <w:rPr>
          <w:rFonts w:hint="eastAsia"/>
          <w:lang w:val="en-US" w:eastAsia="zh-CN"/>
        </w:rPr>
        <w:t>背景</w:t>
      </w:r>
    </w:p>
    <w:p w:rsidR="001525A1" w:rsidRPr="00543CD6" w:rsidRDefault="00FC7384" w:rsidP="00B6273E">
      <w:pPr>
        <w:ind w:firstLineChars="200" w:firstLine="480"/>
        <w:rPr>
          <w:lang w:eastAsia="zh-CN"/>
        </w:rPr>
      </w:pPr>
      <w:r w:rsidRPr="00FC7384">
        <w:rPr>
          <w:rFonts w:hint="eastAsia"/>
          <w:lang w:eastAsia="zh-CN"/>
        </w:rPr>
        <w:t>WRC-12</w:t>
      </w:r>
      <w:r w:rsidRPr="00FC7384">
        <w:rPr>
          <w:rFonts w:hint="eastAsia"/>
          <w:lang w:eastAsia="zh-CN"/>
        </w:rPr>
        <w:t>通过了第</w:t>
      </w:r>
      <w:r w:rsidRPr="00FC7384">
        <w:rPr>
          <w:rFonts w:hint="eastAsia"/>
          <w:lang w:eastAsia="zh-CN"/>
        </w:rPr>
        <w:t>757</w:t>
      </w:r>
      <w:r w:rsidRPr="00FC7384">
        <w:rPr>
          <w:rFonts w:hint="eastAsia"/>
          <w:lang w:eastAsia="zh-CN"/>
        </w:rPr>
        <w:t>号决议（</w:t>
      </w:r>
      <w:r w:rsidRPr="00FC7384">
        <w:rPr>
          <w:rFonts w:hint="eastAsia"/>
          <w:lang w:eastAsia="zh-CN"/>
        </w:rPr>
        <w:t>WRC-12</w:t>
      </w:r>
      <w:r w:rsidRPr="00FC7384">
        <w:rPr>
          <w:rFonts w:hint="eastAsia"/>
          <w:lang w:eastAsia="zh-CN"/>
        </w:rPr>
        <w:t>），该决议</w:t>
      </w:r>
      <w:r w:rsidR="00EF123E">
        <w:rPr>
          <w:rFonts w:hint="eastAsia"/>
          <w:lang w:eastAsia="zh-CN"/>
        </w:rPr>
        <w:t>中</w:t>
      </w:r>
      <w:r w:rsidRPr="00FC7384">
        <w:rPr>
          <w:rFonts w:hint="eastAsia"/>
          <w:lang w:eastAsia="zh-CN"/>
        </w:rPr>
        <w:t>做出决议，请</w:t>
      </w:r>
      <w:r w:rsidRPr="00FC7384">
        <w:rPr>
          <w:rFonts w:hint="eastAsia"/>
          <w:lang w:eastAsia="zh-CN"/>
        </w:rPr>
        <w:t>WRC-1</w:t>
      </w:r>
      <w:r w:rsidR="00B6273E">
        <w:rPr>
          <w:lang w:eastAsia="zh-CN"/>
        </w:rPr>
        <w:t>5</w:t>
      </w:r>
      <w:r w:rsidRPr="00FC7384">
        <w:rPr>
          <w:rFonts w:hint="eastAsia"/>
          <w:lang w:eastAsia="zh-CN"/>
        </w:rPr>
        <w:t>考虑为方便纳卫星和皮卫星的部署和运行，考虑是否需要修改有关通知卫星网络的规则程序，并采取适当行动；并请</w:t>
      </w:r>
      <w:r w:rsidRPr="00FC7384">
        <w:rPr>
          <w:rFonts w:hint="eastAsia"/>
          <w:lang w:eastAsia="zh-CN"/>
        </w:rPr>
        <w:t>ITU-R</w:t>
      </w:r>
      <w:r w:rsidRPr="00FC7384">
        <w:rPr>
          <w:rFonts w:hint="eastAsia"/>
          <w:lang w:eastAsia="zh-CN"/>
        </w:rPr>
        <w:t>为方便纳卫星和皮卫星的部署和运行，审议有关通知空间网络的规则程序，并考虑对这些程序做出可能的修改，同时考虑到纳卫星和皮卫星开发周期短、任务周期短及其独特的轨道特性。</w:t>
      </w:r>
      <w:r w:rsidR="00865904" w:rsidRPr="00FC7384">
        <w:rPr>
          <w:rFonts w:hint="eastAsia"/>
          <w:lang w:eastAsia="zh-CN"/>
        </w:rPr>
        <w:t>第</w:t>
      </w:r>
      <w:r w:rsidR="00865904" w:rsidRPr="00FC7384">
        <w:rPr>
          <w:rFonts w:hint="eastAsia"/>
          <w:lang w:eastAsia="zh-CN"/>
        </w:rPr>
        <w:t>757</w:t>
      </w:r>
      <w:r w:rsidR="00865904" w:rsidRPr="00FC7384">
        <w:rPr>
          <w:rFonts w:hint="eastAsia"/>
          <w:lang w:eastAsia="zh-CN"/>
        </w:rPr>
        <w:t>号决议（</w:t>
      </w:r>
      <w:r w:rsidR="00865904" w:rsidRPr="00FC7384">
        <w:rPr>
          <w:rFonts w:hint="eastAsia"/>
          <w:lang w:eastAsia="zh-CN"/>
        </w:rPr>
        <w:t>WRC-12</w:t>
      </w:r>
      <w:r w:rsidR="00865904" w:rsidRPr="00FC7384">
        <w:rPr>
          <w:rFonts w:hint="eastAsia"/>
          <w:lang w:eastAsia="zh-CN"/>
        </w:rPr>
        <w:t>）</w:t>
      </w:r>
      <w:r w:rsidR="00865904">
        <w:rPr>
          <w:rFonts w:hint="eastAsia"/>
          <w:lang w:eastAsia="zh-CN"/>
        </w:rPr>
        <w:t>认识到有些纳卫星和皮卫星任务与其运行的业务不相一致，而且它们仅有有限的轨道控制能力。该决议还责成无线电通信局主任</w:t>
      </w:r>
      <w:r w:rsidR="00993838" w:rsidRPr="00993838">
        <w:rPr>
          <w:rFonts w:hint="eastAsia"/>
          <w:lang w:eastAsia="zh-CN"/>
        </w:rPr>
        <w:t>向</w:t>
      </w:r>
      <w:r w:rsidR="00993838" w:rsidRPr="00993838">
        <w:rPr>
          <w:rFonts w:hint="eastAsia"/>
          <w:lang w:eastAsia="zh-CN"/>
        </w:rPr>
        <w:t>WRC-15</w:t>
      </w:r>
      <w:r w:rsidR="00993838" w:rsidRPr="00993838">
        <w:rPr>
          <w:rFonts w:hint="eastAsia"/>
          <w:lang w:eastAsia="zh-CN"/>
        </w:rPr>
        <w:t>报告这些研究结果</w:t>
      </w:r>
      <w:r w:rsidR="00E10FCB">
        <w:rPr>
          <w:rFonts w:hint="eastAsia"/>
          <w:lang w:eastAsia="zh-CN"/>
        </w:rPr>
        <w:t>。</w:t>
      </w:r>
    </w:p>
    <w:p w:rsidR="001525A1" w:rsidRPr="00543CD6" w:rsidRDefault="00865904" w:rsidP="00EF123E">
      <w:pPr>
        <w:ind w:firstLineChars="200" w:firstLine="484"/>
        <w:rPr>
          <w:lang w:eastAsia="zh-CN"/>
        </w:rPr>
      </w:pPr>
      <w:r w:rsidRPr="00A97E53">
        <w:rPr>
          <w:rFonts w:hint="eastAsia"/>
          <w:spacing w:val="2"/>
          <w:lang w:eastAsia="zh-CN"/>
        </w:rPr>
        <w:t>为了避免产生有害干扰，在非规划频段通知卫星网络频率指配的规则程序适用于所有卫星网络和系统。按照第</w:t>
      </w:r>
      <w:r w:rsidRPr="00A97E53">
        <w:rPr>
          <w:rFonts w:hint="eastAsia"/>
          <w:spacing w:val="2"/>
          <w:lang w:eastAsia="zh-CN"/>
        </w:rPr>
        <w:t>757</w:t>
      </w:r>
      <w:r w:rsidRPr="00A97E53">
        <w:rPr>
          <w:rFonts w:hint="eastAsia"/>
          <w:spacing w:val="2"/>
          <w:lang w:eastAsia="zh-CN"/>
        </w:rPr>
        <w:t>号决议（</w:t>
      </w:r>
      <w:r w:rsidRPr="00A97E53">
        <w:rPr>
          <w:rFonts w:hint="eastAsia"/>
          <w:spacing w:val="2"/>
          <w:lang w:eastAsia="zh-CN"/>
        </w:rPr>
        <w:t>WRC-12</w:t>
      </w:r>
      <w:r w:rsidRPr="00A97E53">
        <w:rPr>
          <w:rFonts w:hint="eastAsia"/>
          <w:spacing w:val="2"/>
          <w:lang w:eastAsia="zh-CN"/>
        </w:rPr>
        <w:t>）的要求，同时</w:t>
      </w:r>
      <w:r w:rsidR="008638B2" w:rsidRPr="00A97E53">
        <w:rPr>
          <w:rFonts w:hint="eastAsia"/>
          <w:spacing w:val="2"/>
          <w:lang w:eastAsia="zh-CN"/>
        </w:rPr>
        <w:t>响应</w:t>
      </w:r>
      <w:r w:rsidRPr="00A97E53">
        <w:rPr>
          <w:rFonts w:hint="eastAsia"/>
          <w:spacing w:val="2"/>
          <w:lang w:eastAsia="zh-CN"/>
        </w:rPr>
        <w:t>ITU-R</w:t>
      </w:r>
      <w:r w:rsidRPr="00A97E53">
        <w:rPr>
          <w:rFonts w:hint="eastAsia"/>
          <w:spacing w:val="2"/>
          <w:lang w:eastAsia="zh-CN"/>
        </w:rPr>
        <w:t>第</w:t>
      </w:r>
      <w:r w:rsidRPr="00A97E53">
        <w:rPr>
          <w:rFonts w:hint="eastAsia"/>
          <w:spacing w:val="2"/>
          <w:lang w:eastAsia="zh-CN"/>
        </w:rPr>
        <w:t>254/7</w:t>
      </w:r>
      <w:r w:rsidRPr="00A97E53">
        <w:rPr>
          <w:rFonts w:hint="eastAsia"/>
          <w:spacing w:val="2"/>
          <w:lang w:eastAsia="zh-CN"/>
        </w:rPr>
        <w:t>号课题</w:t>
      </w:r>
      <w:r w:rsidR="008638B2" w:rsidRPr="00A97E53">
        <w:rPr>
          <w:rFonts w:hint="eastAsia"/>
          <w:spacing w:val="2"/>
          <w:lang w:eastAsia="zh-CN"/>
        </w:rPr>
        <w:t>，</w:t>
      </w:r>
      <w:r w:rsidRPr="00A97E53">
        <w:rPr>
          <w:rFonts w:hint="eastAsia"/>
          <w:spacing w:val="2"/>
          <w:lang w:eastAsia="zh-CN"/>
        </w:rPr>
        <w:t>ITU-</w:t>
      </w:r>
      <w:r>
        <w:rPr>
          <w:rFonts w:hint="eastAsia"/>
          <w:lang w:eastAsia="zh-CN"/>
        </w:rPr>
        <w:t>R 7B</w:t>
      </w:r>
      <w:r>
        <w:rPr>
          <w:rFonts w:hint="eastAsia"/>
          <w:lang w:eastAsia="zh-CN"/>
        </w:rPr>
        <w:t>工作组起草了有关纳卫星和皮卫星的技术和操作特性报告草案</w:t>
      </w:r>
      <w:r w:rsidR="00AF3C95">
        <w:rPr>
          <w:rFonts w:hint="eastAsia"/>
          <w:lang w:eastAsia="zh-CN"/>
        </w:rPr>
        <w:t>，以及现行的有关纳卫星和皮卫星操作者的做法报告草案。</w:t>
      </w:r>
      <w:r w:rsidR="00AF3C95" w:rsidRPr="00FC7384">
        <w:rPr>
          <w:rFonts w:hint="eastAsia"/>
          <w:lang w:eastAsia="zh-CN"/>
        </w:rPr>
        <w:t>第</w:t>
      </w:r>
      <w:r w:rsidR="00AF3C95" w:rsidRPr="00FC7384">
        <w:rPr>
          <w:rFonts w:hint="eastAsia"/>
          <w:lang w:eastAsia="zh-CN"/>
        </w:rPr>
        <w:t>757</w:t>
      </w:r>
      <w:r w:rsidR="00AF3C95" w:rsidRPr="00FC7384">
        <w:rPr>
          <w:rFonts w:hint="eastAsia"/>
          <w:lang w:eastAsia="zh-CN"/>
        </w:rPr>
        <w:t>号决议（</w:t>
      </w:r>
      <w:r w:rsidR="00AF3C95" w:rsidRPr="00FC7384">
        <w:rPr>
          <w:rFonts w:hint="eastAsia"/>
          <w:lang w:eastAsia="zh-CN"/>
        </w:rPr>
        <w:t>WRC-12</w:t>
      </w:r>
      <w:r w:rsidR="00AF3C95" w:rsidRPr="00FC7384">
        <w:rPr>
          <w:rFonts w:hint="eastAsia"/>
          <w:lang w:eastAsia="zh-CN"/>
        </w:rPr>
        <w:t>）</w:t>
      </w:r>
      <w:r w:rsidR="00AF3C95">
        <w:rPr>
          <w:rFonts w:hint="eastAsia"/>
          <w:lang w:eastAsia="zh-CN"/>
        </w:rPr>
        <w:t>则要求审议纳卫星和皮卫星的规则问题。</w:t>
      </w:r>
    </w:p>
    <w:p w:rsidR="001525A1" w:rsidRPr="00543CD6" w:rsidRDefault="00AF3C95" w:rsidP="00EF123E">
      <w:pPr>
        <w:ind w:firstLineChars="200" w:firstLine="480"/>
        <w:rPr>
          <w:lang w:eastAsia="zh-CN"/>
        </w:rPr>
      </w:pPr>
      <w:r>
        <w:rPr>
          <w:rFonts w:hint="eastAsia"/>
          <w:lang w:eastAsia="zh-CN"/>
        </w:rPr>
        <w:t>ITU-R 7B</w:t>
      </w:r>
      <w:r>
        <w:rPr>
          <w:rFonts w:hint="eastAsia"/>
          <w:lang w:eastAsia="zh-CN"/>
        </w:rPr>
        <w:t>工作组所起草的报告草案得出结论，从《无线电规则》的角度来看，纳卫星和皮卫星同其他类型的卫星并没有显著区别。从规则方面看，主要的区别是其很短的任务开发时间以及任务操作寿命，同登记卫星网络的时间框架的比较问题，以及</w:t>
      </w:r>
      <w:r w:rsidR="002B0578">
        <w:rPr>
          <w:rFonts w:hint="eastAsia"/>
          <w:lang w:eastAsia="zh-CN"/>
        </w:rPr>
        <w:t>对于很多任务来说，</w:t>
      </w:r>
      <w:r>
        <w:rPr>
          <w:rFonts w:hint="eastAsia"/>
          <w:lang w:eastAsia="zh-CN"/>
        </w:rPr>
        <w:t>向国际电联登记卫星网络所需的轨道参数一直到在发射不久前或发射后才能知晓的问题。</w:t>
      </w:r>
    </w:p>
    <w:p w:rsidR="001525A1" w:rsidRPr="00543CD6" w:rsidRDefault="002B0578" w:rsidP="00983536">
      <w:pPr>
        <w:ind w:firstLineChars="200" w:firstLine="480"/>
        <w:rPr>
          <w:lang w:eastAsia="zh-CN"/>
        </w:rPr>
      </w:pPr>
      <w:r>
        <w:rPr>
          <w:rFonts w:hint="eastAsia"/>
          <w:lang w:eastAsia="zh-CN"/>
        </w:rPr>
        <w:lastRenderedPageBreak/>
        <w:t>考虑到</w:t>
      </w:r>
      <w:r>
        <w:rPr>
          <w:rFonts w:hint="eastAsia"/>
          <w:lang w:eastAsia="zh-CN"/>
        </w:rPr>
        <w:t>ITU-R</w:t>
      </w:r>
      <w:r>
        <w:rPr>
          <w:rFonts w:hint="eastAsia"/>
          <w:lang w:eastAsia="zh-CN"/>
        </w:rPr>
        <w:t>报告的结论，现提出两项有关该议项的提案、首先，在</w:t>
      </w:r>
      <w:r>
        <w:rPr>
          <w:rFonts w:hint="eastAsia"/>
          <w:lang w:eastAsia="zh-CN"/>
        </w:rPr>
        <w:t>WRC-15</w:t>
      </w:r>
      <w:r>
        <w:rPr>
          <w:rFonts w:hint="eastAsia"/>
          <w:lang w:eastAsia="zh-CN"/>
        </w:rPr>
        <w:t>上，任何对于《无线电规则》的修改，特别是对第</w:t>
      </w:r>
      <w:r>
        <w:rPr>
          <w:rFonts w:hint="eastAsia"/>
          <w:lang w:eastAsia="zh-CN"/>
        </w:rPr>
        <w:t>9</w:t>
      </w:r>
      <w:r>
        <w:rPr>
          <w:rFonts w:hint="eastAsia"/>
          <w:lang w:eastAsia="zh-CN"/>
        </w:rPr>
        <w:t>条和第</w:t>
      </w:r>
      <w:r>
        <w:rPr>
          <w:rFonts w:hint="eastAsia"/>
          <w:lang w:eastAsia="zh-CN"/>
        </w:rPr>
        <w:t>11</w:t>
      </w:r>
      <w:r>
        <w:rPr>
          <w:rFonts w:hint="eastAsia"/>
          <w:lang w:eastAsia="zh-CN"/>
        </w:rPr>
        <w:t>条的修改都缺乏正当理由，这是因为针对纳卫星和皮卫星技术特定的条款会增加用于所有卫星系统的《无线电规则》的复杂程度。此外，此类条款可能创造出限制纳卫星和皮卫星技术发展的环境。第二，没有必要专门为纳卫星和皮卫星设立未来大会议项</w:t>
      </w:r>
      <w:r w:rsidR="00EF123E">
        <w:rPr>
          <w:rFonts w:hint="eastAsia"/>
          <w:lang w:eastAsia="zh-CN"/>
        </w:rPr>
        <w:t>以</w:t>
      </w:r>
      <w:r>
        <w:rPr>
          <w:rFonts w:hint="eastAsia"/>
          <w:lang w:eastAsia="zh-CN"/>
        </w:rPr>
        <w:t>研究卫星网络资料登记程序。任何确定的用于此类卫星的问题可以通过按照第</w:t>
      </w:r>
      <w:r>
        <w:rPr>
          <w:rFonts w:hint="eastAsia"/>
          <w:lang w:eastAsia="zh-CN"/>
        </w:rPr>
        <w:t>86</w:t>
      </w:r>
      <w:r>
        <w:rPr>
          <w:rFonts w:hint="eastAsia"/>
          <w:lang w:eastAsia="zh-CN"/>
        </w:rPr>
        <w:t>号决议（</w:t>
      </w:r>
      <w:r>
        <w:rPr>
          <w:rFonts w:hint="eastAsia"/>
          <w:lang w:eastAsia="zh-CN"/>
        </w:rPr>
        <w:t>WRC-07</w:t>
      </w:r>
      <w:r>
        <w:rPr>
          <w:rFonts w:hint="eastAsia"/>
          <w:lang w:eastAsia="zh-CN"/>
        </w:rPr>
        <w:t>）（在第</w:t>
      </w:r>
      <w:r>
        <w:rPr>
          <w:rFonts w:hint="eastAsia"/>
          <w:lang w:eastAsia="zh-CN"/>
        </w:rPr>
        <w:t>808</w:t>
      </w:r>
      <w:r>
        <w:rPr>
          <w:rFonts w:hint="eastAsia"/>
          <w:lang w:eastAsia="zh-CN"/>
        </w:rPr>
        <w:t>号决议</w:t>
      </w:r>
      <w:r w:rsidR="00983536">
        <w:rPr>
          <w:rFonts w:hint="eastAsia"/>
          <w:lang w:eastAsia="zh-CN"/>
        </w:rPr>
        <w:t>（</w:t>
      </w:r>
      <w:r w:rsidR="00983536">
        <w:rPr>
          <w:rFonts w:hint="eastAsia"/>
          <w:lang w:eastAsia="zh-CN"/>
        </w:rPr>
        <w:t>WRC-</w:t>
      </w:r>
      <w:r w:rsidR="00983536">
        <w:rPr>
          <w:lang w:eastAsia="zh-CN"/>
        </w:rPr>
        <w:t>12</w:t>
      </w:r>
      <w:r w:rsidR="00983536">
        <w:rPr>
          <w:rFonts w:hint="eastAsia"/>
          <w:lang w:eastAsia="zh-CN"/>
        </w:rPr>
        <w:t>）</w:t>
      </w:r>
      <w:r>
        <w:rPr>
          <w:rFonts w:hint="eastAsia"/>
          <w:lang w:eastAsia="zh-CN"/>
        </w:rPr>
        <w:t>中是议项</w:t>
      </w:r>
      <w:r>
        <w:rPr>
          <w:rFonts w:hint="eastAsia"/>
          <w:lang w:eastAsia="zh-CN"/>
        </w:rPr>
        <w:t>8</w:t>
      </w:r>
      <w:r>
        <w:rPr>
          <w:rFonts w:hint="eastAsia"/>
          <w:lang w:eastAsia="zh-CN"/>
        </w:rPr>
        <w:t>）</w:t>
      </w:r>
      <w:r w:rsidR="00E10FCB">
        <w:rPr>
          <w:rFonts w:hint="eastAsia"/>
          <w:lang w:eastAsia="zh-CN"/>
        </w:rPr>
        <w:t>研究卫星网络问题的</w:t>
      </w:r>
      <w:r>
        <w:rPr>
          <w:rFonts w:hint="eastAsia"/>
          <w:lang w:eastAsia="zh-CN"/>
        </w:rPr>
        <w:t>WRC</w:t>
      </w:r>
      <w:r>
        <w:rPr>
          <w:rFonts w:hint="eastAsia"/>
          <w:lang w:eastAsia="zh-CN"/>
        </w:rPr>
        <w:t>常设议项的正常工作开展研究。</w:t>
      </w:r>
    </w:p>
    <w:p w:rsidR="001525A1" w:rsidRDefault="001525A1" w:rsidP="00EF123E">
      <w:pPr>
        <w:pStyle w:val="Headingb"/>
        <w:rPr>
          <w:lang w:val="en-US" w:eastAsia="zh-CN"/>
        </w:rPr>
      </w:pPr>
      <w:r>
        <w:rPr>
          <w:rFonts w:hint="eastAsia"/>
          <w:lang w:val="en-US" w:eastAsia="zh-CN"/>
        </w:rPr>
        <w:t>提案</w:t>
      </w:r>
    </w:p>
    <w:p w:rsidR="00CC0291" w:rsidRPr="00CC0291" w:rsidRDefault="00CC0291" w:rsidP="00CC0291">
      <w:pPr>
        <w:rPr>
          <w:lang w:val="en-US" w:eastAsia="zh-CN"/>
        </w:rPr>
      </w:pPr>
    </w:p>
    <w:p w:rsidR="00336FA1" w:rsidRDefault="00692F53" w:rsidP="00EF123E">
      <w:pPr>
        <w:pStyle w:val="Proposal"/>
        <w:rPr>
          <w:lang w:eastAsia="zh-CN"/>
        </w:rPr>
      </w:pPr>
      <w:r>
        <w:rPr>
          <w:u w:val="single"/>
          <w:lang w:eastAsia="zh-CN"/>
        </w:rPr>
        <w:t>NOC</w:t>
      </w:r>
      <w:r>
        <w:rPr>
          <w:lang w:eastAsia="zh-CN"/>
        </w:rPr>
        <w:tab/>
        <w:t>IAP/7A23A1A8/1</w:t>
      </w:r>
    </w:p>
    <w:p w:rsidR="00DB1CAC" w:rsidRPr="00AE2760" w:rsidRDefault="00692F53" w:rsidP="00EF123E">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DB1CAC" w:rsidRDefault="00692F53" w:rsidP="00EF123E">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EF123E" w:rsidRPr="00EF123E">
        <w:rPr>
          <w:rStyle w:val="FootnoteReference"/>
          <w:rFonts w:ascii="Times New Roman italic" w:hAnsi="Times New Roman italic" w:cs="Times New Roman italic"/>
          <w:iCs/>
          <w:szCs w:val="18"/>
          <w:lang w:eastAsia="zh-CN"/>
        </w:rPr>
        <w:t>8</w:t>
      </w:r>
      <w:r w:rsidRPr="00EF123E">
        <w:rPr>
          <w:rStyle w:val="FootnoteReference"/>
          <w:rFonts w:ascii="STKaiti" w:eastAsia="STKaiti" w:hAnsi="STKaiti" w:cs="Times New Roman italic" w:hint="eastAsia"/>
          <w:iCs/>
          <w:sz w:val="16"/>
          <w:szCs w:val="16"/>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336FA1" w:rsidRDefault="00692F53" w:rsidP="00EF123E">
      <w:pPr>
        <w:pStyle w:val="Reasons"/>
        <w:rPr>
          <w:lang w:eastAsia="zh-CN"/>
        </w:rPr>
      </w:pPr>
      <w:r>
        <w:rPr>
          <w:b/>
          <w:lang w:eastAsia="zh-CN"/>
        </w:rPr>
        <w:t>理由：</w:t>
      </w:r>
      <w:r>
        <w:rPr>
          <w:lang w:eastAsia="zh-CN"/>
        </w:rPr>
        <w:tab/>
      </w:r>
      <w:r w:rsidR="00E10FCB">
        <w:rPr>
          <w:rFonts w:hint="eastAsia"/>
          <w:lang w:eastAsia="zh-CN"/>
        </w:rPr>
        <w:t>对于</w:t>
      </w:r>
      <w:r w:rsidR="00E10FCB">
        <w:rPr>
          <w:rFonts w:hint="eastAsia"/>
          <w:lang w:eastAsia="zh-CN"/>
        </w:rPr>
        <w:t>WRC-15</w:t>
      </w:r>
      <w:r w:rsidR="00E10FCB">
        <w:rPr>
          <w:rFonts w:hint="eastAsia"/>
          <w:lang w:eastAsia="zh-CN"/>
        </w:rPr>
        <w:t>，没有必要修改该条，为纳卫星和皮卫星引入特定的规则条款。</w:t>
      </w:r>
    </w:p>
    <w:p w:rsidR="00336FA1" w:rsidRDefault="00692F53" w:rsidP="00EF123E">
      <w:pPr>
        <w:pStyle w:val="Proposal"/>
        <w:rPr>
          <w:lang w:eastAsia="zh-CN"/>
        </w:rPr>
      </w:pPr>
      <w:r>
        <w:rPr>
          <w:u w:val="single"/>
          <w:lang w:eastAsia="zh-CN"/>
        </w:rPr>
        <w:t>NOC</w:t>
      </w:r>
      <w:r>
        <w:rPr>
          <w:lang w:eastAsia="zh-CN"/>
        </w:rPr>
        <w:tab/>
        <w:t>IAP/7A23A1A8/2</w:t>
      </w:r>
    </w:p>
    <w:p w:rsidR="00DB1CAC" w:rsidRPr="00F439B1" w:rsidRDefault="00692F53" w:rsidP="00EF123E">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692F53" w:rsidP="00EF123E">
      <w:pPr>
        <w:pStyle w:val="Arttitle"/>
        <w:rPr>
          <w:bCs/>
          <w:sz w:val="16"/>
          <w:szCs w:val="16"/>
          <w:lang w:val="en-US" w:eastAsia="zh-CN"/>
        </w:rPr>
      </w:pPr>
      <w:bookmarkStart w:id="1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EF123E">
        <w:rPr>
          <w:rStyle w:val="FootnoteReference"/>
          <w:rFonts w:ascii="STKaiti" w:eastAsia="STKaiti" w:hAnsi="STKaiti"/>
          <w:bCs/>
          <w:sz w:val="16"/>
          <w:szCs w:val="16"/>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0"/>
    </w:p>
    <w:p w:rsidR="00E10FCB" w:rsidRDefault="00692F53" w:rsidP="00EF123E">
      <w:pPr>
        <w:pStyle w:val="Reasons"/>
        <w:rPr>
          <w:lang w:eastAsia="zh-CN"/>
        </w:rPr>
      </w:pPr>
      <w:r>
        <w:rPr>
          <w:b/>
          <w:lang w:eastAsia="zh-CN"/>
        </w:rPr>
        <w:t>理由：</w:t>
      </w:r>
      <w:r>
        <w:rPr>
          <w:lang w:eastAsia="zh-CN"/>
        </w:rPr>
        <w:tab/>
      </w:r>
      <w:r w:rsidR="00E10FCB">
        <w:rPr>
          <w:rFonts w:hint="eastAsia"/>
          <w:lang w:eastAsia="zh-CN"/>
        </w:rPr>
        <w:t>对于</w:t>
      </w:r>
      <w:r w:rsidR="00E10FCB">
        <w:rPr>
          <w:rFonts w:hint="eastAsia"/>
          <w:lang w:eastAsia="zh-CN"/>
        </w:rPr>
        <w:t>WRC-15</w:t>
      </w:r>
      <w:r w:rsidR="00E10FCB">
        <w:rPr>
          <w:rFonts w:hint="eastAsia"/>
          <w:lang w:eastAsia="zh-CN"/>
        </w:rPr>
        <w:t>，没有必要修改该条，为纳卫星和皮卫星引入特定的规则条款。</w:t>
      </w:r>
    </w:p>
    <w:p w:rsidR="00336FA1" w:rsidRPr="00CC0291" w:rsidRDefault="00692F53" w:rsidP="00CC0291">
      <w:pPr>
        <w:pStyle w:val="Proposal"/>
      </w:pPr>
      <w:r w:rsidRPr="00CC0291">
        <w:t>SUP</w:t>
      </w:r>
      <w:r w:rsidRPr="00CC0291">
        <w:tab/>
        <w:t>IAP/7A23A1A8/3</w:t>
      </w:r>
    </w:p>
    <w:p w:rsidR="007B4F46" w:rsidRPr="002C288D" w:rsidRDefault="00692F53" w:rsidP="00EF123E">
      <w:pPr>
        <w:pStyle w:val="ResNo"/>
        <w:rPr>
          <w:lang w:eastAsia="zh-CN"/>
        </w:rPr>
      </w:pPr>
      <w:bookmarkStart w:id="11"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r>
        <w:rPr>
          <w:rFonts w:hint="eastAsia"/>
          <w:lang w:eastAsia="zh-CN"/>
        </w:rPr>
        <w:t>12</w:t>
      </w:r>
      <w:r w:rsidRPr="002C288D">
        <w:rPr>
          <w:lang w:eastAsia="zh-CN"/>
        </w:rPr>
        <w:t>）</w:t>
      </w:r>
      <w:bookmarkEnd w:id="11"/>
    </w:p>
    <w:p w:rsidR="007B4F46" w:rsidRPr="000768EC" w:rsidRDefault="00692F53" w:rsidP="00EF123E">
      <w:pPr>
        <w:pStyle w:val="Restitle"/>
        <w:rPr>
          <w:rFonts w:ascii="Times New Roman" w:hAnsi="Times New Roman"/>
          <w:lang w:eastAsia="zh-CN"/>
        </w:rPr>
      </w:pPr>
      <w:bookmarkStart w:id="12" w:name="_Toc328053241"/>
      <w:r w:rsidRPr="000768EC">
        <w:rPr>
          <w:rFonts w:ascii="Times New Roman" w:hAnsi="Times New Roman"/>
          <w:lang w:eastAsia="zh-CN"/>
        </w:rPr>
        <w:t>201</w:t>
      </w:r>
      <w:r>
        <w:rPr>
          <w:rFonts w:ascii="Times New Roman" w:hAnsi="Times New Roman" w:hint="eastAsia"/>
          <w:lang w:eastAsia="zh-CN"/>
        </w:rPr>
        <w:t>8</w:t>
      </w:r>
      <w:r w:rsidRPr="000768EC">
        <w:rPr>
          <w:rFonts w:ascii="Times New Roman"/>
          <w:lang w:eastAsia="zh-CN"/>
        </w:rPr>
        <w:t>年世界无线电通信大会的</w:t>
      </w:r>
      <w:r w:rsidRPr="00CC0291">
        <w:rPr>
          <w:lang w:eastAsia="zh-CN"/>
        </w:rPr>
        <w:t>初步</w:t>
      </w:r>
      <w:r w:rsidRPr="000768EC">
        <w:rPr>
          <w:rFonts w:ascii="Times New Roman"/>
          <w:lang w:eastAsia="zh-CN"/>
        </w:rPr>
        <w:t>议程</w:t>
      </w:r>
      <w:bookmarkEnd w:id="12"/>
    </w:p>
    <w:p w:rsidR="00E10FCB" w:rsidRPr="00543CD6" w:rsidRDefault="00692F53" w:rsidP="00CC0291">
      <w:pPr>
        <w:pStyle w:val="Reasons"/>
        <w:rPr>
          <w:lang w:eastAsia="zh-CN"/>
        </w:rPr>
      </w:pPr>
      <w:bookmarkStart w:id="13" w:name="_GoBack"/>
      <w:r>
        <w:rPr>
          <w:b/>
          <w:lang w:eastAsia="zh-CN"/>
        </w:rPr>
        <w:t>理由：</w:t>
      </w:r>
      <w:r>
        <w:rPr>
          <w:lang w:eastAsia="zh-CN"/>
        </w:rPr>
        <w:tab/>
      </w:r>
      <w:r w:rsidR="00E10FCB">
        <w:rPr>
          <w:rFonts w:hint="eastAsia"/>
          <w:lang w:eastAsia="zh-CN"/>
        </w:rPr>
        <w:t>没有必要专门为纳卫星和皮卫星设立未来大会议项研究登记卫星网络资料登记程序，而此类问题可以通过有关卫星网络问题的</w:t>
      </w:r>
      <w:r w:rsidR="00E10FCB">
        <w:rPr>
          <w:rFonts w:hint="eastAsia"/>
          <w:lang w:eastAsia="zh-CN"/>
        </w:rPr>
        <w:t>WRC</w:t>
      </w:r>
      <w:r w:rsidR="00E10FCB">
        <w:rPr>
          <w:rFonts w:hint="eastAsia"/>
          <w:lang w:eastAsia="zh-CN"/>
        </w:rPr>
        <w:t>常设议项解决。</w:t>
      </w:r>
    </w:p>
    <w:bookmarkEnd w:id="13"/>
    <w:p w:rsidR="00336FA1" w:rsidRDefault="00692F53" w:rsidP="00EF123E">
      <w:pPr>
        <w:pStyle w:val="Proposal"/>
        <w:rPr>
          <w:lang w:eastAsia="zh-CN"/>
        </w:rPr>
      </w:pPr>
      <w:r>
        <w:rPr>
          <w:lang w:eastAsia="zh-CN"/>
        </w:rPr>
        <w:lastRenderedPageBreak/>
        <w:t>SUP</w:t>
      </w:r>
      <w:r>
        <w:rPr>
          <w:lang w:eastAsia="zh-CN"/>
        </w:rPr>
        <w:tab/>
        <w:t>IAP/</w:t>
      </w:r>
      <w:r w:rsidRPr="00CC0291">
        <w:t>7A23A1A8</w:t>
      </w:r>
      <w:r>
        <w:rPr>
          <w:lang w:eastAsia="zh-CN"/>
        </w:rPr>
        <w:t>/4</w:t>
      </w:r>
    </w:p>
    <w:p w:rsidR="007B4F46" w:rsidRPr="003A607A" w:rsidRDefault="00692F53" w:rsidP="00EF123E">
      <w:pPr>
        <w:pStyle w:val="ResNo"/>
        <w:rPr>
          <w:lang w:val="en-US" w:eastAsia="zh-CN"/>
        </w:rPr>
      </w:pPr>
      <w:bookmarkStart w:id="14" w:name="_Toc328053230"/>
      <w:r w:rsidRPr="00510604">
        <w:rPr>
          <w:rFonts w:hint="eastAsia"/>
          <w:lang w:eastAsia="zh-CN"/>
        </w:rPr>
        <w:t>第</w:t>
      </w:r>
      <w:r w:rsidRPr="00501F21">
        <w:rPr>
          <w:rStyle w:val="href"/>
          <w:rFonts w:hint="eastAsia"/>
          <w:lang w:eastAsia="zh-CN"/>
        </w:rPr>
        <w:t>757</w:t>
      </w:r>
      <w:r w:rsidRPr="00510604">
        <w:rPr>
          <w:rFonts w:hint="eastAsia"/>
          <w:lang w:eastAsia="zh-CN"/>
        </w:rPr>
        <w:t>号决议</w:t>
      </w:r>
      <w:r>
        <w:rPr>
          <w:rFonts w:hint="eastAsia"/>
          <w:lang w:val="en-US" w:eastAsia="zh-CN"/>
        </w:rPr>
        <w:t>（</w:t>
      </w:r>
      <w:r>
        <w:rPr>
          <w:lang w:val="en-US" w:eastAsia="zh-CN"/>
        </w:rPr>
        <w:t>WRC-12</w:t>
      </w:r>
      <w:r>
        <w:rPr>
          <w:rFonts w:hint="eastAsia"/>
          <w:lang w:val="en-US" w:eastAsia="zh-CN"/>
        </w:rPr>
        <w:t>）</w:t>
      </w:r>
      <w:bookmarkEnd w:id="14"/>
    </w:p>
    <w:p w:rsidR="007B4F46" w:rsidRPr="001F62ED" w:rsidRDefault="00D9576E" w:rsidP="00EF123E">
      <w:pPr>
        <w:pStyle w:val="Restitle"/>
        <w:rPr>
          <w:lang w:eastAsia="zh-CN"/>
        </w:rPr>
      </w:pPr>
      <w:bookmarkStart w:id="15" w:name="_Toc328053231"/>
      <w:r w:rsidRPr="00D9576E">
        <w:rPr>
          <w:rFonts w:hint="eastAsia"/>
          <w:lang w:eastAsia="zh-CN"/>
        </w:rPr>
        <w:t>纳卫星和皮卫星</w:t>
      </w:r>
      <w:r w:rsidR="00692F53">
        <w:rPr>
          <w:rFonts w:hint="eastAsia"/>
          <w:lang w:eastAsia="zh-CN"/>
        </w:rPr>
        <w:t>的规则问题</w:t>
      </w:r>
      <w:bookmarkEnd w:id="15"/>
    </w:p>
    <w:p w:rsidR="00336FA1" w:rsidRDefault="00692F53" w:rsidP="00EF123E">
      <w:pPr>
        <w:pStyle w:val="Reasons"/>
        <w:rPr>
          <w:lang w:eastAsia="zh-CN"/>
        </w:rPr>
      </w:pPr>
      <w:r>
        <w:rPr>
          <w:b/>
          <w:lang w:eastAsia="zh-CN"/>
        </w:rPr>
        <w:t>理由：</w:t>
      </w:r>
      <w:r>
        <w:rPr>
          <w:lang w:eastAsia="zh-CN"/>
        </w:rPr>
        <w:tab/>
      </w:r>
      <w:r w:rsidR="00E10FCB">
        <w:rPr>
          <w:rFonts w:hint="eastAsia"/>
          <w:lang w:eastAsia="zh-CN"/>
        </w:rPr>
        <w:t>该决议责成无线电通信局主任向</w:t>
      </w:r>
      <w:r w:rsidR="00E10FCB">
        <w:rPr>
          <w:rFonts w:hint="eastAsia"/>
          <w:lang w:eastAsia="zh-CN"/>
        </w:rPr>
        <w:t>WRC-15</w:t>
      </w:r>
      <w:r w:rsidR="00E10FCB">
        <w:rPr>
          <w:rFonts w:hint="eastAsia"/>
          <w:lang w:eastAsia="zh-CN"/>
        </w:rPr>
        <w:t>报告研究结果。所开展研究已经完成。如有必要，皮卫星和纳卫星的资料程序规则问题可通过有关卫星网络问题的</w:t>
      </w:r>
      <w:r w:rsidR="00E10FCB">
        <w:rPr>
          <w:rFonts w:hint="eastAsia"/>
          <w:lang w:eastAsia="zh-CN"/>
        </w:rPr>
        <w:t>WRC</w:t>
      </w:r>
      <w:r w:rsidR="00E10FCB">
        <w:rPr>
          <w:rFonts w:hint="eastAsia"/>
          <w:lang w:eastAsia="zh-CN"/>
        </w:rPr>
        <w:t>常设议项解决。因此不再需要该决议。</w:t>
      </w:r>
    </w:p>
    <w:p w:rsidR="00BC5D53" w:rsidRPr="00CC0291" w:rsidRDefault="00BC5D53" w:rsidP="00EF123E">
      <w:pPr>
        <w:pStyle w:val="Reasons"/>
        <w:rPr>
          <w:lang w:val="en-US"/>
        </w:rPr>
      </w:pPr>
    </w:p>
    <w:p w:rsidR="00BC5D53" w:rsidRDefault="00BC5D53" w:rsidP="00EF123E">
      <w:pPr>
        <w:jc w:val="center"/>
      </w:pPr>
      <w:r>
        <w:t>______________</w:t>
      </w:r>
    </w:p>
    <w:sectPr w:rsidR="00BC5D53">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B2" w:rsidRPr="00DA0469" w:rsidRDefault="007717B2" w:rsidP="007717B2">
    <w:pPr>
      <w:pStyle w:val="Footer"/>
      <w:tabs>
        <w:tab w:val="clear" w:pos="5954"/>
        <w:tab w:val="left" w:pos="6946"/>
      </w:tabs>
      <w:rPr>
        <w:lang w:val="en-US"/>
      </w:rPr>
    </w:pPr>
    <w:r>
      <w:fldChar w:fldCharType="begin"/>
    </w:r>
    <w:r w:rsidRPr="00DA0469">
      <w:rPr>
        <w:lang w:val="en-US"/>
      </w:rPr>
      <w:instrText xml:space="preserve"> FILENAME \p \* MERGEFORMAT </w:instrText>
    </w:r>
    <w:r>
      <w:fldChar w:fldCharType="separate"/>
    </w:r>
    <w:r w:rsidR="00290681">
      <w:rPr>
        <w:lang w:val="en-US"/>
      </w:rPr>
      <w:t>P:\CHI\ITU-R\CONF-R\CMR15\000\007ADD23ADD01ADD08C.docx</w:t>
    </w:r>
    <w:r>
      <w:fldChar w:fldCharType="end"/>
    </w:r>
    <w:r>
      <w:t xml:space="preserve"> </w:t>
    </w:r>
    <w:r>
      <w:rPr>
        <w:rFonts w:hint="eastAsia"/>
        <w:lang w:eastAsia="zh-CN"/>
      </w:rPr>
      <w:t>(</w:t>
    </w:r>
    <w:r>
      <w:rPr>
        <w:lang w:eastAsia="zh-CN"/>
      </w:rPr>
      <w:t>387402</w:t>
    </w:r>
    <w:r>
      <w:rPr>
        <w:rFonts w:hint="eastAsia"/>
        <w:lang w:eastAsia="zh-CN"/>
      </w:rPr>
      <w:t>)</w:t>
    </w:r>
    <w:r w:rsidRPr="00DA0469">
      <w:rPr>
        <w:lang w:val="en-US"/>
      </w:rPr>
      <w:tab/>
    </w:r>
    <w:r>
      <w:fldChar w:fldCharType="begin"/>
    </w:r>
    <w:r>
      <w:instrText xml:space="preserve"> savedate \@ dd.MM.yy </w:instrText>
    </w:r>
    <w:r>
      <w:fldChar w:fldCharType="separate"/>
    </w:r>
    <w:r w:rsidR="00290681">
      <w:t>20.10.15</w:t>
    </w:r>
    <w:r>
      <w:fldChar w:fldCharType="end"/>
    </w:r>
    <w:r w:rsidRPr="00DA0469">
      <w:rPr>
        <w:lang w:val="en-US"/>
      </w:rPr>
      <w:tab/>
    </w:r>
    <w:r>
      <w:fldChar w:fldCharType="begin"/>
    </w:r>
    <w:r>
      <w:instrText xml:space="preserve"> printdate \@ dd.MM.yy </w:instrText>
    </w:r>
    <w:r>
      <w:fldChar w:fldCharType="separate"/>
    </w:r>
    <w:r w:rsidR="00290681">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7717B2">
    <w:pPr>
      <w:pStyle w:val="Footer"/>
      <w:tabs>
        <w:tab w:val="clear" w:pos="5954"/>
        <w:tab w:val="left" w:pos="6946"/>
      </w:tabs>
      <w:rPr>
        <w:lang w:val="en-US"/>
      </w:rPr>
    </w:pPr>
    <w:r>
      <w:fldChar w:fldCharType="begin"/>
    </w:r>
    <w:r w:rsidRPr="00DA0469">
      <w:rPr>
        <w:lang w:val="en-US"/>
      </w:rPr>
      <w:instrText xml:space="preserve"> FILENAME \p \* MERGEFORMAT </w:instrText>
    </w:r>
    <w:r>
      <w:fldChar w:fldCharType="separate"/>
    </w:r>
    <w:r w:rsidR="00290681">
      <w:rPr>
        <w:lang w:val="en-US"/>
      </w:rPr>
      <w:t>P:\CHI\ITU-R\CONF-R\CMR15\000\007ADD23ADD01ADD08C.docx</w:t>
    </w:r>
    <w:r>
      <w:fldChar w:fldCharType="end"/>
    </w:r>
    <w:r w:rsidR="007717B2">
      <w:t xml:space="preserve"> </w:t>
    </w:r>
    <w:r w:rsidR="007717B2">
      <w:rPr>
        <w:rFonts w:hint="eastAsia"/>
        <w:lang w:eastAsia="zh-CN"/>
      </w:rPr>
      <w:t>(</w:t>
    </w:r>
    <w:r w:rsidR="007717B2">
      <w:rPr>
        <w:lang w:eastAsia="zh-CN"/>
      </w:rPr>
      <w:t>387402</w:t>
    </w:r>
    <w:r w:rsidR="007717B2">
      <w:rPr>
        <w:rFonts w:hint="eastAsia"/>
        <w:lang w:eastAsia="zh-CN"/>
      </w:rPr>
      <w:t>)</w:t>
    </w:r>
    <w:r w:rsidRPr="00DA0469">
      <w:rPr>
        <w:lang w:val="en-US"/>
      </w:rPr>
      <w:tab/>
    </w:r>
    <w:r>
      <w:fldChar w:fldCharType="begin"/>
    </w:r>
    <w:r>
      <w:instrText xml:space="preserve"> savedate \@ dd.MM.yy </w:instrText>
    </w:r>
    <w:r>
      <w:fldChar w:fldCharType="separate"/>
    </w:r>
    <w:r w:rsidR="00290681">
      <w:t>20.10.15</w:t>
    </w:r>
    <w:r>
      <w:fldChar w:fldCharType="end"/>
    </w:r>
    <w:r w:rsidRPr="00DA0469">
      <w:rPr>
        <w:lang w:val="en-US"/>
      </w:rPr>
      <w:tab/>
    </w:r>
    <w:r>
      <w:fldChar w:fldCharType="begin"/>
    </w:r>
    <w:r>
      <w:instrText xml:space="preserve"> printdate \@ dd.MM.yy </w:instrText>
    </w:r>
    <w:r>
      <w:fldChar w:fldCharType="separate"/>
    </w:r>
    <w:r w:rsidR="00290681">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0681">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7(Add.23)(Add.1)(Add.8)-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829BF"/>
    <w:rsid w:val="000C09BA"/>
    <w:rsid w:val="000C1F1E"/>
    <w:rsid w:val="000C6AA7"/>
    <w:rsid w:val="000E26F6"/>
    <w:rsid w:val="001238A8"/>
    <w:rsid w:val="00123C07"/>
    <w:rsid w:val="001525A1"/>
    <w:rsid w:val="00166859"/>
    <w:rsid w:val="001765EC"/>
    <w:rsid w:val="001853E8"/>
    <w:rsid w:val="001B6360"/>
    <w:rsid w:val="001F4EA6"/>
    <w:rsid w:val="00214959"/>
    <w:rsid w:val="002260A6"/>
    <w:rsid w:val="00247F4E"/>
    <w:rsid w:val="002742B3"/>
    <w:rsid w:val="00290681"/>
    <w:rsid w:val="002A4C9C"/>
    <w:rsid w:val="002B0578"/>
    <w:rsid w:val="002B509B"/>
    <w:rsid w:val="002E2A59"/>
    <w:rsid w:val="002E4507"/>
    <w:rsid w:val="00305254"/>
    <w:rsid w:val="003169D2"/>
    <w:rsid w:val="0033413A"/>
    <w:rsid w:val="00336FA1"/>
    <w:rsid w:val="003B4BEF"/>
    <w:rsid w:val="003C6B45"/>
    <w:rsid w:val="003F554B"/>
    <w:rsid w:val="0041282E"/>
    <w:rsid w:val="00437869"/>
    <w:rsid w:val="00465A34"/>
    <w:rsid w:val="004C4554"/>
    <w:rsid w:val="004D2DEC"/>
    <w:rsid w:val="004F2BE6"/>
    <w:rsid w:val="004F3EB9"/>
    <w:rsid w:val="00527E8A"/>
    <w:rsid w:val="00542E85"/>
    <w:rsid w:val="00562479"/>
    <w:rsid w:val="00563C21"/>
    <w:rsid w:val="00576849"/>
    <w:rsid w:val="00586F40"/>
    <w:rsid w:val="005A0ACB"/>
    <w:rsid w:val="005E08D2"/>
    <w:rsid w:val="005E7FD8"/>
    <w:rsid w:val="00622560"/>
    <w:rsid w:val="00644391"/>
    <w:rsid w:val="00647712"/>
    <w:rsid w:val="00662E12"/>
    <w:rsid w:val="00691142"/>
    <w:rsid w:val="00692F53"/>
    <w:rsid w:val="006B67CE"/>
    <w:rsid w:val="006C38ED"/>
    <w:rsid w:val="006E614B"/>
    <w:rsid w:val="006E6182"/>
    <w:rsid w:val="006F3C60"/>
    <w:rsid w:val="00736415"/>
    <w:rsid w:val="00770D2A"/>
    <w:rsid w:val="007717B2"/>
    <w:rsid w:val="007864F6"/>
    <w:rsid w:val="007A29D6"/>
    <w:rsid w:val="007B7C4B"/>
    <w:rsid w:val="007F0FC5"/>
    <w:rsid w:val="007F5C36"/>
    <w:rsid w:val="008047DB"/>
    <w:rsid w:val="008129A9"/>
    <w:rsid w:val="008221A4"/>
    <w:rsid w:val="00824BD6"/>
    <w:rsid w:val="0083672D"/>
    <w:rsid w:val="00844734"/>
    <w:rsid w:val="008638B2"/>
    <w:rsid w:val="00865904"/>
    <w:rsid w:val="00865DFB"/>
    <w:rsid w:val="008A7416"/>
    <w:rsid w:val="008B6852"/>
    <w:rsid w:val="008C26FF"/>
    <w:rsid w:val="008D1D14"/>
    <w:rsid w:val="008E1785"/>
    <w:rsid w:val="008E7127"/>
    <w:rsid w:val="008E7C8E"/>
    <w:rsid w:val="00912959"/>
    <w:rsid w:val="009657F9"/>
    <w:rsid w:val="00983536"/>
    <w:rsid w:val="00993838"/>
    <w:rsid w:val="0099525B"/>
    <w:rsid w:val="009B6366"/>
    <w:rsid w:val="009C72B7"/>
    <w:rsid w:val="009F206B"/>
    <w:rsid w:val="00A0052C"/>
    <w:rsid w:val="00A31B14"/>
    <w:rsid w:val="00A323DC"/>
    <w:rsid w:val="00A466E6"/>
    <w:rsid w:val="00A815BE"/>
    <w:rsid w:val="00A97E53"/>
    <w:rsid w:val="00AA5DA1"/>
    <w:rsid w:val="00AC435C"/>
    <w:rsid w:val="00AD6A9A"/>
    <w:rsid w:val="00AE369F"/>
    <w:rsid w:val="00AF3C95"/>
    <w:rsid w:val="00B026CB"/>
    <w:rsid w:val="00B6273E"/>
    <w:rsid w:val="00B711CC"/>
    <w:rsid w:val="00B851D4"/>
    <w:rsid w:val="00B85E8D"/>
    <w:rsid w:val="00B868FC"/>
    <w:rsid w:val="00B95072"/>
    <w:rsid w:val="00BB26CD"/>
    <w:rsid w:val="00BC5D53"/>
    <w:rsid w:val="00C07239"/>
    <w:rsid w:val="00C364B1"/>
    <w:rsid w:val="00C47D87"/>
    <w:rsid w:val="00C627F9"/>
    <w:rsid w:val="00C6584D"/>
    <w:rsid w:val="00C929E0"/>
    <w:rsid w:val="00CB4E5A"/>
    <w:rsid w:val="00CC0291"/>
    <w:rsid w:val="00CC5E5A"/>
    <w:rsid w:val="00CC73D7"/>
    <w:rsid w:val="00CF04A1"/>
    <w:rsid w:val="00CF0AD7"/>
    <w:rsid w:val="00CF0BE1"/>
    <w:rsid w:val="00D52A14"/>
    <w:rsid w:val="00D6206A"/>
    <w:rsid w:val="00D74599"/>
    <w:rsid w:val="00D9009D"/>
    <w:rsid w:val="00D9576E"/>
    <w:rsid w:val="00DA0469"/>
    <w:rsid w:val="00DD13B7"/>
    <w:rsid w:val="00DF3B0C"/>
    <w:rsid w:val="00E10FCB"/>
    <w:rsid w:val="00E14984"/>
    <w:rsid w:val="00E22A25"/>
    <w:rsid w:val="00E560F1"/>
    <w:rsid w:val="00E92319"/>
    <w:rsid w:val="00EF123E"/>
    <w:rsid w:val="00F837F4"/>
    <w:rsid w:val="00FC59C4"/>
    <w:rsid w:val="00FC73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D021EC-66A8-49FF-B31C-8E401810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R15-WRC15-C-0007!A23-A1-A8!MSW-C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AC0737A3-F303-4461-AC45-95A3CBBD6DA2}">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50B52878-4840-435C-B35F-46722A7B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2762</TotalTime>
  <Pages>3</Pages>
  <Words>748</Words>
  <Characters>922</Characters>
  <Application>Microsoft Office Word</Application>
  <DocSecurity>0</DocSecurity>
  <Lines>41</Lines>
  <Paragraphs>37</Paragraphs>
  <ScaleCrop>false</ScaleCrop>
  <HeadingPairs>
    <vt:vector size="2" baseType="variant">
      <vt:variant>
        <vt:lpstr>Title</vt:lpstr>
      </vt:variant>
      <vt:variant>
        <vt:i4>1</vt:i4>
      </vt:variant>
    </vt:vector>
  </HeadingPairs>
  <TitlesOfParts>
    <vt:vector size="1" baseType="lpstr">
      <vt:lpstr>R15-WRC15-C-0007!A23-A1-A8!MSW-C</vt:lpstr>
    </vt:vector>
  </TitlesOfParts>
  <Manager>General Secretariat - Pool</Manager>
  <Company>International Telecommunication Union (ITU)</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R15-WRC15-C-0007!A23-A1-A8!MSW-C</dc:title>
  <dc:subject>World Radiocommunication Conference - 2015</dc:subject>
  <dc:creator>Documents Proposals Manager (DPM)</dc:creator>
  <cp:keywords>DPM_v5.2015.9.16_prod</cp:keywords>
  <dc:description/>
  <cp:lastModifiedBy>Zheng, Bingyue</cp:lastModifiedBy>
  <cp:revision>51</cp:revision>
  <cp:lastPrinted>2015-10-20T18:49:00Z</cp:lastPrinted>
  <dcterms:created xsi:type="dcterms:W3CDTF">2015-10-05T14:11:00Z</dcterms:created>
  <dcterms:modified xsi:type="dcterms:W3CDTF">2015-10-20T18:49:00Z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