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7"/>
        <w:gridCol w:w="14"/>
        <w:gridCol w:w="430"/>
        <w:gridCol w:w="3120"/>
      </w:tblGrid>
      <w:tr w:rsidR="00BB1D82" w:rsidRPr="002A6F8F" w:rsidTr="0050008E">
        <w:trPr>
          <w:cantSplit/>
        </w:trPr>
        <w:tc>
          <w:tcPr>
            <w:tcW w:w="6911" w:type="dxa"/>
            <w:gridSpan w:val="3"/>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126605F9" wp14:editId="6EFFEEE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gridSpan w:val="3"/>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gridSpan w:val="3"/>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C64932">
        <w:trPr>
          <w:cantSplit/>
        </w:trPr>
        <w:tc>
          <w:tcPr>
            <w:tcW w:w="6467"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564" w:type="dxa"/>
            <w:gridSpan w:val="3"/>
            <w:shd w:val="clear" w:color="auto" w:fill="auto"/>
          </w:tcPr>
          <w:p w:rsidR="00BB1D82" w:rsidRPr="00A94D63" w:rsidRDefault="00666A9A" w:rsidP="00BA5BD0">
            <w:pPr>
              <w:spacing w:before="0"/>
              <w:rPr>
                <w:rFonts w:ascii="Verdana" w:hAnsi="Verdana"/>
                <w:sz w:val="20"/>
                <w:lang w:val="fr-CH"/>
              </w:rPr>
            </w:pPr>
            <w:r>
              <w:rPr>
                <w:rFonts w:ascii="Verdana" w:eastAsia="SimSun" w:hAnsi="Verdana" w:cs="Traditional Arabic"/>
                <w:b/>
                <w:sz w:val="20"/>
                <w:lang w:val="fr-CH"/>
              </w:rPr>
              <w:t>Révision 1 d</w:t>
            </w:r>
            <w:r w:rsidR="006D4724" w:rsidRPr="00A94D63">
              <w:rPr>
                <w:rFonts w:ascii="Verdana" w:eastAsia="SimSun" w:hAnsi="Verdana" w:cs="Traditional Arabic"/>
                <w:b/>
                <w:sz w:val="20"/>
                <w:lang w:val="fr-CH"/>
              </w:rPr>
              <w:t>u</w:t>
            </w:r>
            <w:r w:rsidR="006D4724" w:rsidRPr="00A94D63">
              <w:rPr>
                <w:rFonts w:ascii="Verdana" w:eastAsia="SimSun" w:hAnsi="Verdana" w:cs="Traditional Arabic"/>
                <w:b/>
                <w:sz w:val="20"/>
                <w:lang w:val="fr-CH"/>
              </w:rPr>
              <w:br/>
              <w:t>Document 7(Add.1)(Add.7)</w:t>
            </w:r>
            <w:r w:rsidR="00BB1D82" w:rsidRPr="00A94D63">
              <w:rPr>
                <w:rFonts w:ascii="Verdana" w:hAnsi="Verdana"/>
                <w:b/>
                <w:sz w:val="20"/>
                <w:lang w:val="fr-CH"/>
              </w:rPr>
              <w:t>-</w:t>
            </w:r>
            <w:r w:rsidR="006D4724" w:rsidRPr="00A94D63">
              <w:rPr>
                <w:rFonts w:ascii="Verdana" w:hAnsi="Verdana"/>
                <w:b/>
                <w:sz w:val="20"/>
                <w:lang w:val="fr-CH"/>
              </w:rPr>
              <w:t>F</w:t>
            </w:r>
          </w:p>
        </w:tc>
      </w:tr>
      <w:bookmarkEnd w:id="1"/>
      <w:tr w:rsidR="00690C7B" w:rsidRPr="002A6F8F" w:rsidTr="00C64932">
        <w:trPr>
          <w:cantSplit/>
        </w:trPr>
        <w:tc>
          <w:tcPr>
            <w:tcW w:w="6481" w:type="dxa"/>
            <w:gridSpan w:val="2"/>
            <w:shd w:val="clear" w:color="auto" w:fill="auto"/>
          </w:tcPr>
          <w:p w:rsidR="00690C7B" w:rsidRPr="00A94D63" w:rsidRDefault="00690C7B" w:rsidP="00BA5BD0">
            <w:pPr>
              <w:spacing w:before="0"/>
              <w:rPr>
                <w:rFonts w:ascii="Verdana" w:hAnsi="Verdana"/>
                <w:b/>
                <w:sz w:val="20"/>
                <w:lang w:val="fr-CH"/>
              </w:rPr>
            </w:pPr>
          </w:p>
        </w:tc>
        <w:tc>
          <w:tcPr>
            <w:tcW w:w="3550" w:type="dxa"/>
            <w:gridSpan w:val="2"/>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4 novembre 2015</w:t>
            </w:r>
          </w:p>
        </w:tc>
      </w:tr>
      <w:tr w:rsidR="00690C7B" w:rsidRPr="002A6F8F" w:rsidTr="00C64932">
        <w:trPr>
          <w:cantSplit/>
        </w:trPr>
        <w:tc>
          <w:tcPr>
            <w:tcW w:w="6481" w:type="dxa"/>
            <w:gridSpan w:val="2"/>
          </w:tcPr>
          <w:p w:rsidR="00690C7B" w:rsidRPr="002A6F8F" w:rsidRDefault="00690C7B" w:rsidP="00BA5BD0">
            <w:pPr>
              <w:spacing w:before="0" w:after="48"/>
              <w:rPr>
                <w:rFonts w:ascii="Verdana" w:hAnsi="Verdana"/>
                <w:b/>
                <w:smallCaps/>
                <w:sz w:val="20"/>
                <w:lang w:val="en-US"/>
              </w:rPr>
            </w:pPr>
          </w:p>
        </w:tc>
        <w:tc>
          <w:tcPr>
            <w:tcW w:w="3550" w:type="dxa"/>
            <w:gridSpan w:val="2"/>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4"/>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4"/>
          </w:tcPr>
          <w:p w:rsidR="00690C7B" w:rsidRPr="00A94D63" w:rsidRDefault="00690C7B" w:rsidP="00690C7B">
            <w:pPr>
              <w:pStyle w:val="Source"/>
              <w:rPr>
                <w:lang w:val="fr-CH"/>
              </w:rPr>
            </w:pPr>
            <w:bookmarkStart w:id="2" w:name="dsource" w:colFirst="0" w:colLast="0"/>
            <w:r w:rsidRPr="00A94D63">
              <w:rPr>
                <w:lang w:val="fr-CH"/>
              </w:rPr>
              <w:t>Etats Membres de la Commission interaméricaine des télécommunications (CITEL)</w:t>
            </w:r>
          </w:p>
        </w:tc>
      </w:tr>
      <w:tr w:rsidR="00690C7B" w:rsidRPr="002A6F8F" w:rsidTr="0050008E">
        <w:trPr>
          <w:cantSplit/>
        </w:trPr>
        <w:tc>
          <w:tcPr>
            <w:tcW w:w="10031" w:type="dxa"/>
            <w:gridSpan w:val="4"/>
          </w:tcPr>
          <w:p w:rsidR="00690C7B" w:rsidRPr="00A94D63" w:rsidRDefault="00A94D63" w:rsidP="00690C7B">
            <w:pPr>
              <w:pStyle w:val="Title1"/>
              <w:rPr>
                <w:lang w:val="fr-CH"/>
              </w:rPr>
            </w:pPr>
            <w:bookmarkStart w:id="3" w:name="dtitle1" w:colFirst="0" w:colLast="0"/>
            <w:bookmarkEnd w:id="2"/>
            <w:r w:rsidRPr="00A94D63">
              <w:rPr>
                <w:lang w:val="fr-CH"/>
              </w:rPr>
              <w:t>propositions pour les travaux de la conférence</w:t>
            </w:r>
          </w:p>
        </w:tc>
      </w:tr>
      <w:tr w:rsidR="00690C7B" w:rsidRPr="002A6F8F" w:rsidTr="0050008E">
        <w:trPr>
          <w:cantSplit/>
        </w:trPr>
        <w:tc>
          <w:tcPr>
            <w:tcW w:w="10031" w:type="dxa"/>
            <w:gridSpan w:val="4"/>
          </w:tcPr>
          <w:p w:rsidR="00690C7B" w:rsidRPr="00A94D6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4"/>
          </w:tcPr>
          <w:p w:rsidR="00690C7B" w:rsidRDefault="00690C7B" w:rsidP="00690C7B">
            <w:pPr>
              <w:pStyle w:val="Agendaitem"/>
            </w:pPr>
            <w:bookmarkStart w:id="5" w:name="dtitle3" w:colFirst="0" w:colLast="0"/>
            <w:bookmarkEnd w:id="4"/>
            <w:r w:rsidRPr="006D4724">
              <w:t>Point 1.1 de l'ordre du jour</w:t>
            </w:r>
          </w:p>
        </w:tc>
      </w:tr>
    </w:tbl>
    <w:bookmarkEnd w:id="5"/>
    <w:p w:rsidR="001C0E40" w:rsidRDefault="00A94D63" w:rsidP="00DD210A">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w:t>
      </w:r>
      <w:r w:rsidR="00DD210A">
        <w:rPr>
          <w:b/>
          <w:bCs/>
          <w:lang w:val="fr-CA"/>
        </w:rPr>
        <w:t> </w:t>
      </w:r>
      <w:r w:rsidRPr="00645CBD">
        <w:rPr>
          <w:b/>
          <w:bCs/>
          <w:lang w:val="fr-CA"/>
        </w:rPr>
        <w:t>(CMR</w:t>
      </w:r>
      <w:r w:rsidRPr="00645CBD">
        <w:rPr>
          <w:b/>
          <w:bCs/>
          <w:lang w:val="fr-CA"/>
        </w:rPr>
        <w:noBreakHyphen/>
        <w:t>12)</w:t>
      </w:r>
      <w:r w:rsidRPr="0000257F">
        <w:rPr>
          <w:lang w:val="fr-CA"/>
        </w:rPr>
        <w:t>;</w:t>
      </w:r>
    </w:p>
    <w:p w:rsidR="00DD210A" w:rsidRPr="00F7158A" w:rsidRDefault="00DD210A" w:rsidP="00DD210A">
      <w:pPr>
        <w:overflowPunct/>
        <w:autoSpaceDE/>
        <w:autoSpaceDN/>
        <w:adjustRightInd/>
        <w:spacing w:before="0"/>
        <w:textAlignment w:val="auto"/>
        <w:rPr>
          <w:lang w:val="fr-CH"/>
        </w:rPr>
      </w:pPr>
    </w:p>
    <w:p w:rsidR="00E94FA2" w:rsidRPr="00722411" w:rsidRDefault="00F4242D" w:rsidP="00E94FA2">
      <w:pPr>
        <w:pStyle w:val="Headingb"/>
        <w:rPr>
          <w:szCs w:val="24"/>
          <w:lang w:val="fr-CH"/>
        </w:rPr>
      </w:pPr>
      <w:r>
        <w:rPr>
          <w:szCs w:val="24"/>
          <w:lang w:val="fr-CH"/>
        </w:rPr>
        <w:t>Considérations générales</w:t>
      </w:r>
    </w:p>
    <w:p w:rsidR="00E94FA2" w:rsidRPr="00151725" w:rsidRDefault="00E94FA2" w:rsidP="00F25C11">
      <w:pPr>
        <w:jc w:val="both"/>
        <w:rPr>
          <w:szCs w:val="24"/>
          <w:lang w:val="fr-CH"/>
        </w:rPr>
      </w:pPr>
      <w:r>
        <w:rPr>
          <w:szCs w:val="24"/>
          <w:lang w:val="fr-CH"/>
        </w:rPr>
        <w:t>Dans le cadre du point 1.1 de l’ordre du jour de la CMR-15, l</w:t>
      </w:r>
      <w:r w:rsidR="00F4242D">
        <w:rPr>
          <w:szCs w:val="24"/>
          <w:lang w:val="fr-CH"/>
        </w:rPr>
        <w:t>es a</w:t>
      </w:r>
      <w:r>
        <w:rPr>
          <w:szCs w:val="24"/>
          <w:lang w:val="fr-CH"/>
        </w:rPr>
        <w:t>dministration</w:t>
      </w:r>
      <w:r w:rsidR="00F4242D">
        <w:rPr>
          <w:szCs w:val="24"/>
          <w:lang w:val="fr-CH"/>
        </w:rPr>
        <w:t>s</w:t>
      </w:r>
      <w:r>
        <w:rPr>
          <w:szCs w:val="24"/>
          <w:lang w:val="fr-CH"/>
        </w:rPr>
        <w:t xml:space="preserve"> </w:t>
      </w:r>
      <w:r w:rsidR="00F4242D">
        <w:rPr>
          <w:szCs w:val="24"/>
          <w:lang w:val="fr-CH"/>
        </w:rPr>
        <w:t xml:space="preserve">des pays membres de la CITEL ont </w:t>
      </w:r>
      <w:r>
        <w:rPr>
          <w:szCs w:val="24"/>
          <w:lang w:val="fr-CH"/>
        </w:rPr>
        <w:t xml:space="preserve">examiné les </w:t>
      </w:r>
      <w:r w:rsidR="00F4242D">
        <w:rPr>
          <w:szCs w:val="24"/>
          <w:lang w:val="fr-CH"/>
        </w:rPr>
        <w:t xml:space="preserve">bandes envisageables. En ce qui concerne la gamme 3 400-4 200 MHz, elles ont </w:t>
      </w:r>
      <w:r>
        <w:rPr>
          <w:szCs w:val="24"/>
          <w:lang w:val="fr-CH"/>
        </w:rPr>
        <w:t xml:space="preserve">effectué un examen approfondi des options proposées dans le Rapport de la RPC, afin de chercher une solution qui pourrait être mise en œuvre dans la Région 2. </w:t>
      </w:r>
      <w:r w:rsidR="00F4242D">
        <w:rPr>
          <w:szCs w:val="24"/>
          <w:lang w:val="fr-CH"/>
        </w:rPr>
        <w:t>Il est donc proposé</w:t>
      </w:r>
      <w:r w:rsidRPr="004104BA">
        <w:rPr>
          <w:szCs w:val="24"/>
          <w:lang w:val="fr-CH"/>
        </w:rPr>
        <w:t xml:space="preserve"> d’appliquer dans la Région 2 une solution similaire à celle choisie par la CMR-07</w:t>
      </w:r>
      <w:r>
        <w:rPr>
          <w:szCs w:val="24"/>
          <w:lang w:val="fr-CH"/>
        </w:rPr>
        <w:t>,</w:t>
      </w:r>
      <w:r w:rsidRPr="004104BA">
        <w:rPr>
          <w:szCs w:val="24"/>
          <w:lang w:val="fr-CH"/>
        </w:rPr>
        <w:t xml:space="preserve"> actuellement en vigue</w:t>
      </w:r>
      <w:r>
        <w:rPr>
          <w:szCs w:val="24"/>
          <w:lang w:val="fr-CH"/>
        </w:rPr>
        <w:t>u</w:t>
      </w:r>
      <w:r w:rsidRPr="004104BA">
        <w:rPr>
          <w:szCs w:val="24"/>
          <w:lang w:val="fr-CH"/>
        </w:rPr>
        <w:t>r</w:t>
      </w:r>
      <w:r>
        <w:rPr>
          <w:szCs w:val="24"/>
          <w:lang w:val="fr-CH"/>
        </w:rPr>
        <w:t>,</w:t>
      </w:r>
      <w:r w:rsidRPr="004104BA">
        <w:rPr>
          <w:szCs w:val="24"/>
          <w:lang w:val="fr-CH"/>
        </w:rPr>
        <w:t xml:space="preserve"> </w:t>
      </w:r>
      <w:r>
        <w:rPr>
          <w:szCs w:val="24"/>
          <w:lang w:val="fr-CH"/>
        </w:rPr>
        <w:t>pour les Régions 1 et 3</w:t>
      </w:r>
      <w:r w:rsidRPr="004104BA">
        <w:rPr>
          <w:szCs w:val="24"/>
          <w:lang w:val="fr-CH"/>
        </w:rPr>
        <w:t>.</w:t>
      </w:r>
    </w:p>
    <w:p w:rsidR="00E94FA2" w:rsidRPr="004104BA" w:rsidRDefault="00E94FA2" w:rsidP="00F25C11">
      <w:pPr>
        <w:jc w:val="both"/>
        <w:rPr>
          <w:szCs w:val="24"/>
          <w:lang w:val="fr-CH"/>
        </w:rPr>
      </w:pPr>
      <w:r w:rsidRPr="004104BA">
        <w:rPr>
          <w:szCs w:val="24"/>
          <w:lang w:val="fr-CH"/>
        </w:rPr>
        <w:t>La</w:t>
      </w:r>
      <w:r>
        <w:rPr>
          <w:szCs w:val="24"/>
          <w:lang w:val="fr-CH"/>
        </w:rPr>
        <w:t xml:space="preserve"> présente proposition</w:t>
      </w:r>
      <w:r w:rsidRPr="004104BA">
        <w:rPr>
          <w:szCs w:val="24"/>
          <w:lang w:val="fr-CH"/>
        </w:rPr>
        <w:t xml:space="preserve"> contient les éléments suivants: </w:t>
      </w:r>
    </w:p>
    <w:p w:rsidR="00E94FA2" w:rsidRPr="00C309BC" w:rsidRDefault="00E94FA2" w:rsidP="00F25C11">
      <w:pPr>
        <w:pStyle w:val="enumlev1"/>
        <w:rPr>
          <w:lang w:val="fr-CH"/>
        </w:rPr>
      </w:pPr>
      <w:r w:rsidRPr="00C309BC">
        <w:rPr>
          <w:lang w:val="fr-CH"/>
        </w:rPr>
        <w:t>•</w:t>
      </w:r>
      <w:r w:rsidRPr="00C309BC">
        <w:rPr>
          <w:lang w:val="fr-CH"/>
        </w:rPr>
        <w:tab/>
      </w:r>
      <w:r w:rsidR="00F4242D">
        <w:rPr>
          <w:lang w:val="fr-CH"/>
        </w:rPr>
        <w:t>L'</w:t>
      </w:r>
      <w:r w:rsidRPr="00C309BC">
        <w:rPr>
          <w:lang w:val="fr-CH"/>
        </w:rPr>
        <w:t xml:space="preserve">attribution </w:t>
      </w:r>
      <w:r w:rsidR="00F4242D">
        <w:rPr>
          <w:lang w:val="fr-CH"/>
        </w:rPr>
        <w:t xml:space="preserve">de </w:t>
      </w:r>
      <w:r w:rsidR="00F4242D" w:rsidRPr="00C309BC">
        <w:rPr>
          <w:lang w:val="fr-CH"/>
        </w:rPr>
        <w:t xml:space="preserve">la bande 3 400-3 500 MHz </w:t>
      </w:r>
      <w:r w:rsidRPr="00C309BC">
        <w:rPr>
          <w:lang w:val="fr-CH"/>
        </w:rPr>
        <w:t>au service mobile</w:t>
      </w:r>
      <w:r w:rsidR="00F4242D">
        <w:rPr>
          <w:lang w:val="fr-CH"/>
        </w:rPr>
        <w:t xml:space="preserve"> </w:t>
      </w:r>
      <w:r w:rsidR="00F4242D" w:rsidRPr="00C309BC">
        <w:rPr>
          <w:lang w:val="fr-CH"/>
        </w:rPr>
        <w:t>à titre primaire</w:t>
      </w:r>
    </w:p>
    <w:p w:rsidR="00E94FA2" w:rsidRPr="004104BA" w:rsidRDefault="00E94FA2" w:rsidP="00200D74">
      <w:pPr>
        <w:pStyle w:val="enumlev1"/>
        <w:rPr>
          <w:szCs w:val="24"/>
          <w:lang w:val="fr-CH"/>
        </w:rPr>
      </w:pPr>
      <w:r w:rsidRPr="004104BA">
        <w:rPr>
          <w:lang w:val="fr-CH"/>
        </w:rPr>
        <w:t>•</w:t>
      </w:r>
      <w:r w:rsidRPr="004104BA">
        <w:rPr>
          <w:lang w:val="fr-CH"/>
        </w:rPr>
        <w:tab/>
      </w:r>
      <w:r w:rsidRPr="007C4E56">
        <w:rPr>
          <w:szCs w:val="24"/>
          <w:lang w:val="fr-CH"/>
        </w:rPr>
        <w:t>L</w:t>
      </w:r>
      <w:r w:rsidR="00200D74">
        <w:rPr>
          <w:szCs w:val="24"/>
          <w:lang w:val="fr-CH"/>
        </w:rPr>
        <w:t>'</w:t>
      </w:r>
      <w:r w:rsidRPr="007C4E56">
        <w:rPr>
          <w:szCs w:val="24"/>
          <w:lang w:val="fr-CH"/>
        </w:rPr>
        <w:t>identification de la bande 3 400-3 600 MHz pour les IMT</w:t>
      </w:r>
    </w:p>
    <w:p w:rsidR="00E94FA2" w:rsidRPr="00C309BC" w:rsidRDefault="00E94FA2" w:rsidP="00F25C11">
      <w:pPr>
        <w:pStyle w:val="enumlev1"/>
        <w:rPr>
          <w:lang w:val="fr-CH"/>
        </w:rPr>
      </w:pPr>
      <w:r w:rsidRPr="00C309BC">
        <w:rPr>
          <w:szCs w:val="24"/>
          <w:lang w:val="fr-CH"/>
        </w:rPr>
        <w:t>•</w:t>
      </w:r>
      <w:r w:rsidRPr="00C309BC">
        <w:rPr>
          <w:szCs w:val="24"/>
          <w:lang w:val="fr-CH"/>
        </w:rPr>
        <w:tab/>
        <w:t>D</w:t>
      </w:r>
      <w:r>
        <w:rPr>
          <w:szCs w:val="24"/>
          <w:lang w:val="fr-CH"/>
        </w:rPr>
        <w:t>es dispositions techniques et ré</w:t>
      </w:r>
      <w:r w:rsidRPr="00C309BC">
        <w:rPr>
          <w:szCs w:val="24"/>
          <w:lang w:val="fr-CH"/>
        </w:rPr>
        <w:t xml:space="preserve">glementaires </w:t>
      </w:r>
      <w:r>
        <w:rPr>
          <w:szCs w:val="24"/>
          <w:lang w:val="fr-CH"/>
        </w:rPr>
        <w:t>visant à</w:t>
      </w:r>
      <w:r w:rsidRPr="00C309BC">
        <w:rPr>
          <w:szCs w:val="24"/>
          <w:lang w:val="fr-CH"/>
        </w:rPr>
        <w:t xml:space="preserve"> assurer la coexistence, dans la bande 3 400-3 600 MHz</w:t>
      </w:r>
      <w:r>
        <w:rPr>
          <w:szCs w:val="24"/>
          <w:lang w:val="fr-CH"/>
        </w:rPr>
        <w:t>, avec les systèmes du SFS exploités dans les pays voisins</w:t>
      </w:r>
      <w:r w:rsidRPr="00C309BC">
        <w:rPr>
          <w:szCs w:val="24"/>
          <w:lang w:val="fr-CH"/>
        </w:rPr>
        <w:t>:</w:t>
      </w:r>
    </w:p>
    <w:p w:rsidR="00E94FA2" w:rsidRPr="00556AAB" w:rsidRDefault="00E94FA2" w:rsidP="00F25C11">
      <w:pPr>
        <w:pStyle w:val="enumlev2"/>
      </w:pPr>
      <w:r>
        <w:t>–</w:t>
      </w:r>
      <w:r>
        <w:tab/>
      </w:r>
      <w:r w:rsidRPr="00556AAB">
        <w:t xml:space="preserve">Application </w:t>
      </w:r>
      <w:r>
        <w:t xml:space="preserve">du </w:t>
      </w:r>
      <w:r w:rsidR="00F25C11">
        <w:t>numéro</w:t>
      </w:r>
      <w:r w:rsidRPr="00556AAB">
        <w:t xml:space="preserve"> 9.21</w:t>
      </w:r>
    </w:p>
    <w:p w:rsidR="00E94FA2" w:rsidRPr="00556AAB" w:rsidRDefault="00E94FA2" w:rsidP="00F25C11">
      <w:pPr>
        <w:pStyle w:val="enumlev2"/>
      </w:pPr>
      <w:r>
        <w:t>–</w:t>
      </w:r>
      <w:r>
        <w:tab/>
      </w:r>
      <w:r w:rsidRPr="00556AAB">
        <w:t xml:space="preserve">Application </w:t>
      </w:r>
      <w:r>
        <w:t xml:space="preserve">des </w:t>
      </w:r>
      <w:r w:rsidR="00F25C11">
        <w:t>numéro</w:t>
      </w:r>
      <w:r>
        <w:t>s</w:t>
      </w:r>
      <w:r w:rsidRPr="00556AAB">
        <w:t xml:space="preserve"> 9.17 </w:t>
      </w:r>
      <w:r>
        <w:t>et</w:t>
      </w:r>
      <w:r w:rsidRPr="00556AAB">
        <w:t xml:space="preserve"> 9.18</w:t>
      </w:r>
    </w:p>
    <w:p w:rsidR="00E94FA2" w:rsidRPr="00C309BC" w:rsidRDefault="00E94FA2" w:rsidP="006A7D0C">
      <w:pPr>
        <w:pStyle w:val="enumlev2"/>
        <w:rPr>
          <w:lang w:val="fr-CH"/>
        </w:rPr>
      </w:pPr>
      <w:r w:rsidRPr="00C32682">
        <w:rPr>
          <w:lang w:val="fr-CH"/>
        </w:rPr>
        <w:t>–</w:t>
      </w:r>
      <w:r>
        <w:rPr>
          <w:lang w:val="fr-CH"/>
        </w:rPr>
        <w:tab/>
      </w:r>
      <w:r w:rsidRPr="00C309BC">
        <w:rPr>
          <w:lang w:val="fr-CH"/>
        </w:rPr>
        <w:t>Limite de puissance surfacique aux frontières afin de protéger les stations du</w:t>
      </w:r>
      <w:r w:rsidR="006A7D0C">
        <w:rPr>
          <w:lang w:val="fr-CH"/>
        </w:rPr>
        <w:t> </w:t>
      </w:r>
      <w:r w:rsidRPr="00C309BC">
        <w:rPr>
          <w:lang w:val="fr-CH"/>
        </w:rPr>
        <w:t>S</w:t>
      </w:r>
      <w:r>
        <w:rPr>
          <w:lang w:val="fr-CH"/>
        </w:rPr>
        <w:t>FS</w:t>
      </w:r>
    </w:p>
    <w:p w:rsidR="00E94FA2" w:rsidRPr="00C309BC" w:rsidRDefault="00E94FA2" w:rsidP="00F25C11">
      <w:pPr>
        <w:pStyle w:val="enumlev2"/>
        <w:rPr>
          <w:lang w:val="fr-CH"/>
        </w:rPr>
      </w:pPr>
      <w:r w:rsidRPr="00C32682">
        <w:rPr>
          <w:lang w:val="fr-CH"/>
        </w:rPr>
        <w:t>–</w:t>
      </w:r>
      <w:r>
        <w:rPr>
          <w:lang w:val="fr-CH"/>
        </w:rPr>
        <w:tab/>
      </w:r>
      <w:r w:rsidRPr="00C309BC">
        <w:rPr>
          <w:lang w:val="fr-CH"/>
        </w:rPr>
        <w:t xml:space="preserve">Limites de puissance surfacique dans le Tableau 21-4 </w:t>
      </w:r>
      <w:r w:rsidR="00F25C11" w:rsidRPr="00C309BC">
        <w:rPr>
          <w:lang w:val="fr-CH"/>
        </w:rPr>
        <w:t xml:space="preserve">pour les </w:t>
      </w:r>
      <w:r w:rsidR="00F25C11">
        <w:rPr>
          <w:lang w:val="fr-CH"/>
        </w:rPr>
        <w:t>systè</w:t>
      </w:r>
      <w:r w:rsidR="00F25C11" w:rsidRPr="00C309BC">
        <w:rPr>
          <w:lang w:val="fr-CH"/>
        </w:rPr>
        <w:t>m</w:t>
      </w:r>
      <w:r w:rsidR="00F25C11">
        <w:rPr>
          <w:lang w:val="fr-CH"/>
        </w:rPr>
        <w:t>es</w:t>
      </w:r>
      <w:r w:rsidR="00F25C11" w:rsidRPr="00C309BC">
        <w:rPr>
          <w:lang w:val="fr-CH"/>
        </w:rPr>
        <w:t xml:space="preserve"> du SFS</w:t>
      </w:r>
    </w:p>
    <w:p w:rsidR="00E94FA2" w:rsidRDefault="00E94FA2" w:rsidP="00F25C11">
      <w:pPr>
        <w:pStyle w:val="enumlev1"/>
        <w:rPr>
          <w:lang w:val="fr-CH"/>
        </w:rPr>
      </w:pPr>
      <w:r w:rsidRPr="00C309BC">
        <w:rPr>
          <w:lang w:val="fr-CH"/>
        </w:rPr>
        <w:lastRenderedPageBreak/>
        <w:t>•</w:t>
      </w:r>
      <w:r w:rsidRPr="00C309BC">
        <w:rPr>
          <w:lang w:val="fr-CH"/>
        </w:rPr>
        <w:tab/>
      </w:r>
      <w:r>
        <w:rPr>
          <w:lang w:val="fr-CH"/>
        </w:rPr>
        <w:t xml:space="preserve">Nouvelle </w:t>
      </w:r>
      <w:r w:rsidRPr="00C309BC">
        <w:rPr>
          <w:lang w:val="fr-CH"/>
        </w:rPr>
        <w:t xml:space="preserve">Résolution: la Résolution </w:t>
      </w:r>
      <w:r w:rsidRPr="00C309BC">
        <w:rPr>
          <w:rStyle w:val="href"/>
          <w:szCs w:val="24"/>
          <w:lang w:val="fr-CH"/>
        </w:rPr>
        <w:t>[IMT 3.4-3.6 GHz]</w:t>
      </w:r>
      <w:r w:rsidRPr="00C309BC">
        <w:rPr>
          <w:rFonts w:eastAsia="???"/>
          <w:lang w:val="fr-CH"/>
        </w:rPr>
        <w:t xml:space="preserve"> (CMR</w:t>
      </w:r>
      <w:r w:rsidRPr="00C309BC">
        <w:rPr>
          <w:rFonts w:eastAsia="???"/>
          <w:lang w:val="fr-CH"/>
        </w:rPr>
        <w:noBreakHyphen/>
        <w:t>15)</w:t>
      </w:r>
      <w:r w:rsidRPr="00C309BC">
        <w:rPr>
          <w:lang w:val="fr-CH"/>
        </w:rPr>
        <w:t xml:space="preserve"> pour des </w:t>
      </w:r>
      <w:r>
        <w:rPr>
          <w:lang w:val="fr-CH"/>
        </w:rPr>
        <w:t>é</w:t>
      </w:r>
      <w:r w:rsidRPr="00151725">
        <w:rPr>
          <w:lang w:val="fr-CH"/>
        </w:rPr>
        <w:t>tudes supplémentaires sur la coexistence de</w:t>
      </w:r>
      <w:r w:rsidR="00F25C11">
        <w:rPr>
          <w:lang w:val="fr-CH"/>
        </w:rPr>
        <w:t>s</w:t>
      </w:r>
      <w:r w:rsidRPr="00151725">
        <w:rPr>
          <w:lang w:val="fr-CH"/>
        </w:rPr>
        <w:t xml:space="preserve"> systèmes du SFS et de</w:t>
      </w:r>
      <w:r w:rsidR="00F25C11">
        <w:rPr>
          <w:lang w:val="fr-CH"/>
        </w:rPr>
        <w:t>s</w:t>
      </w:r>
      <w:r w:rsidRPr="00151725">
        <w:rPr>
          <w:lang w:val="fr-CH"/>
        </w:rPr>
        <w:t xml:space="preserve"> systèmes IMT</w:t>
      </w:r>
      <w:r w:rsidR="00F7158A">
        <w:rPr>
          <w:lang w:val="fr-CH"/>
        </w:rPr>
        <w:t xml:space="preserve"> exploités dans la bande 3 400-</w:t>
      </w:r>
      <w:r w:rsidRPr="00151725">
        <w:rPr>
          <w:lang w:val="fr-CH"/>
        </w:rPr>
        <w:t>3 600 MHz</w:t>
      </w:r>
      <w:r>
        <w:rPr>
          <w:lang w:val="fr-CH"/>
        </w:rPr>
        <w:t>, conformément à la Résolution 233 (CMR-12).</w:t>
      </w:r>
    </w:p>
    <w:p w:rsidR="00E94FA2" w:rsidRPr="00151725" w:rsidRDefault="00E94FA2" w:rsidP="00F25C11">
      <w:pPr>
        <w:rPr>
          <w:lang w:val="fr-CH"/>
        </w:rPr>
      </w:pPr>
      <w:r>
        <w:rPr>
          <w:lang w:val="fr-CH"/>
        </w:rPr>
        <w:t xml:space="preserve">Tous ces </w:t>
      </w:r>
      <w:r w:rsidR="00F25C11">
        <w:rPr>
          <w:lang w:val="fr-CH"/>
        </w:rPr>
        <w:t>éléments sont présents dans le R</w:t>
      </w:r>
      <w:r>
        <w:rPr>
          <w:lang w:val="fr-CH"/>
        </w:rPr>
        <w:t xml:space="preserve">apport de la RPC </w:t>
      </w:r>
      <w:r w:rsidR="00F25C11">
        <w:rPr>
          <w:lang w:val="fr-CH"/>
        </w:rPr>
        <w:t xml:space="preserve">à la CMR-15 </w:t>
      </w:r>
      <w:r>
        <w:rPr>
          <w:lang w:val="fr-CH"/>
        </w:rPr>
        <w:t xml:space="preserve">sous </w:t>
      </w:r>
      <w:r w:rsidR="00F25C11">
        <w:rPr>
          <w:lang w:val="fr-CH"/>
        </w:rPr>
        <w:t>la forme d'une</w:t>
      </w:r>
      <w:r>
        <w:rPr>
          <w:lang w:val="fr-CH"/>
        </w:rPr>
        <w:t xml:space="preserve"> méthode à</w:t>
      </w:r>
      <w:r w:rsidR="00F25C11">
        <w:rPr>
          <w:lang w:val="fr-CH"/>
        </w:rPr>
        <w:t xml:space="preserve"> appliquer pour</w:t>
      </w:r>
      <w:r w:rsidR="00200D74">
        <w:rPr>
          <w:lang w:val="fr-CH"/>
        </w:rPr>
        <w:t xml:space="preserve"> traiter le point 1.1 de l'</w:t>
      </w:r>
      <w:r>
        <w:rPr>
          <w:lang w:val="fr-CH"/>
        </w:rPr>
        <w:t xml:space="preserve">ordre du jour. </w:t>
      </w:r>
    </w:p>
    <w:p w:rsidR="00E94FA2" w:rsidRPr="001B0BC3" w:rsidRDefault="00E94FA2" w:rsidP="00F25C11">
      <w:pPr>
        <w:pStyle w:val="Headingb"/>
      </w:pPr>
      <w:r>
        <w:t>Propositions</w:t>
      </w:r>
    </w:p>
    <w:p w:rsidR="0015203F" w:rsidRDefault="0015203F" w:rsidP="00F25C11">
      <w:pPr>
        <w:tabs>
          <w:tab w:val="clear" w:pos="1134"/>
          <w:tab w:val="clear" w:pos="1871"/>
          <w:tab w:val="clear" w:pos="2268"/>
        </w:tabs>
        <w:overflowPunct/>
        <w:autoSpaceDE/>
        <w:autoSpaceDN/>
        <w:adjustRightInd/>
        <w:spacing w:before="0"/>
        <w:textAlignment w:val="auto"/>
      </w:pPr>
      <w:r>
        <w:br w:type="page"/>
      </w:r>
    </w:p>
    <w:p w:rsidR="004A6A8C" w:rsidRDefault="00A94D63" w:rsidP="00D94B99">
      <w:pPr>
        <w:pStyle w:val="ArtNo"/>
      </w:pPr>
      <w:r>
        <w:lastRenderedPageBreak/>
        <w:t xml:space="preserve">ARTICLE </w:t>
      </w:r>
      <w:r>
        <w:rPr>
          <w:rStyle w:val="href"/>
          <w:color w:val="000000"/>
        </w:rPr>
        <w:t>5</w:t>
      </w:r>
    </w:p>
    <w:p w:rsidR="004A6A8C" w:rsidRDefault="00A94D63" w:rsidP="00D94B99">
      <w:pPr>
        <w:pStyle w:val="Arttitle"/>
        <w:rPr>
          <w:lang w:val="fr-CH"/>
        </w:rPr>
      </w:pPr>
      <w:r>
        <w:rPr>
          <w:lang w:val="fr-CH"/>
        </w:rPr>
        <w:t>Attribution des bandes de fréquences</w:t>
      </w:r>
    </w:p>
    <w:p w:rsidR="004A6A8C" w:rsidRPr="00375EEA" w:rsidRDefault="00A94D63" w:rsidP="00D94B99">
      <w:pPr>
        <w:pStyle w:val="Section1"/>
        <w:keepNext/>
      </w:pPr>
      <w:r>
        <w:t>Section IV –</w:t>
      </w:r>
      <w:r w:rsidRPr="00375EEA">
        <w:t xml:space="preserve"> Tableau d'attribution des bandes de fréquences</w:t>
      </w:r>
      <w:r w:rsidRPr="00375EEA">
        <w:br/>
      </w:r>
      <w:r w:rsidRPr="00F25C11">
        <w:rPr>
          <w:b w:val="0"/>
          <w:bCs/>
        </w:rPr>
        <w:t>(Voir le numéro</w:t>
      </w:r>
      <w:r w:rsidRPr="00260AE5">
        <w:t xml:space="preserve"> 2.1</w:t>
      </w:r>
      <w:r w:rsidRPr="00F25C11">
        <w:rPr>
          <w:b w:val="0"/>
          <w:bCs/>
        </w:rPr>
        <w:t>)</w:t>
      </w:r>
      <w:r>
        <w:rPr>
          <w:b w:val="0"/>
          <w:color w:val="000000"/>
        </w:rPr>
        <w:br/>
      </w:r>
      <w:r>
        <w:rPr>
          <w:b w:val="0"/>
          <w:color w:val="000000"/>
        </w:rPr>
        <w:br/>
      </w:r>
    </w:p>
    <w:p w:rsidR="000E1B7A" w:rsidRDefault="00A94D63" w:rsidP="00666A9A">
      <w:pPr>
        <w:pStyle w:val="Proposal"/>
      </w:pPr>
      <w:r>
        <w:t>MOD</w:t>
      </w:r>
      <w:r>
        <w:tab/>
        <w:t>IAP/7A1/13</w:t>
      </w:r>
    </w:p>
    <w:p w:rsidR="004A6A8C" w:rsidRDefault="00A94D63"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253"/>
        <w:gridCol w:w="3026"/>
        <w:gridCol w:w="3221"/>
      </w:tblGrid>
      <w:tr w:rsidR="00E94FA2" w:rsidTr="005F5532">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E94FA2" w:rsidRDefault="00E94FA2" w:rsidP="005F5532">
            <w:pPr>
              <w:pStyle w:val="Tablehead"/>
              <w:rPr>
                <w:color w:val="000000"/>
              </w:rPr>
            </w:pPr>
            <w:r>
              <w:rPr>
                <w:color w:val="000000"/>
              </w:rPr>
              <w:t>Attribution aux services</w:t>
            </w:r>
          </w:p>
        </w:tc>
      </w:tr>
      <w:tr w:rsidR="00E94FA2" w:rsidTr="00F7158A">
        <w:trPr>
          <w:cantSplit/>
          <w:jc w:val="center"/>
        </w:trPr>
        <w:tc>
          <w:tcPr>
            <w:tcW w:w="3253" w:type="dxa"/>
            <w:tcBorders>
              <w:top w:val="single" w:sz="6" w:space="0" w:color="auto"/>
              <w:left w:val="single" w:sz="6" w:space="0" w:color="auto"/>
              <w:bottom w:val="single" w:sz="6" w:space="0" w:color="auto"/>
              <w:right w:val="single" w:sz="6" w:space="0" w:color="auto"/>
            </w:tcBorders>
          </w:tcPr>
          <w:p w:rsidR="00E94FA2" w:rsidRDefault="00E94FA2" w:rsidP="005F5532">
            <w:pPr>
              <w:pStyle w:val="Tablehead"/>
              <w:rPr>
                <w:color w:val="000000"/>
              </w:rPr>
            </w:pPr>
            <w:r>
              <w:rPr>
                <w:color w:val="000000"/>
              </w:rPr>
              <w:t>Région 1</w:t>
            </w:r>
          </w:p>
        </w:tc>
        <w:tc>
          <w:tcPr>
            <w:tcW w:w="3026" w:type="dxa"/>
            <w:tcBorders>
              <w:top w:val="single" w:sz="6" w:space="0" w:color="auto"/>
              <w:left w:val="single" w:sz="6" w:space="0" w:color="auto"/>
              <w:bottom w:val="single" w:sz="6" w:space="0" w:color="auto"/>
              <w:right w:val="single" w:sz="6" w:space="0" w:color="auto"/>
            </w:tcBorders>
          </w:tcPr>
          <w:p w:rsidR="00E94FA2" w:rsidRDefault="00E94FA2" w:rsidP="005F5532">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E94FA2" w:rsidRDefault="00E94FA2" w:rsidP="005F5532">
            <w:pPr>
              <w:pStyle w:val="Tablehead"/>
              <w:rPr>
                <w:color w:val="000000"/>
              </w:rPr>
            </w:pPr>
            <w:r>
              <w:rPr>
                <w:color w:val="000000"/>
              </w:rPr>
              <w:t>Région 3</w:t>
            </w:r>
          </w:p>
        </w:tc>
      </w:tr>
      <w:tr w:rsidR="00E94FA2" w:rsidTr="00F7158A">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single" w:sz="4" w:space="0" w:color="auto"/>
              <w:left w:val="single" w:sz="4" w:space="0" w:color="auto"/>
              <w:bottom w:val="nil"/>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3 400-3 600</w:t>
            </w:r>
          </w:p>
          <w:p w:rsidR="00E94FA2" w:rsidRPr="004867BF" w:rsidRDefault="00E94FA2" w:rsidP="005F5532">
            <w:pPr>
              <w:pStyle w:val="TableTextS5"/>
              <w:spacing w:before="10" w:after="10"/>
              <w:ind w:left="300" w:right="130" w:hanging="170"/>
              <w:rPr>
                <w:color w:val="000000"/>
              </w:rPr>
            </w:pPr>
            <w:r>
              <w:rPr>
                <w:color w:val="000000"/>
              </w:rPr>
              <w:t>FIXE</w:t>
            </w:r>
          </w:p>
          <w:p w:rsidR="00E94FA2" w:rsidRPr="004867BF" w:rsidRDefault="00E94FA2" w:rsidP="005F5532">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E94FA2" w:rsidRPr="004867BF" w:rsidRDefault="00E94FA2" w:rsidP="005F5532">
            <w:pPr>
              <w:pStyle w:val="TableTextS5"/>
              <w:spacing w:before="10" w:after="10"/>
              <w:ind w:left="300" w:right="130" w:hanging="170"/>
              <w:rPr>
                <w:color w:val="000000"/>
              </w:rPr>
            </w:pPr>
            <w:r>
              <w:rPr>
                <w:color w:val="000000"/>
              </w:rPr>
              <w:t xml:space="preserve">Mobile </w:t>
            </w:r>
            <w:r w:rsidRPr="004867BF">
              <w:rPr>
                <w:color w:val="000000"/>
              </w:rPr>
              <w:t xml:space="preserve"> 5.430A</w:t>
            </w:r>
          </w:p>
          <w:p w:rsidR="00E94FA2" w:rsidRPr="004867BF" w:rsidRDefault="00E94FA2" w:rsidP="005F5532">
            <w:pPr>
              <w:pStyle w:val="TableTextS5"/>
              <w:spacing w:before="10" w:after="10"/>
              <w:ind w:left="300" w:right="130" w:hanging="170"/>
              <w:rPr>
                <w:color w:val="000000"/>
              </w:rPr>
            </w:pPr>
            <w:r w:rsidRPr="00751443">
              <w:rPr>
                <w:color w:val="000000"/>
              </w:rPr>
              <w:t>Radiolocalisation</w:t>
            </w:r>
          </w:p>
          <w:p w:rsidR="00E94FA2" w:rsidRPr="004867BF" w:rsidRDefault="00E94FA2" w:rsidP="005F5532">
            <w:pPr>
              <w:pStyle w:val="TableTextS5"/>
              <w:spacing w:before="10" w:after="10"/>
              <w:ind w:left="300" w:right="130" w:hanging="170"/>
              <w:rPr>
                <w:rStyle w:val="Artref"/>
                <w:color w:val="000000"/>
              </w:rPr>
            </w:pPr>
          </w:p>
          <w:p w:rsidR="00E94FA2" w:rsidRDefault="00E94FA2" w:rsidP="005F5532">
            <w:pPr>
              <w:pStyle w:val="TableTextS5"/>
              <w:spacing w:before="10" w:after="10"/>
              <w:ind w:left="108" w:right="130"/>
              <w:rPr>
                <w:color w:val="000000"/>
              </w:rPr>
            </w:pPr>
          </w:p>
        </w:tc>
        <w:tc>
          <w:tcPr>
            <w:tcW w:w="3024" w:type="dxa"/>
            <w:tcBorders>
              <w:top w:val="single" w:sz="4" w:space="0" w:color="auto"/>
              <w:left w:val="single" w:sz="6" w:space="0" w:color="auto"/>
              <w:bottom w:val="single" w:sz="4" w:space="0" w:color="auto"/>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3 400-3 500</w:t>
            </w:r>
          </w:p>
          <w:p w:rsidR="00E94FA2" w:rsidRPr="004867BF" w:rsidRDefault="00E94FA2" w:rsidP="005F5532">
            <w:pPr>
              <w:pStyle w:val="TableTextS5"/>
              <w:spacing w:before="10" w:after="10"/>
              <w:ind w:left="300" w:right="130" w:hanging="170"/>
              <w:rPr>
                <w:color w:val="000000"/>
              </w:rPr>
            </w:pPr>
            <w:r>
              <w:rPr>
                <w:color w:val="000000"/>
              </w:rPr>
              <w:t>FIXE</w:t>
            </w:r>
          </w:p>
          <w:p w:rsidR="00E94FA2" w:rsidRDefault="00E94FA2" w:rsidP="005F5532">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E94FA2" w:rsidRPr="004867BF" w:rsidRDefault="00E94FA2" w:rsidP="005F5532">
            <w:pPr>
              <w:pStyle w:val="TableTextS5"/>
              <w:spacing w:before="10" w:after="10"/>
              <w:ind w:left="300" w:right="130" w:hanging="170"/>
              <w:rPr>
                <w:color w:val="000000"/>
              </w:rPr>
            </w:pPr>
            <w:ins w:id="6" w:author="Acien, Clara" w:date="2015-10-23T15:26:00Z">
              <w:r>
                <w:rPr>
                  <w:color w:val="000000"/>
                </w:rPr>
                <w:t>MOBILE sauf mobile aéronautique ADD 5.IMT</w:t>
              </w:r>
            </w:ins>
          </w:p>
          <w:p w:rsidR="00E94FA2" w:rsidRPr="004867BF" w:rsidRDefault="00E94FA2" w:rsidP="005F5532">
            <w:pPr>
              <w:pStyle w:val="TableTextS5"/>
              <w:spacing w:before="10" w:after="10"/>
              <w:ind w:left="300" w:right="130" w:hanging="170"/>
              <w:rPr>
                <w:color w:val="000000"/>
              </w:rPr>
            </w:pPr>
            <w:r w:rsidRPr="004867BF">
              <w:rPr>
                <w:color w:val="000000"/>
              </w:rPr>
              <w:t>Amateur</w:t>
            </w:r>
          </w:p>
          <w:p w:rsidR="00E94FA2" w:rsidRPr="004867BF" w:rsidRDefault="00E94FA2" w:rsidP="005F5532">
            <w:pPr>
              <w:pStyle w:val="TableTextS5"/>
              <w:spacing w:before="10" w:after="10"/>
              <w:ind w:left="300" w:right="130" w:hanging="170"/>
              <w:rPr>
                <w:color w:val="000000"/>
              </w:rPr>
            </w:pPr>
            <w:del w:id="7" w:author="Acien, Clara" w:date="2015-10-23T15:26:00Z">
              <w:r w:rsidDel="00722411">
                <w:rPr>
                  <w:color w:val="000000"/>
                </w:rPr>
                <w:delText xml:space="preserve">Mobile </w:delText>
              </w:r>
              <w:r w:rsidRPr="004867BF" w:rsidDel="00722411">
                <w:rPr>
                  <w:color w:val="000000"/>
                </w:rPr>
                <w:delText xml:space="preserve"> 5.431A</w:delText>
              </w:r>
            </w:del>
          </w:p>
          <w:p w:rsidR="00E94FA2" w:rsidRDefault="00E94FA2" w:rsidP="005F5532">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21" w:type="dxa"/>
            <w:tcBorders>
              <w:top w:val="single" w:sz="4" w:space="0" w:color="auto"/>
              <w:left w:val="single" w:sz="6" w:space="0" w:color="auto"/>
              <w:bottom w:val="single" w:sz="4" w:space="0" w:color="auto"/>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3 400-3 500</w:t>
            </w:r>
          </w:p>
          <w:p w:rsidR="00E94FA2" w:rsidRPr="004867BF" w:rsidRDefault="00E94FA2" w:rsidP="005F5532">
            <w:pPr>
              <w:pStyle w:val="TableTextS5"/>
              <w:spacing w:before="10" w:after="10"/>
              <w:ind w:left="300" w:right="130" w:hanging="170"/>
              <w:rPr>
                <w:color w:val="000000"/>
              </w:rPr>
            </w:pPr>
            <w:r>
              <w:rPr>
                <w:color w:val="000000"/>
              </w:rPr>
              <w:t>FIXE</w:t>
            </w:r>
          </w:p>
          <w:p w:rsidR="00E94FA2" w:rsidRPr="004867BF" w:rsidRDefault="00E94FA2" w:rsidP="005F5532">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E94FA2" w:rsidRPr="004867BF" w:rsidRDefault="00E94FA2" w:rsidP="005F5532">
            <w:pPr>
              <w:pStyle w:val="TableTextS5"/>
              <w:spacing w:before="10" w:after="10"/>
              <w:ind w:left="300" w:right="130" w:hanging="170"/>
              <w:rPr>
                <w:color w:val="000000"/>
              </w:rPr>
            </w:pPr>
            <w:r w:rsidRPr="004867BF">
              <w:rPr>
                <w:color w:val="000000"/>
              </w:rPr>
              <w:t>Amateur</w:t>
            </w:r>
          </w:p>
          <w:p w:rsidR="00E94FA2" w:rsidRPr="004867BF" w:rsidRDefault="00E94FA2" w:rsidP="005F5532">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E94FA2" w:rsidRDefault="00E94FA2" w:rsidP="005F5532">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E94FA2" w:rsidTr="00F7158A">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nil"/>
              <w:left w:val="single" w:sz="4" w:space="0" w:color="auto"/>
              <w:bottom w:val="single" w:sz="4" w:space="0" w:color="auto"/>
              <w:right w:val="single" w:sz="6" w:space="0" w:color="auto"/>
            </w:tcBorders>
          </w:tcPr>
          <w:p w:rsidR="00E94FA2" w:rsidRPr="004867BF" w:rsidRDefault="00E94FA2" w:rsidP="005F5532">
            <w:pPr>
              <w:pStyle w:val="TableTextS5"/>
              <w:spacing w:before="10" w:after="10"/>
              <w:ind w:left="300" w:right="130" w:hanging="170"/>
              <w:rPr>
                <w:rStyle w:val="Artref"/>
                <w:color w:val="000000"/>
              </w:rPr>
            </w:pPr>
          </w:p>
          <w:p w:rsidR="00E94FA2" w:rsidRPr="004867BF" w:rsidRDefault="00E94FA2" w:rsidP="005F5532">
            <w:pPr>
              <w:pStyle w:val="TableTextS5"/>
              <w:spacing w:before="10" w:after="10"/>
              <w:ind w:left="300" w:right="130" w:hanging="170"/>
              <w:rPr>
                <w:rStyle w:val="Artref"/>
                <w:color w:val="000000"/>
              </w:rPr>
            </w:pPr>
          </w:p>
          <w:p w:rsidR="00E94FA2" w:rsidRPr="004867BF" w:rsidRDefault="00E94FA2" w:rsidP="005F5532">
            <w:pPr>
              <w:pStyle w:val="TableTextS5"/>
              <w:spacing w:before="10" w:after="10"/>
              <w:ind w:left="300" w:right="130" w:hanging="170"/>
              <w:rPr>
                <w:rStyle w:val="Artref"/>
                <w:color w:val="000000"/>
              </w:rPr>
            </w:pPr>
          </w:p>
          <w:p w:rsidR="00E94FA2" w:rsidRPr="004867BF" w:rsidRDefault="00E94FA2" w:rsidP="005F5532">
            <w:pPr>
              <w:pStyle w:val="TableTextS5"/>
              <w:spacing w:before="10" w:after="10"/>
              <w:ind w:left="300" w:right="130" w:hanging="170"/>
              <w:rPr>
                <w:rStyle w:val="Artref"/>
                <w:color w:val="000000"/>
              </w:rPr>
            </w:pPr>
          </w:p>
          <w:p w:rsidR="00E94FA2" w:rsidRPr="004867BF" w:rsidRDefault="00E94FA2" w:rsidP="005F5532">
            <w:pPr>
              <w:pStyle w:val="TableTextS5"/>
              <w:spacing w:before="10" w:after="10"/>
              <w:ind w:left="300" w:right="130" w:hanging="170"/>
              <w:rPr>
                <w:rStyle w:val="Artref"/>
                <w:color w:val="000000"/>
              </w:rPr>
            </w:pPr>
          </w:p>
          <w:p w:rsidR="00E94FA2" w:rsidRPr="004867BF" w:rsidRDefault="00E94FA2" w:rsidP="005F5532">
            <w:pPr>
              <w:pStyle w:val="TableTextS5"/>
              <w:spacing w:before="10" w:after="10"/>
              <w:ind w:left="300" w:right="130" w:hanging="170"/>
              <w:rPr>
                <w:rStyle w:val="Artref"/>
                <w:color w:val="000000"/>
              </w:rPr>
            </w:pPr>
          </w:p>
          <w:p w:rsidR="00E94FA2" w:rsidRPr="00D56DE3" w:rsidRDefault="00E94FA2" w:rsidP="005F5532">
            <w:pPr>
              <w:pStyle w:val="TableTextS5"/>
              <w:spacing w:before="10" w:after="10"/>
              <w:ind w:left="300" w:right="130" w:hanging="170"/>
              <w:rPr>
                <w:rStyle w:val="Tablefreq"/>
                <w:b w:val="0"/>
                <w:color w:val="000000"/>
              </w:rPr>
            </w:pPr>
            <w:r w:rsidRPr="006E560B">
              <w:t>5.431</w:t>
            </w:r>
          </w:p>
        </w:tc>
        <w:tc>
          <w:tcPr>
            <w:tcW w:w="3024" w:type="dxa"/>
            <w:tcBorders>
              <w:top w:val="single" w:sz="4" w:space="0" w:color="auto"/>
              <w:left w:val="single" w:sz="6" w:space="0" w:color="auto"/>
              <w:bottom w:val="nil"/>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3 500-3 700</w:t>
            </w:r>
          </w:p>
          <w:p w:rsidR="00E94FA2" w:rsidRPr="004867BF" w:rsidRDefault="00E94FA2" w:rsidP="005F5532">
            <w:pPr>
              <w:pStyle w:val="TableTextS5"/>
              <w:spacing w:before="10" w:after="10"/>
              <w:ind w:left="300" w:right="130" w:hanging="170"/>
              <w:rPr>
                <w:color w:val="000000"/>
              </w:rPr>
            </w:pPr>
            <w:r w:rsidRPr="004867BF">
              <w:rPr>
                <w:color w:val="000000"/>
              </w:rPr>
              <w:t>FIXE</w:t>
            </w:r>
          </w:p>
          <w:p w:rsidR="00E94FA2" w:rsidRDefault="00E94FA2" w:rsidP="005F5532">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E94FA2" w:rsidRPr="002151BA" w:rsidRDefault="00E94FA2" w:rsidP="005F5532">
            <w:pPr>
              <w:pStyle w:val="TableTextS5"/>
              <w:spacing w:before="10" w:after="10"/>
              <w:ind w:left="300" w:right="130" w:hanging="170"/>
              <w:rPr>
                <w:color w:val="000000"/>
              </w:rPr>
            </w:pPr>
            <w:r>
              <w:rPr>
                <w:color w:val="000000"/>
              </w:rPr>
              <w:t xml:space="preserve">MOBILE sauf mobile </w:t>
            </w:r>
            <w:r>
              <w:rPr>
                <w:color w:val="000000"/>
              </w:rPr>
              <w:br/>
              <w:t>aéronautique</w:t>
            </w:r>
            <w:ins w:id="8" w:author="Acien, Clara" w:date="2015-10-23T15:26:00Z">
              <w:r>
                <w:rPr>
                  <w:color w:val="000000"/>
                </w:rPr>
                <w:t xml:space="preserve"> ADD 5.IMT</w:t>
              </w:r>
            </w:ins>
          </w:p>
          <w:p w:rsidR="00E94FA2" w:rsidRDefault="00E94FA2" w:rsidP="005F5532">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21" w:type="dxa"/>
            <w:tcBorders>
              <w:top w:val="single" w:sz="4" w:space="0" w:color="auto"/>
              <w:left w:val="single" w:sz="6" w:space="0" w:color="auto"/>
              <w:bottom w:val="single" w:sz="4" w:space="0" w:color="auto"/>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3 500-3 600</w:t>
            </w:r>
          </w:p>
          <w:p w:rsidR="00E94FA2" w:rsidRPr="004867BF" w:rsidRDefault="00E94FA2" w:rsidP="005F5532">
            <w:pPr>
              <w:pStyle w:val="TableTextS5"/>
              <w:spacing w:before="10" w:after="10"/>
              <w:ind w:left="300" w:right="130" w:hanging="170"/>
              <w:rPr>
                <w:color w:val="000000"/>
              </w:rPr>
            </w:pPr>
            <w:r>
              <w:rPr>
                <w:color w:val="000000"/>
              </w:rPr>
              <w:t>FIXE</w:t>
            </w:r>
          </w:p>
          <w:p w:rsidR="00E94FA2" w:rsidRPr="003A7B14" w:rsidRDefault="00E94FA2" w:rsidP="005F5532">
            <w:pPr>
              <w:pStyle w:val="TableTextS5"/>
              <w:spacing w:before="10" w:after="10"/>
              <w:ind w:left="300" w:right="130" w:hanging="170"/>
              <w:rPr>
                <w:color w:val="000000"/>
              </w:rPr>
            </w:pPr>
            <w:r w:rsidRPr="003A7B14">
              <w:rPr>
                <w:color w:val="000000"/>
              </w:rPr>
              <w:t>FIXE PAR SATELLITE (espace vers Terre)</w:t>
            </w:r>
          </w:p>
          <w:p w:rsidR="00E94FA2" w:rsidRPr="006B6D2D" w:rsidRDefault="00E94FA2" w:rsidP="005F5532">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E94FA2" w:rsidRDefault="00E94FA2" w:rsidP="005F5532">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r w:rsidR="00E94FA2" w:rsidTr="00F7158A">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single" w:sz="4" w:space="0" w:color="auto"/>
              <w:left w:val="single" w:sz="4" w:space="0" w:color="auto"/>
              <w:bottom w:val="nil"/>
              <w:right w:val="single" w:sz="4"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3 600-4 200</w:t>
            </w:r>
          </w:p>
          <w:p w:rsidR="00E94FA2" w:rsidRPr="004867BF" w:rsidRDefault="00E94FA2" w:rsidP="005F5532">
            <w:pPr>
              <w:pStyle w:val="TableTextS5"/>
              <w:spacing w:before="10" w:after="10"/>
              <w:ind w:left="300" w:right="130" w:hanging="170"/>
              <w:rPr>
                <w:color w:val="000000"/>
              </w:rPr>
            </w:pPr>
            <w:r>
              <w:rPr>
                <w:color w:val="000000"/>
              </w:rPr>
              <w:t>FIXE</w:t>
            </w:r>
          </w:p>
          <w:p w:rsidR="00E94FA2" w:rsidRPr="004867BF" w:rsidRDefault="00E94FA2" w:rsidP="005F5532">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E94FA2" w:rsidRDefault="00E94FA2" w:rsidP="005F5532">
            <w:pPr>
              <w:pStyle w:val="TableTextS5"/>
              <w:spacing w:before="10" w:after="10"/>
              <w:ind w:left="300" w:right="130" w:hanging="170"/>
              <w:rPr>
                <w:rStyle w:val="Tablefreq"/>
                <w:color w:val="000000"/>
              </w:rPr>
            </w:pPr>
            <w:r w:rsidRPr="004867BF">
              <w:rPr>
                <w:color w:val="000000"/>
              </w:rPr>
              <w:t>Mobile</w:t>
            </w:r>
          </w:p>
        </w:tc>
        <w:tc>
          <w:tcPr>
            <w:tcW w:w="3024" w:type="dxa"/>
            <w:tcBorders>
              <w:top w:val="nil"/>
              <w:left w:val="single" w:sz="4" w:space="0" w:color="auto"/>
              <w:bottom w:val="single" w:sz="4" w:space="0" w:color="auto"/>
              <w:right w:val="single" w:sz="6" w:space="0" w:color="auto"/>
            </w:tcBorders>
          </w:tcPr>
          <w:p w:rsidR="00E94FA2" w:rsidRDefault="00E94FA2" w:rsidP="005F5532">
            <w:pPr>
              <w:pStyle w:val="TableTextS5"/>
              <w:spacing w:before="10" w:after="10"/>
              <w:ind w:left="300" w:right="130" w:hanging="170"/>
              <w:rPr>
                <w:rStyle w:val="Tablefreq"/>
                <w:color w:val="000000"/>
              </w:rPr>
            </w:pPr>
          </w:p>
        </w:tc>
        <w:tc>
          <w:tcPr>
            <w:tcW w:w="3221" w:type="dxa"/>
            <w:tcBorders>
              <w:top w:val="single" w:sz="4" w:space="0" w:color="auto"/>
              <w:left w:val="single" w:sz="6" w:space="0" w:color="auto"/>
              <w:bottom w:val="single" w:sz="4" w:space="0" w:color="auto"/>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3 600-3 700</w:t>
            </w:r>
          </w:p>
          <w:p w:rsidR="00E94FA2" w:rsidRPr="004867BF" w:rsidRDefault="00E94FA2" w:rsidP="005F5532">
            <w:pPr>
              <w:pStyle w:val="TableTextS5"/>
              <w:spacing w:before="10" w:after="10"/>
              <w:ind w:left="300" w:right="130" w:hanging="170"/>
              <w:rPr>
                <w:color w:val="000000"/>
              </w:rPr>
            </w:pPr>
            <w:r>
              <w:rPr>
                <w:color w:val="000000"/>
              </w:rPr>
              <w:t>FIXE</w:t>
            </w:r>
          </w:p>
          <w:p w:rsidR="00E94FA2" w:rsidRPr="004867BF" w:rsidRDefault="00E94FA2" w:rsidP="005F5532">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E94FA2" w:rsidRPr="002151BA" w:rsidRDefault="00E94FA2" w:rsidP="005F5532">
            <w:pPr>
              <w:pStyle w:val="TableTextS5"/>
              <w:spacing w:before="10" w:after="10"/>
              <w:ind w:left="300" w:right="130" w:hanging="170"/>
              <w:rPr>
                <w:color w:val="000000"/>
              </w:rPr>
            </w:pPr>
            <w:r>
              <w:rPr>
                <w:color w:val="000000"/>
              </w:rPr>
              <w:t>MOBILE sauf mobile aéronautique</w:t>
            </w:r>
          </w:p>
          <w:p w:rsidR="00E94FA2" w:rsidRPr="004867BF" w:rsidRDefault="00E94FA2" w:rsidP="005F5532">
            <w:pPr>
              <w:pStyle w:val="TableTextS5"/>
              <w:spacing w:before="10" w:after="10"/>
              <w:ind w:left="300" w:right="130" w:hanging="170"/>
              <w:rPr>
                <w:color w:val="000000"/>
              </w:rPr>
            </w:pPr>
            <w:r w:rsidRPr="003A7B14">
              <w:rPr>
                <w:color w:val="000000"/>
              </w:rPr>
              <w:t>Radiolocalisation</w:t>
            </w:r>
          </w:p>
          <w:p w:rsidR="00E94FA2" w:rsidRPr="00880E98" w:rsidRDefault="00E94FA2" w:rsidP="005F5532">
            <w:pPr>
              <w:pStyle w:val="TableTextS5"/>
              <w:spacing w:before="10" w:after="10"/>
              <w:ind w:left="300" w:right="130" w:hanging="170"/>
            </w:pPr>
            <w:r w:rsidRPr="00880E98">
              <w:t>5.435</w:t>
            </w:r>
          </w:p>
        </w:tc>
      </w:tr>
      <w:tr w:rsidR="00E94FA2" w:rsidTr="00F7158A">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nil"/>
              <w:left w:val="single" w:sz="4" w:space="0" w:color="auto"/>
              <w:bottom w:val="single" w:sz="4" w:space="0" w:color="auto"/>
              <w:right w:val="single" w:sz="4" w:space="0" w:color="auto"/>
            </w:tcBorders>
          </w:tcPr>
          <w:p w:rsidR="00E94FA2" w:rsidRDefault="00E94FA2" w:rsidP="005F5532">
            <w:pPr>
              <w:pStyle w:val="TableTextS5"/>
              <w:spacing w:before="10" w:after="10"/>
              <w:ind w:left="300" w:right="130" w:hanging="170"/>
              <w:rPr>
                <w:rStyle w:val="Tablefreq"/>
                <w:color w:val="000000"/>
              </w:rPr>
            </w:pPr>
          </w:p>
        </w:tc>
        <w:tc>
          <w:tcPr>
            <w:tcW w:w="6245" w:type="dxa"/>
            <w:gridSpan w:val="2"/>
            <w:tcBorders>
              <w:top w:val="single" w:sz="4" w:space="0" w:color="auto"/>
              <w:left w:val="single" w:sz="4" w:space="0" w:color="auto"/>
              <w:bottom w:val="single" w:sz="4" w:space="0" w:color="auto"/>
              <w:right w:val="single" w:sz="6" w:space="0" w:color="auto"/>
            </w:tcBorders>
          </w:tcPr>
          <w:p w:rsidR="00E94FA2" w:rsidRPr="004867BF" w:rsidRDefault="00E94FA2" w:rsidP="005F5532">
            <w:pPr>
              <w:pStyle w:val="TableTextS5"/>
              <w:spacing w:before="10" w:after="10"/>
              <w:ind w:left="300" w:right="130" w:hanging="170"/>
              <w:rPr>
                <w:color w:val="000000"/>
              </w:rPr>
            </w:pPr>
            <w:r w:rsidRPr="0046453D">
              <w:rPr>
                <w:rStyle w:val="Tablefreq"/>
              </w:rPr>
              <w:t>3 700-4 200</w:t>
            </w:r>
          </w:p>
          <w:p w:rsidR="00E94FA2" w:rsidRPr="004867BF" w:rsidRDefault="00E94FA2" w:rsidP="005F5532">
            <w:pPr>
              <w:pStyle w:val="TableTextS5"/>
              <w:tabs>
                <w:tab w:val="clear" w:pos="170"/>
                <w:tab w:val="left" w:pos="692"/>
              </w:tabs>
              <w:spacing w:before="10" w:after="10"/>
              <w:ind w:left="130" w:right="130"/>
              <w:rPr>
                <w:color w:val="000000"/>
              </w:rPr>
            </w:pPr>
            <w:r>
              <w:rPr>
                <w:color w:val="000000"/>
              </w:rPr>
              <w:t>FIXE</w:t>
            </w:r>
          </w:p>
          <w:p w:rsidR="00E94FA2" w:rsidRPr="003A7B14" w:rsidRDefault="00E94FA2" w:rsidP="005F5532">
            <w:pPr>
              <w:pStyle w:val="TableTextS5"/>
              <w:spacing w:before="10" w:after="10"/>
              <w:ind w:left="300" w:right="130" w:hanging="170"/>
              <w:rPr>
                <w:color w:val="000000"/>
              </w:rPr>
            </w:pPr>
            <w:r w:rsidRPr="003A7B14">
              <w:rPr>
                <w:color w:val="000000"/>
              </w:rPr>
              <w:t>FIXE PAR SATELLITE (espace vers Terre)</w:t>
            </w:r>
          </w:p>
          <w:p w:rsidR="00E94FA2" w:rsidRDefault="00E94FA2" w:rsidP="005F5532">
            <w:pPr>
              <w:pStyle w:val="TableTextS5"/>
              <w:spacing w:before="10" w:after="10"/>
              <w:ind w:left="130" w:right="130"/>
              <w:rPr>
                <w:rStyle w:val="Tablefreq"/>
                <w:color w:val="000000"/>
              </w:rPr>
            </w:pPr>
            <w:r>
              <w:rPr>
                <w:color w:val="000000"/>
              </w:rPr>
              <w:t>MOBILE sauf mobile aéronautique</w:t>
            </w:r>
          </w:p>
        </w:tc>
      </w:tr>
    </w:tbl>
    <w:p w:rsidR="000E1B7A" w:rsidRDefault="00A94D63" w:rsidP="006A7D0C">
      <w:pPr>
        <w:pStyle w:val="Reasons"/>
        <w:rPr>
          <w:color w:val="000000"/>
        </w:rPr>
      </w:pPr>
      <w:r w:rsidRPr="00E94FA2">
        <w:rPr>
          <w:b/>
          <w:lang w:val="fr-CH"/>
        </w:rPr>
        <w:t>Motifs:</w:t>
      </w:r>
      <w:r w:rsidRPr="00E94FA2">
        <w:rPr>
          <w:lang w:val="fr-CH"/>
        </w:rPr>
        <w:tab/>
      </w:r>
      <w:r w:rsidR="00E94FA2" w:rsidRPr="00D1667E">
        <w:rPr>
          <w:lang w:val="fr-CH"/>
        </w:rPr>
        <w:t>Attribuer des bandes de f</w:t>
      </w:r>
      <w:r w:rsidR="00E94FA2">
        <w:rPr>
          <w:lang w:val="fr-CH"/>
        </w:rPr>
        <w:t xml:space="preserve">réquences </w:t>
      </w:r>
      <w:r w:rsidR="00F25C11">
        <w:rPr>
          <w:lang w:val="fr-CH"/>
        </w:rPr>
        <w:t>additionnelles pour les</w:t>
      </w:r>
      <w:r w:rsidR="00E94FA2">
        <w:rPr>
          <w:lang w:val="fr-CH"/>
        </w:rPr>
        <w:t xml:space="preserve"> IM</w:t>
      </w:r>
      <w:r w:rsidR="00E94FA2" w:rsidRPr="00D1667E">
        <w:rPr>
          <w:lang w:val="fr-CH"/>
        </w:rPr>
        <w:t>T af</w:t>
      </w:r>
      <w:r w:rsidR="00200D74">
        <w:rPr>
          <w:lang w:val="fr-CH"/>
        </w:rPr>
        <w:t>in de traiter le point</w:t>
      </w:r>
      <w:r w:rsidR="006A7D0C">
        <w:rPr>
          <w:lang w:val="fr-CH"/>
        </w:rPr>
        <w:t> </w:t>
      </w:r>
      <w:r w:rsidR="00200D74">
        <w:rPr>
          <w:lang w:val="fr-CH"/>
        </w:rPr>
        <w:t>1.1 de l'</w:t>
      </w:r>
      <w:r w:rsidR="00E94FA2" w:rsidRPr="00D1667E">
        <w:rPr>
          <w:lang w:val="fr-CH"/>
        </w:rPr>
        <w:t>ordre du jour en ce qui concerne les</w:t>
      </w:r>
      <w:r w:rsidR="00E94FA2" w:rsidRPr="00D1667E">
        <w:rPr>
          <w:color w:val="000000"/>
        </w:rPr>
        <w:t xml:space="preserve"> </w:t>
      </w:r>
      <w:r w:rsidR="00E94FA2">
        <w:rPr>
          <w:color w:val="000000"/>
        </w:rPr>
        <w:t>réseaux de grande capacité.</w:t>
      </w:r>
    </w:p>
    <w:p w:rsidR="000E1B7A" w:rsidRPr="00F25C11" w:rsidRDefault="00A94D63" w:rsidP="00666A9A">
      <w:pPr>
        <w:pStyle w:val="Proposal"/>
        <w:rPr>
          <w:lang w:val="fr-CH"/>
        </w:rPr>
      </w:pPr>
      <w:r w:rsidRPr="00F25C11">
        <w:rPr>
          <w:lang w:val="fr-CH"/>
        </w:rPr>
        <w:t>ADD</w:t>
      </w:r>
      <w:r w:rsidRPr="00F25C11">
        <w:rPr>
          <w:lang w:val="fr-CH"/>
        </w:rPr>
        <w:tab/>
        <w:t>IAP/7A1/14</w:t>
      </w:r>
    </w:p>
    <w:p w:rsidR="000E1B7A" w:rsidRPr="00E94FA2" w:rsidRDefault="00A94D63" w:rsidP="00685A1B">
      <w:pPr>
        <w:rPr>
          <w:lang w:val="fr-CH"/>
        </w:rPr>
      </w:pPr>
      <w:r w:rsidRPr="00E94FA2">
        <w:rPr>
          <w:rStyle w:val="Artdef"/>
          <w:lang w:val="fr-CH"/>
        </w:rPr>
        <w:t>5.IMT</w:t>
      </w:r>
      <w:r w:rsidRPr="00E94FA2">
        <w:rPr>
          <w:lang w:val="fr-CH"/>
        </w:rPr>
        <w:tab/>
      </w:r>
      <w:r w:rsidR="00E94FA2" w:rsidRPr="007C4E56">
        <w:t>Dans la Région 2, la bande de fréquences 3 400</w:t>
      </w:r>
      <w:r w:rsidR="00E94FA2" w:rsidRPr="007C4E56">
        <w:noBreakHyphen/>
        <w:t>3 600</w:t>
      </w:r>
      <w:r w:rsidR="00E94FA2" w:rsidRPr="007C4E56">
        <w:rPr>
          <w:lang w:eastAsia="ja-JP"/>
        </w:rPr>
        <w:t> MHz</w:t>
      </w:r>
      <w:r w:rsidR="00E94FA2" w:rsidRPr="007C4E56">
        <w:t xml:space="preserve"> est identifiée pour pouvoir être utilisée par les administrations </w:t>
      </w:r>
      <w:r w:rsidR="00F25C11">
        <w:t>qui souhaite</w:t>
      </w:r>
      <w:r w:rsidR="00E94FA2" w:rsidRPr="007C4E56">
        <w:t xml:space="preserve">nt mettre en </w:t>
      </w:r>
      <w:r w:rsidR="00685A1B">
        <w:t>oe</w:t>
      </w:r>
      <w:r w:rsidR="00DD210A" w:rsidRPr="007C4E56">
        <w:t>uvre</w:t>
      </w:r>
      <w:r w:rsidR="00E94FA2" w:rsidRPr="007C4E56">
        <w:t xml:space="preserve"> les Télécommunications mobiles internationales (IMT)</w:t>
      </w:r>
      <w:r w:rsidR="00F25C11">
        <w:t>,</w:t>
      </w:r>
      <w:r w:rsidR="00E94FA2" w:rsidRPr="007C4E56">
        <w:t> sous réserve de l'accord obtenu auprès d'autres administrations au titre du numéro </w:t>
      </w:r>
      <w:r w:rsidR="00E94FA2" w:rsidRPr="007C4E56">
        <w:rPr>
          <w:b/>
          <w:bCs/>
        </w:rPr>
        <w:t>9.21</w:t>
      </w:r>
      <w:r w:rsidR="00E94FA2" w:rsidRPr="007C4E56">
        <w:t xml:space="preserve">. Voir la Résolution </w:t>
      </w:r>
      <w:r w:rsidR="00E94FA2" w:rsidRPr="00EF7996">
        <w:rPr>
          <w:b/>
          <w:bCs/>
        </w:rPr>
        <w:t>[</w:t>
      </w:r>
      <w:r w:rsidR="00F4242D">
        <w:rPr>
          <w:b/>
          <w:bCs/>
        </w:rPr>
        <w:t>IAP</w:t>
      </w:r>
      <w:r w:rsidR="00E94FA2" w:rsidRPr="00EF7996">
        <w:rPr>
          <w:b/>
          <w:bCs/>
        </w:rPr>
        <w:t>-IMT 3.4-3.6 GHz] (CMR-15)</w:t>
      </w:r>
      <w:r w:rsidR="00E94FA2" w:rsidRPr="007C4E56">
        <w:t>. Cette identification n'exclut pas l'utilisation de cette bande par toute application des services auxquels elle est attribuée et n'établit pas de priorité dans le Règlement des radiocommunications</w:t>
      </w:r>
      <w:r w:rsidR="00E94FA2" w:rsidRPr="007C4E56">
        <w:rPr>
          <w:rFonts w:eastAsiaTheme="minorHAnsi"/>
        </w:rPr>
        <w:t xml:space="preserve">. </w:t>
      </w:r>
      <w:r w:rsidR="00E94FA2" w:rsidRPr="007C4E56">
        <w:t>Au stade de la coordination, les dispositions des numéros </w:t>
      </w:r>
      <w:r w:rsidR="00E94FA2" w:rsidRPr="007C4E56">
        <w:rPr>
          <w:b/>
          <w:bCs/>
        </w:rPr>
        <w:t>9.17</w:t>
      </w:r>
      <w:r w:rsidR="00E94FA2" w:rsidRPr="007C4E56">
        <w:t xml:space="preserve"> et </w:t>
      </w:r>
      <w:r w:rsidR="00E94FA2" w:rsidRPr="007C4E56">
        <w:rPr>
          <w:b/>
          <w:bCs/>
        </w:rPr>
        <w:t>9.18</w:t>
      </w:r>
      <w:r w:rsidR="00E94FA2" w:rsidRPr="007C4E56">
        <w:t xml:space="preserve"> s'appliquent également. Avant de mettre en service une station (de base ou mobile) du service mobile dans cette bande, une administration doit s'assurer que la puissance surfacique produite à 3 m a</w:t>
      </w:r>
      <w:r w:rsidR="00A57FC0">
        <w:t>u-dessus d</w:t>
      </w:r>
      <w:r w:rsidR="00685A1B">
        <w:t>u sol ne dépasse pas −</w:t>
      </w:r>
      <w:r w:rsidR="00DD210A">
        <w:t>1</w:t>
      </w:r>
      <w:r w:rsidR="00E94FA2" w:rsidRPr="007C4E56">
        <w:t>54,5 dB(W/(m</w:t>
      </w:r>
      <w:r w:rsidR="00E94FA2" w:rsidRPr="00D75FAB">
        <w:rPr>
          <w:vertAlign w:val="superscript"/>
        </w:rPr>
        <w:t>2</w:t>
      </w:r>
      <w:r w:rsidR="00E94FA2" w:rsidRPr="007C4E56">
        <w:t> </w:t>
      </w:r>
      <w:r w:rsidR="00E94FA2" w:rsidRPr="007C4E56">
        <w:sym w:font="Symbol" w:char="F0D7"/>
      </w:r>
      <w:r w:rsidR="00E94FA2" w:rsidRPr="007C4E56">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w:t>
      </w:r>
      <w:r w:rsidR="00F25C11">
        <w:t xml:space="preserve"> (l'administration responsable de la station de Terre et l'administration responsable de la station terrienne)</w:t>
      </w:r>
      <w:r w:rsidR="00E94FA2" w:rsidRPr="007C4E56">
        <w:t>, avec l'assistance du Bureau si celle-ci est demandée. En cas de désaccord, les calculs et la vérification de la puissance surfacique seront effectués par le Bureau, compte tenu des renseignements susmentionnés. Les stations du service mobile fonctionnant dans la bande 3 400-3 600 MHz ne doivent pas demander à bénéficier d'une protection plus grande vis-à-vis des stations spatiales que celle q</w:t>
      </w:r>
      <w:r w:rsidR="00DD210A">
        <w:t>ui est accordée dans le Tableau </w:t>
      </w:r>
      <w:r w:rsidR="00A57FC0">
        <w:rPr>
          <w:b/>
          <w:bCs/>
        </w:rPr>
        <w:t>21</w:t>
      </w:r>
      <w:r w:rsidR="00A57FC0">
        <w:rPr>
          <w:b/>
          <w:bCs/>
        </w:rPr>
        <w:noBreakHyphen/>
      </w:r>
      <w:r w:rsidR="00DD210A">
        <w:rPr>
          <w:b/>
          <w:bCs/>
        </w:rPr>
        <w:t>4</w:t>
      </w:r>
      <w:r w:rsidR="00DD210A">
        <w:t> du </w:t>
      </w:r>
      <w:r w:rsidR="00E94FA2" w:rsidRPr="007C4E56">
        <w:t xml:space="preserve">Règlement des radiocommunications </w:t>
      </w:r>
      <w:r w:rsidR="00E94FA2" w:rsidRPr="007C4E56">
        <w:rPr>
          <w:lang w:val="fr-CH"/>
        </w:rPr>
        <w:t>(Edition de 2004).</w:t>
      </w:r>
      <w:r w:rsidR="00E94FA2" w:rsidRPr="007C4E56">
        <w:rPr>
          <w:sz w:val="16"/>
          <w:szCs w:val="16"/>
          <w:lang w:val="fr-CH"/>
        </w:rPr>
        <w:t>     (CMR-15)</w:t>
      </w:r>
    </w:p>
    <w:p w:rsidR="000E1B7A" w:rsidRDefault="00A94D63" w:rsidP="00200D74">
      <w:pPr>
        <w:pStyle w:val="Reasons"/>
      </w:pPr>
      <w:r>
        <w:rPr>
          <w:b/>
        </w:rPr>
        <w:t>Motifs:</w:t>
      </w:r>
      <w:r>
        <w:tab/>
      </w:r>
      <w:r w:rsidR="00E94FA2" w:rsidRPr="007C4E56">
        <w:rPr>
          <w:lang w:val="fr-CH"/>
        </w:rPr>
        <w:t>Identifier la bande 3 400-3 600 MHz pour les IMT dans la Région 2 et apporter une certaine soupl</w:t>
      </w:r>
      <w:r w:rsidR="00200D74">
        <w:rPr>
          <w:lang w:val="fr-CH"/>
        </w:rPr>
        <w:t>esse aux administrations pour l'</w:t>
      </w:r>
      <w:r w:rsidR="00E94FA2" w:rsidRPr="007C4E56">
        <w:rPr>
          <w:lang w:val="fr-CH"/>
        </w:rPr>
        <w:t>utilisation de cette bande ou de parties de cette bande par les systèmes IMT, sous réserve d</w:t>
      </w:r>
      <w:r w:rsidR="00200D74">
        <w:rPr>
          <w:lang w:val="fr-CH"/>
        </w:rPr>
        <w:t>'</w:t>
      </w:r>
      <w:r w:rsidR="00E94FA2" w:rsidRPr="007C4E56">
        <w:rPr>
          <w:lang w:val="fr-CH"/>
        </w:rPr>
        <w:t xml:space="preserve">une application réussie de la procédure de coordination avec </w:t>
      </w:r>
      <w:r w:rsidR="00200D74">
        <w:rPr>
          <w:lang w:val="fr-CH"/>
        </w:rPr>
        <w:t>le SFS. Il convient néanmoins d'</w:t>
      </w:r>
      <w:r w:rsidR="00E94FA2" w:rsidRPr="007C4E56">
        <w:rPr>
          <w:lang w:val="fr-CH"/>
        </w:rPr>
        <w:t>établir d</w:t>
      </w:r>
      <w:r w:rsidR="00200D74">
        <w:rPr>
          <w:lang w:val="fr-CH"/>
        </w:rPr>
        <w:t>es conditions techniques afin d'</w:t>
      </w:r>
      <w:r w:rsidR="00E94FA2" w:rsidRPr="007C4E56">
        <w:rPr>
          <w:lang w:val="fr-CH"/>
        </w:rPr>
        <w:t>assurer la coexistence des systèmes du SFS et des systèmes IMT</w:t>
      </w:r>
      <w:r w:rsidR="00E94FA2">
        <w:rPr>
          <w:lang w:val="fr-CH"/>
        </w:rPr>
        <w:t xml:space="preserve"> exploités dans la bande 3 400-</w:t>
      </w:r>
      <w:r w:rsidR="00E94FA2" w:rsidRPr="007C4E56">
        <w:rPr>
          <w:lang w:val="fr-CH"/>
        </w:rPr>
        <w:t>3 600 MHz, conformément à la Résolution 233 (CMR-12).</w:t>
      </w:r>
    </w:p>
    <w:p w:rsidR="000E1B7A" w:rsidRDefault="00A94D63" w:rsidP="00F25C11">
      <w:pPr>
        <w:pStyle w:val="Proposal"/>
      </w:pPr>
      <w:r>
        <w:t>SUP</w:t>
      </w:r>
      <w:r>
        <w:tab/>
        <w:t>IAP/7A1/1</w:t>
      </w:r>
      <w:r w:rsidR="00F25C11">
        <w:t>9</w:t>
      </w:r>
    </w:p>
    <w:p w:rsidR="004A6A8C" w:rsidRDefault="00A94D63" w:rsidP="00294822">
      <w:pPr>
        <w:pStyle w:val="Note"/>
      </w:pPr>
      <w:r w:rsidRPr="00AC1139">
        <w:rPr>
          <w:rStyle w:val="Artdef"/>
        </w:rPr>
        <w:t>5.431A</w:t>
      </w:r>
      <w:r w:rsidRPr="002B263C">
        <w:rPr>
          <w:b/>
          <w:bCs/>
        </w:rPr>
        <w:tab/>
      </w:r>
      <w:r w:rsidRPr="00FA62EC">
        <w:rPr>
          <w:i/>
          <w:iCs/>
        </w:rPr>
        <w:t>Caté</w:t>
      </w:r>
      <w:r w:rsidRPr="00FA62EC">
        <w:rPr>
          <w:i/>
        </w:rPr>
        <w:t>gorie de service différente</w:t>
      </w:r>
      <w:r w:rsidRPr="00924745">
        <w:rPr>
          <w:i/>
        </w:rPr>
        <w:t>:</w:t>
      </w:r>
      <w:r w:rsidR="00200D74">
        <w:t> </w:t>
      </w:r>
      <w:r w:rsidRPr="00751443">
        <w:t>dans les pays suivants: Argentine, Brésil, Chili, Costa</w:t>
      </w:r>
      <w:r>
        <w:t xml:space="preserve"> </w:t>
      </w:r>
      <w:r w:rsidRPr="00751443">
        <w:t xml:space="preserve">Rica, </w:t>
      </w:r>
      <w:r>
        <w:t>Cuba, d</w:t>
      </w:r>
      <w:r w:rsidRPr="00751443">
        <w:t>épartements et collectivités d'outre-mer</w:t>
      </w:r>
      <w:r>
        <w:t xml:space="preserve"> français de la Région 2, </w:t>
      </w:r>
      <w:r w:rsidRPr="00751443">
        <w:t xml:space="preserve">Dominicaine (Rép.), El Salvador, Guatemala, Mexique, </w:t>
      </w:r>
      <w:r>
        <w:t xml:space="preserve">Paraguay, </w:t>
      </w:r>
      <w:r w:rsidRPr="00751443">
        <w:t>Suriname, Uruguay</w:t>
      </w:r>
      <w:r>
        <w:t xml:space="preserve"> et</w:t>
      </w:r>
      <w:r w:rsidRPr="00751443">
        <w:t xml:space="preserve"> Venezuela</w:t>
      </w:r>
      <w:r>
        <w:t>,</w:t>
      </w:r>
      <w:r w:rsidRPr="00751443">
        <w:t xml:space="preserve"> la bande</w:t>
      </w:r>
      <w:r w:rsidR="00294822">
        <w:t> </w:t>
      </w:r>
      <w:r w:rsidRPr="00751443">
        <w:t>3</w:t>
      </w:r>
      <w:r>
        <w:rPr>
          <w:rFonts w:ascii="Tms Rmn" w:hAnsi="Tms Rmn"/>
          <w:sz w:val="12"/>
        </w:rPr>
        <w:t> </w:t>
      </w:r>
      <w:r w:rsidRPr="00751443">
        <w:t>400</w:t>
      </w:r>
      <w:r w:rsidR="00294822">
        <w:noBreakHyphen/>
      </w:r>
      <w:r w:rsidRPr="00751443">
        <w:t>3</w:t>
      </w:r>
      <w:r>
        <w:rPr>
          <w:rFonts w:ascii="Tms Rmn" w:hAnsi="Tms Rmn"/>
          <w:sz w:val="12"/>
        </w:rPr>
        <w:t> </w:t>
      </w:r>
      <w:r w:rsidRPr="00751443">
        <w:t>500</w:t>
      </w:r>
      <w:r>
        <w:t> </w:t>
      </w:r>
      <w:r w:rsidRPr="00751443">
        <w:t>MHz est attribuée à titre primaire au service mobile, sauf mobile aéronaut</w:t>
      </w:r>
      <w:r>
        <w:t xml:space="preserve">ique, sous </w:t>
      </w:r>
      <w:r w:rsidRPr="00751443">
        <w:t>rés</w:t>
      </w:r>
      <w:r>
        <w:t xml:space="preserve">erve de l'accord obtenu au titre du numéro </w:t>
      </w:r>
      <w:r>
        <w:rPr>
          <w:b/>
          <w:bCs/>
        </w:rPr>
        <w:t>9.21</w:t>
      </w:r>
      <w:r>
        <w:t>. Les stations du service mobile dans la bande 3</w:t>
      </w:r>
      <w:r>
        <w:rPr>
          <w:rFonts w:ascii="Tms Rmn" w:hAnsi="Tms Rmn"/>
          <w:sz w:val="12"/>
        </w:rPr>
        <w:t> </w:t>
      </w:r>
      <w:r>
        <w:t>400</w:t>
      </w:r>
      <w:r>
        <w:noBreakHyphen/>
        <w:t>3</w:t>
      </w:r>
      <w:r>
        <w:rPr>
          <w:rFonts w:ascii="Tms Rmn" w:hAnsi="Tms Rmn"/>
          <w:sz w:val="12"/>
        </w:rPr>
        <w:t> </w:t>
      </w:r>
      <w:r>
        <w:t xml:space="preserve">500 MHz ne doivent pas demander </w:t>
      </w:r>
      <w:r w:rsidRPr="00751443">
        <w:t>à béné</w:t>
      </w:r>
      <w:r>
        <w:t>ficier d'une protection plus grande vis-</w:t>
      </w:r>
      <w:r w:rsidRPr="00751443">
        <w:t>à-</w:t>
      </w:r>
      <w:r>
        <w:t>vis des stations spatiales que celle qui est accord</w:t>
      </w:r>
      <w:r w:rsidRPr="00751443">
        <w:t>é</w:t>
      </w:r>
      <w:r>
        <w:t>e dans le Tableau </w:t>
      </w:r>
      <w:r>
        <w:rPr>
          <w:b/>
          <w:bCs/>
        </w:rPr>
        <w:t>21</w:t>
      </w:r>
      <w:r>
        <w:rPr>
          <w:b/>
          <w:bCs/>
        </w:rPr>
        <w:noBreakHyphen/>
        <w:t>4</w:t>
      </w:r>
      <w:r>
        <w:t xml:space="preserve"> du R</w:t>
      </w:r>
      <w:r w:rsidRPr="00751443">
        <w:t>è</w:t>
      </w:r>
      <w:r>
        <w:t>glement des radiocommunications (Edition de 2004).</w:t>
      </w:r>
      <w:r w:rsidRPr="0028174F">
        <w:rPr>
          <w:sz w:val="16"/>
          <w:szCs w:val="16"/>
        </w:rPr>
        <w:t>     (CMR-12)</w:t>
      </w:r>
    </w:p>
    <w:p w:rsidR="000E1B7A" w:rsidRDefault="00A94D63">
      <w:pPr>
        <w:pStyle w:val="Reasons"/>
      </w:pPr>
      <w:r>
        <w:rPr>
          <w:b/>
        </w:rPr>
        <w:t>Motifs:</w:t>
      </w:r>
      <w:r>
        <w:tab/>
      </w:r>
      <w:r w:rsidR="00200D74">
        <w:rPr>
          <w:lang w:val="fr-CH"/>
        </w:rPr>
        <w:t>Modification résultant de l'</w:t>
      </w:r>
      <w:r w:rsidR="00E94FA2" w:rsidRPr="007C4E56">
        <w:rPr>
          <w:lang w:val="fr-CH"/>
        </w:rPr>
        <w:t>ajout du renvoi numéro 5.IMT dans le RR, ainsi que de son application dans la Région 2 également.</w:t>
      </w:r>
    </w:p>
    <w:p w:rsidR="000E1B7A" w:rsidRDefault="00A94D63" w:rsidP="00F25C11">
      <w:pPr>
        <w:pStyle w:val="Proposal"/>
      </w:pPr>
      <w:r>
        <w:t>ADD</w:t>
      </w:r>
      <w:r>
        <w:tab/>
        <w:t>IAP/7A1/</w:t>
      </w:r>
      <w:r w:rsidR="00F25C11">
        <w:t>20</w:t>
      </w:r>
    </w:p>
    <w:p w:rsidR="000E1B7A" w:rsidRDefault="00A94D63">
      <w:pPr>
        <w:pStyle w:val="ResNo"/>
      </w:pPr>
      <w:r>
        <w:t>Projet de nouvelle Résolution [IAP-IMT-3.4-3.6 GHz]</w:t>
      </w:r>
      <w:r w:rsidR="00F4242D">
        <w:t xml:space="preserve"> (CMR-15)</w:t>
      </w:r>
    </w:p>
    <w:p w:rsidR="000E1B7A" w:rsidRDefault="0010644A" w:rsidP="00DD210A">
      <w:pPr>
        <w:pStyle w:val="Restitle"/>
      </w:pPr>
      <w:r w:rsidRPr="007C4E56">
        <w:rPr>
          <w:rFonts w:eastAsia="???"/>
          <w:lang w:val="fr-CH"/>
        </w:rPr>
        <w:t>Etudes supplémentaires sur la coexistence de</w:t>
      </w:r>
      <w:r w:rsidR="00F25C11">
        <w:rPr>
          <w:rFonts w:eastAsia="???"/>
          <w:lang w:val="fr-CH"/>
        </w:rPr>
        <w:t>s</w:t>
      </w:r>
      <w:r w:rsidRPr="007C4E56">
        <w:rPr>
          <w:rFonts w:eastAsia="???"/>
          <w:lang w:val="fr-CH"/>
        </w:rPr>
        <w:t xml:space="preserve"> systèmes du SFS exploités dans la bande </w:t>
      </w:r>
      <w:r w:rsidR="00294822">
        <w:rPr>
          <w:lang w:val="fr-CH"/>
        </w:rPr>
        <w:t>3 600-</w:t>
      </w:r>
      <w:r w:rsidRPr="007C4E56">
        <w:rPr>
          <w:lang w:val="fr-CH"/>
        </w:rPr>
        <w:t>4 200 MHz et de</w:t>
      </w:r>
      <w:r w:rsidR="00815A4A">
        <w:rPr>
          <w:lang w:val="fr-CH"/>
        </w:rPr>
        <w:t>s</w:t>
      </w:r>
      <w:r w:rsidRPr="007C4E56">
        <w:rPr>
          <w:lang w:val="fr-CH"/>
        </w:rPr>
        <w:t xml:space="preserve"> systèmes IMT</w:t>
      </w:r>
      <w:r w:rsidR="00DD210A">
        <w:rPr>
          <w:lang w:val="fr-CH"/>
        </w:rPr>
        <w:t xml:space="preserve"> exploités</w:t>
      </w:r>
      <w:r w:rsidR="00DD210A">
        <w:rPr>
          <w:lang w:val="fr-CH"/>
        </w:rPr>
        <w:br/>
        <w:t>dans la bande 3 400-</w:t>
      </w:r>
      <w:r w:rsidRPr="007C4E56">
        <w:rPr>
          <w:lang w:val="fr-CH"/>
        </w:rPr>
        <w:t>3</w:t>
      </w:r>
      <w:r w:rsidR="00DD210A">
        <w:rPr>
          <w:lang w:val="fr-CH"/>
        </w:rPr>
        <w:t> </w:t>
      </w:r>
      <w:r w:rsidRPr="007C4E56">
        <w:rPr>
          <w:lang w:val="fr-CH"/>
        </w:rPr>
        <w:t>600 MHz</w:t>
      </w:r>
    </w:p>
    <w:p w:rsidR="0010644A" w:rsidRPr="007C4E56" w:rsidRDefault="0010644A" w:rsidP="0010644A">
      <w:pPr>
        <w:pStyle w:val="Normalaftertitle"/>
        <w:keepNext/>
        <w:keepLines/>
      </w:pPr>
      <w:r w:rsidRPr="007C4E56">
        <w:t>La Conférence mondiale des radiocommunications (Genève, 2015),</w:t>
      </w:r>
    </w:p>
    <w:p w:rsidR="0010644A" w:rsidRPr="007C4E56" w:rsidRDefault="0010644A">
      <w:pPr>
        <w:pStyle w:val="Call"/>
        <w:pPrChange w:id="9" w:author="Alidra, Patricia" w:date="2014-10-21T15:19:00Z">
          <w:pPr>
            <w:pStyle w:val="Call"/>
            <w:spacing w:line="360" w:lineRule="auto"/>
          </w:pPr>
        </w:pPrChange>
      </w:pPr>
      <w:r w:rsidRPr="007C4E56">
        <w:t>considérant</w:t>
      </w:r>
    </w:p>
    <w:p w:rsidR="0010644A" w:rsidRPr="007C4E56" w:rsidRDefault="0010644A" w:rsidP="0010644A">
      <w:r w:rsidRPr="007C4E56">
        <w:rPr>
          <w:i/>
          <w:iCs/>
        </w:rPr>
        <w:t>a)</w:t>
      </w:r>
      <w:r w:rsidRPr="007C4E56">
        <w:tab/>
        <w:t>que la bande 3 400-4 200 MHz est attribuée à l'échelle mondiale au service fixe par satellite (SFS) à titre primaire;</w:t>
      </w:r>
    </w:p>
    <w:p w:rsidR="0010644A" w:rsidRPr="007C4E56" w:rsidRDefault="0010644A" w:rsidP="0010644A">
      <w:pPr>
        <w:rPr>
          <w:lang w:val="fr-CH"/>
        </w:rPr>
      </w:pPr>
      <w:r w:rsidRPr="007C4E56">
        <w:rPr>
          <w:i/>
          <w:iCs/>
        </w:rPr>
        <w:t>b)</w:t>
      </w:r>
      <w:r w:rsidRPr="007C4E56">
        <w:rPr>
          <w:i/>
          <w:iCs/>
        </w:rPr>
        <w:tab/>
      </w:r>
      <w:r w:rsidRPr="007C4E56">
        <w:rPr>
          <w:lang w:val="fr-CH"/>
        </w:rPr>
        <w:t>que les Télécommunications mobiles internationales (IMT), y compris les IMT</w:t>
      </w:r>
      <w:r w:rsidRPr="007C4E56">
        <w:rPr>
          <w:lang w:val="fr-CH"/>
        </w:rPr>
        <w:noBreakHyphen/>
        <w:t>2000 et les IMT évoluées, représentent la vision qu'a l'UIT de l'accès mobile à l'échelle mondiale;</w:t>
      </w:r>
    </w:p>
    <w:p w:rsidR="0010644A" w:rsidRPr="007C4E56" w:rsidRDefault="0010644A" w:rsidP="0010644A">
      <w:pPr>
        <w:rPr>
          <w:lang w:val="fr-CH"/>
        </w:rPr>
      </w:pPr>
      <w:r w:rsidRPr="007C4E56">
        <w:rPr>
          <w:i/>
          <w:iCs/>
          <w:lang w:val="fr-CH"/>
        </w:rPr>
        <w:t>c)</w:t>
      </w:r>
      <w:r w:rsidRPr="007C4E56">
        <w:rPr>
          <w:i/>
          <w:iCs/>
          <w:lang w:val="fr-CH"/>
        </w:rPr>
        <w:tab/>
      </w:r>
      <w:r w:rsidRPr="007C4E56">
        <w:rPr>
          <w:lang w:val="fr-CH"/>
        </w:rPr>
        <w:t>que les systèmes IMT assurent des services de télécommunication à l'échelle mondiale, quel que soit le lieu, le réseau ou le terminal considéré;</w:t>
      </w:r>
    </w:p>
    <w:p w:rsidR="0010644A" w:rsidRPr="007C4E56" w:rsidRDefault="0010644A" w:rsidP="0010644A">
      <w:pPr>
        <w:rPr>
          <w:lang w:val="fr-CH"/>
        </w:rPr>
      </w:pPr>
      <w:r w:rsidRPr="007C4E56">
        <w:rPr>
          <w:i/>
          <w:iCs/>
          <w:lang w:val="fr-CH"/>
        </w:rPr>
        <w:t>d)</w:t>
      </w:r>
      <w:r w:rsidRPr="007C4E56">
        <w:rPr>
          <w:i/>
          <w:iCs/>
          <w:lang w:val="fr-CH"/>
        </w:rPr>
        <w:tab/>
      </w:r>
      <w:r w:rsidRPr="007C4E56">
        <w:rPr>
          <w:lang w:val="fr-CH"/>
        </w:rPr>
        <w:t>que les caractéristiques techniques des IMT sont spécifiées dans des Recommandations UIT-R et UIT-T, dont les Recommandations UIT-R M.1457 et UIT-R M.2012, qui contiennent les spécifications détaillées des interfaces radioélectriques de Terre des IMT;</w:t>
      </w:r>
    </w:p>
    <w:p w:rsidR="0010644A" w:rsidRPr="007C4E56" w:rsidRDefault="0010644A" w:rsidP="00294822">
      <w:pPr>
        <w:rPr>
          <w:lang w:val="fr-CH"/>
        </w:rPr>
      </w:pPr>
      <w:r w:rsidRPr="007C4E56">
        <w:rPr>
          <w:i/>
          <w:iCs/>
          <w:lang w:val="fr-CH"/>
        </w:rPr>
        <w:t>e)</w:t>
      </w:r>
      <w:r w:rsidRPr="007C4E56">
        <w:rPr>
          <w:i/>
          <w:iCs/>
          <w:lang w:val="fr-CH"/>
        </w:rPr>
        <w:tab/>
      </w:r>
      <w:r w:rsidRPr="007C4E56">
        <w:rPr>
          <w:lang w:val="fr-CH"/>
        </w:rPr>
        <w:t>que les CMR précédentes ont identifié les bandes suivantes pour une utilisation par les IMT: 450-470 MHz, 694-960 MHz, 1 710-1 885 MHz, 1 885-2 025 MHz, 2 110-2 200 MHz, 2</w:t>
      </w:r>
      <w:r w:rsidR="00294822">
        <w:rPr>
          <w:lang w:val="fr-CH"/>
        </w:rPr>
        <w:t> </w:t>
      </w:r>
      <w:r w:rsidRPr="007C4E56">
        <w:rPr>
          <w:lang w:val="fr-CH"/>
        </w:rPr>
        <w:t>300</w:t>
      </w:r>
      <w:r w:rsidR="00294822">
        <w:rPr>
          <w:lang w:val="fr-CH"/>
        </w:rPr>
        <w:noBreakHyphen/>
      </w:r>
      <w:r w:rsidRPr="007C4E56">
        <w:rPr>
          <w:lang w:val="fr-CH"/>
        </w:rPr>
        <w:t>2 400 MHz, 2 500-2 690 MHz et 3 400-3 600 MHz;</w:t>
      </w:r>
    </w:p>
    <w:p w:rsidR="0010644A" w:rsidRPr="007C4E56" w:rsidRDefault="0010644A" w:rsidP="00F25C11">
      <w:pPr>
        <w:rPr>
          <w:lang w:val="fr-CH"/>
        </w:rPr>
      </w:pPr>
      <w:r w:rsidRPr="007C4E56">
        <w:rPr>
          <w:i/>
          <w:iCs/>
          <w:lang w:val="fr-CH"/>
        </w:rPr>
        <w:t>f)</w:t>
      </w:r>
      <w:r w:rsidRPr="007C4E56">
        <w:rPr>
          <w:i/>
          <w:iCs/>
          <w:lang w:val="fr-CH"/>
        </w:rPr>
        <w:tab/>
      </w:r>
      <w:r w:rsidRPr="007C4E56">
        <w:rPr>
          <w:lang w:val="fr-CH"/>
        </w:rPr>
        <w:t xml:space="preserve">qu'il est souhaitable d'utiliser des bandes harmonisées à l'échelle mondiale pour les IMT afin de parvenir à </w:t>
      </w:r>
      <w:r w:rsidR="00F25C11">
        <w:rPr>
          <w:lang w:val="fr-CH"/>
        </w:rPr>
        <w:t>l'itinérance</w:t>
      </w:r>
      <w:r w:rsidRPr="007C4E56">
        <w:rPr>
          <w:lang w:val="fr-CH"/>
        </w:rPr>
        <w:t xml:space="preserve"> mondiale et de tirer parti des économies d'échelle;</w:t>
      </w:r>
    </w:p>
    <w:p w:rsidR="0010644A" w:rsidRPr="007C4E56" w:rsidRDefault="0010644A" w:rsidP="0010644A">
      <w:pPr>
        <w:pStyle w:val="Call"/>
        <w:rPr>
          <w:lang w:val="fr-CH"/>
        </w:rPr>
      </w:pPr>
      <w:r w:rsidRPr="007C4E56">
        <w:rPr>
          <w:lang w:val="fr-CH"/>
        </w:rPr>
        <w:t>notant</w:t>
      </w:r>
    </w:p>
    <w:p w:rsidR="0010644A" w:rsidRPr="007C4E56" w:rsidRDefault="0010644A" w:rsidP="0010644A">
      <w:pPr>
        <w:rPr>
          <w:lang w:val="fr-CH"/>
        </w:rPr>
      </w:pPr>
      <w:r w:rsidRPr="007C4E56">
        <w:rPr>
          <w:i/>
          <w:iCs/>
          <w:lang w:val="fr-CH"/>
        </w:rPr>
        <w:t>a)</w:t>
      </w:r>
      <w:r w:rsidRPr="007C4E56">
        <w:rPr>
          <w:i/>
          <w:iCs/>
          <w:lang w:val="fr-CH"/>
        </w:rPr>
        <w:tab/>
      </w:r>
      <w:r w:rsidRPr="007C4E56">
        <w:rPr>
          <w:lang w:val="fr-CH"/>
        </w:rPr>
        <w:t xml:space="preserve">que les récepteurs des stations terriennes du SFS reçoivent des signaux de </w:t>
      </w:r>
      <w:r w:rsidRPr="007C4E56">
        <w:rPr>
          <w:color w:val="000000"/>
          <w:lang w:val="fr-CH"/>
        </w:rPr>
        <w:t xml:space="preserve">l'espace extra-atmosphérique </w:t>
      </w:r>
      <w:r w:rsidRPr="007C4E56">
        <w:rPr>
          <w:lang w:val="fr-CH"/>
        </w:rPr>
        <w:t>à de très faibles niveaux de puissa</w:t>
      </w:r>
      <w:r>
        <w:rPr>
          <w:lang w:val="fr-CH"/>
        </w:rPr>
        <w:t>nce surfacique, en particulier d</w:t>
      </w:r>
      <w:r w:rsidRPr="007C4E56">
        <w:rPr>
          <w:lang w:val="fr-CH"/>
        </w:rPr>
        <w:t xml:space="preserve">es signaux de télémesure émis par des satellites, ce qui les </w:t>
      </w:r>
      <w:r>
        <w:rPr>
          <w:lang w:val="fr-CH"/>
        </w:rPr>
        <w:t xml:space="preserve">rend particulièrement vulnérables </w:t>
      </w:r>
      <w:r w:rsidRPr="007C4E56">
        <w:rPr>
          <w:lang w:val="fr-CH"/>
        </w:rPr>
        <w:t>aux brouillages causés par des stations exploitées dan</w:t>
      </w:r>
      <w:r>
        <w:rPr>
          <w:lang w:val="fr-CH"/>
        </w:rPr>
        <w:t>s la même bande de fréquences et</w:t>
      </w:r>
      <w:r w:rsidRPr="007C4E56">
        <w:rPr>
          <w:lang w:val="fr-CH"/>
        </w:rPr>
        <w:t xml:space="preserve"> dans des bandes de fréquences adjacentes;</w:t>
      </w:r>
    </w:p>
    <w:p w:rsidR="0010644A" w:rsidRPr="007C4E56" w:rsidRDefault="0010644A" w:rsidP="00815A4A">
      <w:pPr>
        <w:rPr>
          <w:lang w:val="fr-CH"/>
        </w:rPr>
      </w:pPr>
      <w:r w:rsidRPr="007C4E56">
        <w:rPr>
          <w:i/>
          <w:iCs/>
          <w:lang w:val="fr-CH"/>
        </w:rPr>
        <w:t>b)</w:t>
      </w:r>
      <w:r w:rsidRPr="007C4E56">
        <w:rPr>
          <w:i/>
          <w:iCs/>
          <w:lang w:val="fr-CH"/>
        </w:rPr>
        <w:tab/>
      </w:r>
      <w:r w:rsidR="00200D74">
        <w:rPr>
          <w:lang w:val="fr-CH"/>
        </w:rPr>
        <w:t>qu'en l'</w:t>
      </w:r>
      <w:r w:rsidRPr="007C4E56">
        <w:rPr>
          <w:lang w:val="fr-CH"/>
        </w:rPr>
        <w:t xml:space="preserve">absence de restrictions techniques et opérationnelles appropriées concernant </w:t>
      </w:r>
      <w:r>
        <w:rPr>
          <w:lang w:val="fr-CH"/>
        </w:rPr>
        <w:t>l'exploitation des</w:t>
      </w:r>
      <w:r w:rsidRPr="007C4E56">
        <w:rPr>
          <w:lang w:val="fr-CH"/>
        </w:rPr>
        <w:t xml:space="preserve"> IMT, les </w:t>
      </w:r>
      <w:r w:rsidRPr="007C4E56">
        <w:rPr>
          <w:color w:val="000000"/>
          <w:lang w:val="fr-CH"/>
        </w:rPr>
        <w:t xml:space="preserve">stations terriennes de réception du SFS </w:t>
      </w:r>
      <w:r>
        <w:rPr>
          <w:color w:val="000000"/>
          <w:lang w:val="fr-CH"/>
        </w:rPr>
        <w:t>fonctionnant dans</w:t>
      </w:r>
      <w:r w:rsidRPr="007C4E56">
        <w:rPr>
          <w:color w:val="000000"/>
          <w:lang w:val="fr-CH"/>
        </w:rPr>
        <w:t xml:space="preserve"> la bande </w:t>
      </w:r>
      <w:r>
        <w:rPr>
          <w:lang w:val="fr-CH"/>
        </w:rPr>
        <w:t>3</w:t>
      </w:r>
      <w:r w:rsidR="00815A4A">
        <w:rPr>
          <w:lang w:val="fr-CH"/>
        </w:rPr>
        <w:t> </w:t>
      </w:r>
      <w:r>
        <w:rPr>
          <w:lang w:val="fr-CH"/>
        </w:rPr>
        <w:t>600-</w:t>
      </w:r>
      <w:r w:rsidRPr="007C4E56">
        <w:rPr>
          <w:lang w:val="fr-CH"/>
        </w:rPr>
        <w:t xml:space="preserve">4 200 MHz pourraient subir des brouillages préjudiciables </w:t>
      </w:r>
      <w:r>
        <w:rPr>
          <w:lang w:val="fr-CH"/>
        </w:rPr>
        <w:t xml:space="preserve">dus à des brouillages </w:t>
      </w:r>
      <w:r w:rsidRPr="007C4E56">
        <w:rPr>
          <w:color w:val="000000"/>
        </w:rPr>
        <w:t xml:space="preserve">provenant </w:t>
      </w:r>
      <w:r>
        <w:rPr>
          <w:color w:val="000000"/>
        </w:rPr>
        <w:t>d'une</w:t>
      </w:r>
      <w:r w:rsidRPr="007C4E56">
        <w:rPr>
          <w:color w:val="000000"/>
        </w:rPr>
        <w:t xml:space="preserve"> source </w:t>
      </w:r>
      <w:r>
        <w:rPr>
          <w:color w:val="000000"/>
        </w:rPr>
        <w:t xml:space="preserve">unique et/ou à des brouillages cumulatifs </w:t>
      </w:r>
      <w:r w:rsidRPr="007C4E56">
        <w:rPr>
          <w:color w:val="000000"/>
        </w:rPr>
        <w:t>causés</w:t>
      </w:r>
      <w:r>
        <w:rPr>
          <w:color w:val="000000"/>
        </w:rPr>
        <w:t xml:space="preserve"> par d</w:t>
      </w:r>
      <w:r w:rsidRPr="007C4E56">
        <w:rPr>
          <w:color w:val="000000"/>
        </w:rPr>
        <w:t>es stations de base IMT et</w:t>
      </w:r>
      <w:r>
        <w:rPr>
          <w:color w:val="000000"/>
        </w:rPr>
        <w:t xml:space="preserve"> d</w:t>
      </w:r>
      <w:r w:rsidRPr="007C4E56">
        <w:rPr>
          <w:color w:val="000000"/>
        </w:rPr>
        <w:t xml:space="preserve">es terminaux mobiles IMT exploités dans la bande de fréquences </w:t>
      </w:r>
      <w:r w:rsidRPr="007C4E56">
        <w:rPr>
          <w:lang w:val="fr-CH"/>
        </w:rPr>
        <w:t>3</w:t>
      </w:r>
      <w:r>
        <w:rPr>
          <w:lang w:val="fr-CH"/>
        </w:rPr>
        <w:t xml:space="preserve"> 400-</w:t>
      </w:r>
      <w:r w:rsidRPr="007C4E56">
        <w:rPr>
          <w:lang w:val="fr-CH"/>
        </w:rPr>
        <w:t>3 600 MHz;</w:t>
      </w:r>
    </w:p>
    <w:p w:rsidR="0010644A" w:rsidRPr="007C4E56" w:rsidRDefault="0010644A" w:rsidP="0010644A">
      <w:pPr>
        <w:rPr>
          <w:lang w:val="fr-CH"/>
        </w:rPr>
      </w:pPr>
      <w:r w:rsidRPr="007C4E56">
        <w:rPr>
          <w:i/>
          <w:iCs/>
          <w:lang w:val="fr-CH"/>
        </w:rPr>
        <w:t>c)</w:t>
      </w:r>
      <w:r w:rsidRPr="007C4E56">
        <w:rPr>
          <w:i/>
          <w:iCs/>
          <w:lang w:val="fr-CH"/>
        </w:rPr>
        <w:tab/>
      </w:r>
      <w:r w:rsidRPr="007C4E56">
        <w:rPr>
          <w:lang w:val="fr-CH"/>
        </w:rPr>
        <w:t xml:space="preserve">que les interfaces radioélectriques de Terre des IMT, telles qu'elles sont définies dans les Recommandations UIT-R M.1457 et UIT-R M.2012, devraient évoluer à l'UIT-R, par rapport aux interfaces spécifiées initialement, de façon à fournir des services améliorés ainsi que des services en plus de ceux envisagés au cours de la mise en </w:t>
      </w:r>
      <w:r w:rsidR="00200D74" w:rsidRPr="007C4E56">
        <w:rPr>
          <w:lang w:val="fr-CH"/>
        </w:rPr>
        <w:t>œuvre</w:t>
      </w:r>
      <w:r w:rsidRPr="007C4E56">
        <w:rPr>
          <w:lang w:val="fr-CH"/>
        </w:rPr>
        <w:t xml:space="preserve"> initiale;</w:t>
      </w:r>
    </w:p>
    <w:p w:rsidR="0010644A" w:rsidRPr="007C4E56" w:rsidRDefault="0010644A" w:rsidP="0010644A">
      <w:pPr>
        <w:pStyle w:val="Call"/>
        <w:rPr>
          <w:lang w:val="fr-CH"/>
        </w:rPr>
      </w:pPr>
      <w:r w:rsidRPr="007C4E56">
        <w:rPr>
          <w:lang w:val="fr-CH"/>
        </w:rPr>
        <w:t>invite l'UIT-R</w:t>
      </w:r>
    </w:p>
    <w:p w:rsidR="0010644A" w:rsidRPr="007C4E56" w:rsidRDefault="0010644A" w:rsidP="00294822">
      <w:pPr>
        <w:rPr>
          <w:szCs w:val="24"/>
          <w:lang w:val="fr-CH"/>
        </w:rPr>
      </w:pPr>
      <w:r w:rsidRPr="007C4E56">
        <w:rPr>
          <w:lang w:val="fr-CH"/>
        </w:rPr>
        <w:t>1</w:t>
      </w:r>
      <w:r w:rsidRPr="007C4E56">
        <w:rPr>
          <w:lang w:val="fr-CH"/>
        </w:rPr>
        <w:tab/>
        <w:t xml:space="preserve">à fournir des lignes directrices et </w:t>
      </w:r>
      <w:r>
        <w:rPr>
          <w:lang w:val="fr-CH"/>
        </w:rPr>
        <w:t xml:space="preserve">à indiquer </w:t>
      </w:r>
      <w:r w:rsidRPr="007C4E56">
        <w:rPr>
          <w:lang w:val="fr-CH"/>
        </w:rPr>
        <w:t>des mesures appropriées, notamment</w:t>
      </w:r>
      <w:r>
        <w:rPr>
          <w:lang w:val="fr-CH"/>
        </w:rPr>
        <w:t>, mais non exclusivement,</w:t>
      </w:r>
      <w:r w:rsidRPr="007C4E56">
        <w:rPr>
          <w:lang w:val="fr-CH"/>
        </w:rPr>
        <w:t xml:space="preserve"> des bandes de garde, des distances de séparation et des limites de puissance, pour la mise en </w:t>
      </w:r>
      <w:r w:rsidR="00A57FC0" w:rsidRPr="007C4E56">
        <w:rPr>
          <w:lang w:val="fr-CH"/>
        </w:rPr>
        <w:t>œuvre</w:t>
      </w:r>
      <w:r w:rsidRPr="007C4E56">
        <w:rPr>
          <w:lang w:val="fr-CH"/>
        </w:rPr>
        <w:t xml:space="preserve"> de</w:t>
      </w:r>
      <w:r>
        <w:rPr>
          <w:lang w:val="fr-CH"/>
        </w:rPr>
        <w:t>s</w:t>
      </w:r>
      <w:r w:rsidRPr="007C4E56">
        <w:rPr>
          <w:lang w:val="fr-CH"/>
        </w:rPr>
        <w:t xml:space="preserve"> systèmes IMT dans la bande </w:t>
      </w:r>
      <w:r w:rsidR="00200D74">
        <w:rPr>
          <w:szCs w:val="24"/>
          <w:lang w:val="fr-CH"/>
        </w:rPr>
        <w:t>3</w:t>
      </w:r>
      <w:bookmarkStart w:id="10" w:name="_GoBack"/>
      <w:bookmarkEnd w:id="10"/>
      <w:r w:rsidR="00200D74">
        <w:rPr>
          <w:szCs w:val="24"/>
          <w:lang w:val="fr-CH"/>
        </w:rPr>
        <w:t xml:space="preserve"> 400-3 600 MHz afin d'</w:t>
      </w:r>
      <w:r w:rsidRPr="007C4E56">
        <w:rPr>
          <w:szCs w:val="24"/>
          <w:lang w:val="fr-CH"/>
        </w:rPr>
        <w:t xml:space="preserve">éviter que des brouillages préjudiciables </w:t>
      </w:r>
      <w:r>
        <w:rPr>
          <w:szCs w:val="24"/>
          <w:lang w:val="fr-CH"/>
        </w:rPr>
        <w:t xml:space="preserve">ne </w:t>
      </w:r>
      <w:r w:rsidRPr="007C4E56">
        <w:rPr>
          <w:szCs w:val="24"/>
          <w:lang w:val="fr-CH"/>
        </w:rPr>
        <w:t xml:space="preserve">soient causés aux systèmes du SFS exploités dans la bande </w:t>
      </w:r>
      <w:r>
        <w:rPr>
          <w:szCs w:val="24"/>
          <w:lang w:val="fr-CH"/>
        </w:rPr>
        <w:t>3</w:t>
      </w:r>
      <w:r w:rsidR="00294822">
        <w:rPr>
          <w:szCs w:val="24"/>
          <w:lang w:val="fr-CH"/>
        </w:rPr>
        <w:t> </w:t>
      </w:r>
      <w:r>
        <w:rPr>
          <w:szCs w:val="24"/>
          <w:lang w:val="fr-CH"/>
        </w:rPr>
        <w:t>600</w:t>
      </w:r>
      <w:r w:rsidR="00294822">
        <w:rPr>
          <w:szCs w:val="24"/>
          <w:lang w:val="fr-CH"/>
        </w:rPr>
        <w:noBreakHyphen/>
      </w:r>
      <w:r w:rsidRPr="007C4E56">
        <w:rPr>
          <w:szCs w:val="24"/>
          <w:lang w:val="fr-CH"/>
        </w:rPr>
        <w:t>4</w:t>
      </w:r>
      <w:r w:rsidR="00294822">
        <w:rPr>
          <w:szCs w:val="24"/>
          <w:lang w:val="fr-CH"/>
        </w:rPr>
        <w:t> </w:t>
      </w:r>
      <w:r w:rsidRPr="007C4E56">
        <w:rPr>
          <w:szCs w:val="24"/>
          <w:lang w:val="fr-CH"/>
        </w:rPr>
        <w:t>200 MHz;</w:t>
      </w:r>
    </w:p>
    <w:p w:rsidR="0010644A" w:rsidRPr="007C4E56" w:rsidRDefault="0010644A" w:rsidP="0010644A">
      <w:pPr>
        <w:rPr>
          <w:lang w:val="fr-CH"/>
        </w:rPr>
      </w:pPr>
      <w:r w:rsidRPr="007C4E56">
        <w:rPr>
          <w:szCs w:val="24"/>
          <w:lang w:val="fr-CH"/>
        </w:rPr>
        <w:t>2</w:t>
      </w:r>
      <w:r w:rsidRPr="007C4E56">
        <w:rPr>
          <w:szCs w:val="24"/>
          <w:lang w:val="fr-CH"/>
        </w:rPr>
        <w:tab/>
      </w:r>
      <w:r w:rsidRPr="007C4E56">
        <w:rPr>
          <w:lang w:val="fr-CH"/>
        </w:rPr>
        <w:t>à définir des dispositions de fréquences harmonisées pour la bande 3 400-3 600 MHz aux fins d'exploitation de la composante de Terre des IMT, compte tenu des résultats des études de partage et de compatibilité;</w:t>
      </w:r>
    </w:p>
    <w:p w:rsidR="000E1B7A" w:rsidRDefault="0010644A" w:rsidP="00200D74">
      <w:r w:rsidRPr="007C4E56">
        <w:rPr>
          <w:lang w:val="fr-CH"/>
        </w:rPr>
        <w:t>3</w:t>
      </w:r>
      <w:r w:rsidRPr="007C4E56">
        <w:rPr>
          <w:lang w:val="fr-CH"/>
        </w:rPr>
        <w:tab/>
      </w:r>
      <w:r>
        <w:rPr>
          <w:lang w:val="fr-CH"/>
        </w:rPr>
        <w:t>à intégrer c</w:t>
      </w:r>
      <w:r w:rsidRPr="007C4E56">
        <w:rPr>
          <w:lang w:val="fr-CH"/>
        </w:rPr>
        <w:t>es lignes directrices ainsi que les dispositions de fréquences pour les réseaux IMT dans des recommandations, des résolutions ou des rapports de l</w:t>
      </w:r>
      <w:r w:rsidR="00200D74">
        <w:rPr>
          <w:lang w:val="fr-CH"/>
        </w:rPr>
        <w:t>'</w:t>
      </w:r>
      <w:r w:rsidRPr="007C4E56">
        <w:rPr>
          <w:lang w:val="fr-CH"/>
        </w:rPr>
        <w:t>UIT-R, selon qu</w:t>
      </w:r>
      <w:r w:rsidR="00200D74">
        <w:rPr>
          <w:lang w:val="fr-CH"/>
        </w:rPr>
        <w:t>'</w:t>
      </w:r>
      <w:r w:rsidRPr="007C4E56">
        <w:rPr>
          <w:lang w:val="fr-CH"/>
        </w:rPr>
        <w:t>il conviendra.</w:t>
      </w:r>
    </w:p>
    <w:p w:rsidR="0010644A" w:rsidRPr="007C4E56" w:rsidRDefault="0010644A" w:rsidP="0010644A">
      <w:pPr>
        <w:pStyle w:val="Reasons"/>
        <w:rPr>
          <w:szCs w:val="24"/>
          <w:lang w:val="fr-CH"/>
        </w:rPr>
      </w:pPr>
      <w:r w:rsidRPr="007C4E56">
        <w:rPr>
          <w:b/>
          <w:lang w:val="fr-CH"/>
        </w:rPr>
        <w:t>Motifs:</w:t>
      </w:r>
      <w:r w:rsidR="00200D74">
        <w:rPr>
          <w:lang w:val="fr-CH"/>
        </w:rPr>
        <w:tab/>
        <w:t>Demander à l'</w:t>
      </w:r>
      <w:r w:rsidRPr="007C4E56">
        <w:rPr>
          <w:lang w:val="fr-CH"/>
        </w:rPr>
        <w:t xml:space="preserve">UIT-R de fournir des lignes directrices concernant la mise en œuvre des IMT </w:t>
      </w:r>
      <w:r>
        <w:rPr>
          <w:lang w:val="fr-CH"/>
        </w:rPr>
        <w:t xml:space="preserve">dans la bande 3 400-3 600 MHz </w:t>
      </w:r>
      <w:r w:rsidR="00200D74">
        <w:rPr>
          <w:lang w:val="fr-CH"/>
        </w:rPr>
        <w:t>afin d'</w:t>
      </w:r>
      <w:r w:rsidRPr="007C4E56">
        <w:rPr>
          <w:lang w:val="fr-CH"/>
        </w:rPr>
        <w:t xml:space="preserve">assurer la coexistence avec les systèmes du SFS exploités dans la gamme </w:t>
      </w:r>
      <w:r w:rsidRPr="007C4E56">
        <w:rPr>
          <w:szCs w:val="24"/>
          <w:lang w:val="fr-CH"/>
        </w:rPr>
        <w:t>3 600-4 200 MHz.</w:t>
      </w:r>
    </w:p>
    <w:p w:rsidR="0010644A" w:rsidRPr="007C4E56" w:rsidRDefault="0010644A" w:rsidP="0010644A">
      <w:pPr>
        <w:pStyle w:val="Reasons"/>
        <w:rPr>
          <w:lang w:val="fr-CH"/>
        </w:rPr>
      </w:pPr>
    </w:p>
    <w:p w:rsidR="0010644A" w:rsidRDefault="0010644A" w:rsidP="0010644A">
      <w:pPr>
        <w:jc w:val="center"/>
      </w:pPr>
      <w:r w:rsidRPr="007C4E56">
        <w:t>______________</w:t>
      </w:r>
    </w:p>
    <w:sectPr w:rsidR="0010644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altName w:val="Arial Unicode MS"/>
    <w:panose1 w:val="00000000000000000000"/>
    <w:charset w:val="81"/>
    <w:family w:val="roman"/>
    <w:notTrueType/>
    <w:pitch w:val="default"/>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85A1B">
      <w:rPr>
        <w:noProof/>
        <w:lang w:val="en-US"/>
      </w:rPr>
      <w:t>P:\FRA\ITU-R\CONF-R\CMR15\000\007ADD01ADD07REV1F.docx</w:t>
    </w:r>
    <w:r>
      <w:fldChar w:fldCharType="end"/>
    </w:r>
    <w:r>
      <w:rPr>
        <w:lang w:val="en-US"/>
      </w:rPr>
      <w:tab/>
    </w:r>
    <w:r>
      <w:fldChar w:fldCharType="begin"/>
    </w:r>
    <w:r>
      <w:instrText xml:space="preserve"> SAVEDATE \@ DD.MM.YY </w:instrText>
    </w:r>
    <w:r>
      <w:fldChar w:fldCharType="separate"/>
    </w:r>
    <w:r w:rsidR="006A7D0C">
      <w:rPr>
        <w:noProof/>
      </w:rPr>
      <w:t>04.11.15</w:t>
    </w:r>
    <w:r>
      <w:fldChar w:fldCharType="end"/>
    </w:r>
    <w:r>
      <w:rPr>
        <w:lang w:val="en-US"/>
      </w:rPr>
      <w:tab/>
    </w:r>
    <w:r>
      <w:fldChar w:fldCharType="begin"/>
    </w:r>
    <w:r>
      <w:instrText xml:space="preserve"> PRINTDATE \@ DD.MM.YY </w:instrText>
    </w:r>
    <w:r>
      <w:fldChar w:fldCharType="separate"/>
    </w:r>
    <w:r w:rsidR="00685A1B">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85A1B">
      <w:rPr>
        <w:lang w:val="en-US"/>
      </w:rPr>
      <w:t>P:\FRA\ITU-R\CONF-R\CMR15\000\007ADD01ADD07REV1F.docx</w:t>
    </w:r>
    <w:r>
      <w:fldChar w:fldCharType="end"/>
    </w:r>
    <w:r w:rsidR="00E94FA2" w:rsidRPr="00E94FA2">
      <w:rPr>
        <w:lang w:val="en-US"/>
      </w:rPr>
      <w:t xml:space="preserve"> (389653)</w:t>
    </w:r>
    <w:r>
      <w:rPr>
        <w:lang w:val="en-US"/>
      </w:rPr>
      <w:tab/>
    </w:r>
    <w:r>
      <w:fldChar w:fldCharType="begin"/>
    </w:r>
    <w:r>
      <w:instrText xml:space="preserve"> SAVEDATE \@ DD.MM.YY </w:instrText>
    </w:r>
    <w:r>
      <w:fldChar w:fldCharType="separate"/>
    </w:r>
    <w:r w:rsidR="006A7D0C">
      <w:t>04.11.15</w:t>
    </w:r>
    <w:r>
      <w:fldChar w:fldCharType="end"/>
    </w:r>
    <w:r>
      <w:rPr>
        <w:lang w:val="en-US"/>
      </w:rPr>
      <w:tab/>
    </w:r>
    <w:r>
      <w:fldChar w:fldCharType="begin"/>
    </w:r>
    <w:r>
      <w:instrText xml:space="preserve"> PRINTDATE \@ DD.MM.YY </w:instrText>
    </w:r>
    <w:r>
      <w:fldChar w:fldCharType="separate"/>
    </w:r>
    <w:r w:rsidR="00685A1B">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85A1B">
      <w:rPr>
        <w:lang w:val="en-US"/>
      </w:rPr>
      <w:t>P:\FRA\ITU-R\CONF-R\CMR15\000\007ADD01ADD07REV1F.docx</w:t>
    </w:r>
    <w:r>
      <w:fldChar w:fldCharType="end"/>
    </w:r>
    <w:r w:rsidR="00E94FA2" w:rsidRPr="00E94FA2">
      <w:rPr>
        <w:lang w:val="en-US"/>
      </w:rPr>
      <w:t xml:space="preserve"> (389653)</w:t>
    </w:r>
    <w:r>
      <w:rPr>
        <w:lang w:val="en-US"/>
      </w:rPr>
      <w:tab/>
    </w:r>
    <w:r>
      <w:fldChar w:fldCharType="begin"/>
    </w:r>
    <w:r>
      <w:instrText xml:space="preserve"> SAVEDATE \@ DD.MM.YY </w:instrText>
    </w:r>
    <w:r>
      <w:fldChar w:fldCharType="separate"/>
    </w:r>
    <w:r w:rsidR="006A7D0C">
      <w:t>04.11.15</w:t>
    </w:r>
    <w:r>
      <w:fldChar w:fldCharType="end"/>
    </w:r>
    <w:r>
      <w:rPr>
        <w:lang w:val="en-US"/>
      </w:rPr>
      <w:tab/>
    </w:r>
    <w:r>
      <w:fldChar w:fldCharType="begin"/>
    </w:r>
    <w:r>
      <w:instrText xml:space="preserve"> PRINTDATE \@ DD.MM.YY </w:instrText>
    </w:r>
    <w:r>
      <w:fldChar w:fldCharType="separate"/>
    </w:r>
    <w:r w:rsidR="00685A1B">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A7D0C">
      <w:rPr>
        <w:noProof/>
      </w:rPr>
      <w:t>5</w:t>
    </w:r>
    <w:r>
      <w:fldChar w:fldCharType="end"/>
    </w:r>
  </w:p>
  <w:p w:rsidR="004F1F8E" w:rsidRDefault="004F1F8E" w:rsidP="002C28A4">
    <w:pPr>
      <w:pStyle w:val="Header"/>
    </w:pPr>
    <w:r>
      <w:t>CMR1</w:t>
    </w:r>
    <w:r w:rsidR="002C28A4">
      <w:t>5</w:t>
    </w:r>
    <w:r>
      <w:t>/</w:t>
    </w:r>
    <w:r w:rsidR="0010644A">
      <w:t>7(Add.1)(Add.7)(Ré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1B7A"/>
    <w:rsid w:val="0010644A"/>
    <w:rsid w:val="001167B9"/>
    <w:rsid w:val="001267A0"/>
    <w:rsid w:val="0015203F"/>
    <w:rsid w:val="00160C64"/>
    <w:rsid w:val="0018169B"/>
    <w:rsid w:val="0019352B"/>
    <w:rsid w:val="001960D0"/>
    <w:rsid w:val="001A3FD2"/>
    <w:rsid w:val="001F17E8"/>
    <w:rsid w:val="00200D74"/>
    <w:rsid w:val="00204306"/>
    <w:rsid w:val="00232FD2"/>
    <w:rsid w:val="0026554E"/>
    <w:rsid w:val="00294822"/>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66A9A"/>
    <w:rsid w:val="00685A1B"/>
    <w:rsid w:val="00690C7B"/>
    <w:rsid w:val="006A4B45"/>
    <w:rsid w:val="006A7D0C"/>
    <w:rsid w:val="006D4724"/>
    <w:rsid w:val="00701BAE"/>
    <w:rsid w:val="00721F04"/>
    <w:rsid w:val="00730E95"/>
    <w:rsid w:val="007426B9"/>
    <w:rsid w:val="00764342"/>
    <w:rsid w:val="00774362"/>
    <w:rsid w:val="00786598"/>
    <w:rsid w:val="007A04E8"/>
    <w:rsid w:val="00815A4A"/>
    <w:rsid w:val="00851625"/>
    <w:rsid w:val="00863C0A"/>
    <w:rsid w:val="008A3120"/>
    <w:rsid w:val="008D41BE"/>
    <w:rsid w:val="008D58D3"/>
    <w:rsid w:val="00923064"/>
    <w:rsid w:val="00930FFD"/>
    <w:rsid w:val="009361B0"/>
    <w:rsid w:val="00936D25"/>
    <w:rsid w:val="00941EA5"/>
    <w:rsid w:val="00964700"/>
    <w:rsid w:val="00966C16"/>
    <w:rsid w:val="0098732F"/>
    <w:rsid w:val="009A045F"/>
    <w:rsid w:val="009C7E7C"/>
    <w:rsid w:val="00A00473"/>
    <w:rsid w:val="00A03C9B"/>
    <w:rsid w:val="00A37105"/>
    <w:rsid w:val="00A57FC0"/>
    <w:rsid w:val="00A606C3"/>
    <w:rsid w:val="00A83B09"/>
    <w:rsid w:val="00A84541"/>
    <w:rsid w:val="00A94D63"/>
    <w:rsid w:val="00AE36A0"/>
    <w:rsid w:val="00B00294"/>
    <w:rsid w:val="00B64FD0"/>
    <w:rsid w:val="00BA5BD0"/>
    <w:rsid w:val="00BB1D82"/>
    <w:rsid w:val="00BF26E7"/>
    <w:rsid w:val="00C53FCA"/>
    <w:rsid w:val="00C64932"/>
    <w:rsid w:val="00C76BAF"/>
    <w:rsid w:val="00C814B9"/>
    <w:rsid w:val="00CD516F"/>
    <w:rsid w:val="00D119A7"/>
    <w:rsid w:val="00D13F0B"/>
    <w:rsid w:val="00D25FBA"/>
    <w:rsid w:val="00D32B28"/>
    <w:rsid w:val="00D42954"/>
    <w:rsid w:val="00D66EAC"/>
    <w:rsid w:val="00D730DF"/>
    <w:rsid w:val="00D75FAB"/>
    <w:rsid w:val="00D772F0"/>
    <w:rsid w:val="00D77BDC"/>
    <w:rsid w:val="00DC402B"/>
    <w:rsid w:val="00DD210A"/>
    <w:rsid w:val="00DE0932"/>
    <w:rsid w:val="00E03A27"/>
    <w:rsid w:val="00E049F1"/>
    <w:rsid w:val="00E37A25"/>
    <w:rsid w:val="00E537FF"/>
    <w:rsid w:val="00E6539B"/>
    <w:rsid w:val="00E70A31"/>
    <w:rsid w:val="00E94FA2"/>
    <w:rsid w:val="00EA3F38"/>
    <w:rsid w:val="00EA5AB6"/>
    <w:rsid w:val="00EC7615"/>
    <w:rsid w:val="00ED16AA"/>
    <w:rsid w:val="00EF662E"/>
    <w:rsid w:val="00F148F1"/>
    <w:rsid w:val="00F25C11"/>
    <w:rsid w:val="00F4242D"/>
    <w:rsid w:val="00F7158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2091417-0B2E-4522-9D05-262F95CA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rmalaftertitleChar">
    <w:name w:val="Normal after title Char"/>
    <w:link w:val="Normalaftertitle"/>
    <w:rsid w:val="0010644A"/>
    <w:rPr>
      <w:rFonts w:ascii="Times New Roman" w:hAnsi="Times New Roman"/>
      <w:sz w:val="24"/>
      <w:lang w:val="fr-FR" w:eastAsia="en-US"/>
    </w:rPr>
  </w:style>
  <w:style w:type="character" w:customStyle="1" w:styleId="CallChar">
    <w:name w:val="Call Char"/>
    <w:basedOn w:val="DefaultParagraphFont"/>
    <w:link w:val="Call"/>
    <w:locked/>
    <w:rsid w:val="0010644A"/>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R15-WRC15-C-0007!A1-A7-R1!MSW-F</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5FA17146-E080-41DE-AA14-706C6BC04DF8}">
  <ds:schemaRefs>
    <ds:schemaRef ds:uri="996b2e75-67fd-4955-a3b0-5ab9934cb50b"/>
    <ds:schemaRef ds:uri="http://purl.org/dc/dcmitype/"/>
    <ds:schemaRef ds:uri="http://schemas.microsoft.com/office/2006/documentManagement/types"/>
    <ds:schemaRef ds:uri="http://schemas.microsoft.com/office/infopath/2007/PartnerControls"/>
    <ds:schemaRef ds:uri="32a1a8c5-2265-4ebc-b7a0-2071e2c5c9bb"/>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1642</Words>
  <Characters>9001</Characters>
  <Application>Microsoft Office Word</Application>
  <DocSecurity>0</DocSecurity>
  <Lines>346</Lines>
  <Paragraphs>183</Paragraphs>
  <ScaleCrop>false</ScaleCrop>
  <HeadingPairs>
    <vt:vector size="2" baseType="variant">
      <vt:variant>
        <vt:lpstr>Title</vt:lpstr>
      </vt:variant>
      <vt:variant>
        <vt:i4>1</vt:i4>
      </vt:variant>
    </vt:vector>
  </HeadingPairs>
  <TitlesOfParts>
    <vt:vector size="1" baseType="lpstr">
      <vt:lpstr>R15-WRC15-C-0007!A1-A7-R1!MSW-F</vt:lpstr>
    </vt:vector>
  </TitlesOfParts>
  <Manager>Secrétariat général - Pool</Manager>
  <Company>Union internationale des télécommunications (UIT)</Company>
  <LinksUpToDate>false</LinksUpToDate>
  <CharactersWithSpaces>10460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R15-WRC15-C-0007!A1-A7-R1!MSW-F</dc:title>
  <dc:subject>Conférence mondiale des radiocommunications - 2015</dc:subject>
  <dc:creator>Documents Proposals Manager (DPM)</dc:creator>
  <cp:keywords>DPM_v5.2015.11.4_prod</cp:keywords>
  <dc:description/>
  <cp:lastModifiedBy>Saxod, Nathalie</cp:lastModifiedBy>
  <cp:revision>11</cp:revision>
  <cp:lastPrinted>2015-11-04T18:53:00Z</cp:lastPrinted>
  <dcterms:created xsi:type="dcterms:W3CDTF">2015-11-04T18:39:00Z</dcterms:created>
  <dcterms:modified xsi:type="dcterms:W3CDTF">2015-11-04T22:44:00Z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