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9E2378"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9E2378"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07734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lang w:bidi="ar-EG"/>
              </w:rPr>
            </w:pPr>
            <w:r w:rsidRPr="0007734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7734E" w:rsidRDefault="003E1608" w:rsidP="003E1608">
            <w:pPr>
              <w:pStyle w:val="Adress"/>
              <w:framePr w:hSpace="0" w:wrap="auto" w:xAlign="left" w:yAlign="inline"/>
              <w:rPr>
                <w:rtl/>
              </w:rPr>
            </w:pPr>
            <w:r w:rsidRPr="0007734E">
              <w:rPr>
                <w:rtl/>
              </w:rPr>
              <w:t xml:space="preserve">الإضافة </w:t>
            </w:r>
            <w:r w:rsidRPr="0007734E">
              <w:t>6</w:t>
            </w:r>
            <w:r w:rsidRPr="0007734E">
              <w:br/>
            </w:r>
            <w:r w:rsidRPr="0007734E">
              <w:rPr>
                <w:rtl/>
              </w:rPr>
              <w:t xml:space="preserve">للوثيقة </w:t>
            </w:r>
            <w:r w:rsidRPr="0007734E">
              <w:t>7(Add.1)-</w:t>
            </w:r>
            <w:r w:rsidR="009E2378" w:rsidRPr="0007734E">
              <w:t>A</w:t>
            </w:r>
          </w:p>
        </w:tc>
      </w:tr>
      <w:tr w:rsidR="00764079" w:rsidTr="003E1608">
        <w:trPr>
          <w:cantSplit/>
        </w:trPr>
        <w:tc>
          <w:tcPr>
            <w:tcW w:w="6619" w:type="dxa"/>
            <w:shd w:val="clear" w:color="auto" w:fill="auto"/>
          </w:tcPr>
          <w:p w:rsidR="00764079" w:rsidRPr="0007734E" w:rsidRDefault="00764079" w:rsidP="00D44350">
            <w:pPr>
              <w:pStyle w:val="Adress"/>
              <w:framePr w:hSpace="0" w:wrap="auto" w:xAlign="left" w:yAlign="inline"/>
              <w:rPr>
                <w:rtl/>
              </w:rPr>
            </w:pPr>
          </w:p>
        </w:tc>
        <w:tc>
          <w:tcPr>
            <w:tcW w:w="3053" w:type="dxa"/>
            <w:shd w:val="clear" w:color="auto" w:fill="auto"/>
            <w:vAlign w:val="center"/>
          </w:tcPr>
          <w:p w:rsidR="00764079" w:rsidRPr="0007734E" w:rsidRDefault="00764079" w:rsidP="00D44350">
            <w:pPr>
              <w:pStyle w:val="Adress"/>
              <w:framePr w:hSpace="0" w:wrap="auto" w:xAlign="left" w:yAlign="inline"/>
              <w:rPr>
                <w:rtl/>
              </w:rPr>
            </w:pPr>
            <w:r w:rsidRPr="0007734E">
              <w:rPr>
                <w:rFonts w:eastAsia="SimSun"/>
              </w:rPr>
              <w:t>29</w:t>
            </w:r>
            <w:r w:rsidRPr="0007734E">
              <w:rPr>
                <w:rFonts w:eastAsia="SimSun"/>
                <w:rtl/>
              </w:rPr>
              <w:t xml:space="preserve"> سبتمبر </w:t>
            </w:r>
            <w:r w:rsidRPr="0007734E">
              <w:rPr>
                <w:rFonts w:eastAsia="SimSun"/>
              </w:rPr>
              <w:t>2015</w:t>
            </w:r>
          </w:p>
        </w:tc>
      </w:tr>
      <w:tr w:rsidR="00764079" w:rsidTr="003E1608">
        <w:trPr>
          <w:cantSplit/>
        </w:trPr>
        <w:tc>
          <w:tcPr>
            <w:tcW w:w="6619" w:type="dxa"/>
          </w:tcPr>
          <w:p w:rsidR="00764079" w:rsidRPr="0007734E" w:rsidRDefault="00764079" w:rsidP="00D44350">
            <w:pPr>
              <w:pStyle w:val="Adress"/>
              <w:framePr w:hSpace="0" w:wrap="auto" w:xAlign="left" w:yAlign="inline"/>
              <w:rPr>
                <w:rFonts w:eastAsia="SimSun" w:hint="eastAsia"/>
                <w:rtl/>
              </w:rPr>
            </w:pPr>
          </w:p>
        </w:tc>
        <w:tc>
          <w:tcPr>
            <w:tcW w:w="3053" w:type="dxa"/>
            <w:vAlign w:val="center"/>
          </w:tcPr>
          <w:p w:rsidR="00764079" w:rsidRPr="0007734E" w:rsidRDefault="00764079" w:rsidP="00D44350">
            <w:pPr>
              <w:pStyle w:val="Adress"/>
              <w:framePr w:hSpace="0" w:wrap="auto" w:xAlign="left" w:yAlign="inline"/>
              <w:rPr>
                <w:rFonts w:eastAsia="SimSun" w:hint="eastAsia"/>
              </w:rPr>
            </w:pPr>
            <w:r w:rsidRPr="0007734E">
              <w:rPr>
                <w:rFonts w:eastAsia="SimSun"/>
                <w:rtl/>
              </w:rPr>
              <w:t>الأصل: بالإنكليزية</w:t>
            </w:r>
          </w:p>
        </w:tc>
      </w:tr>
      <w:tr w:rsidR="00764079" w:rsidTr="003E1608">
        <w:trPr>
          <w:cantSplit/>
        </w:trPr>
        <w:tc>
          <w:tcPr>
            <w:tcW w:w="9672" w:type="dxa"/>
            <w:gridSpan w:val="2"/>
          </w:tcPr>
          <w:p w:rsidR="00764079" w:rsidRPr="009E2378"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9E2378">
            <w:pPr>
              <w:pStyle w:val="Source"/>
              <w:rPr>
                <w:rtl/>
              </w:rPr>
            </w:pPr>
            <w:r w:rsidRPr="008204AC">
              <w:rPr>
                <w:rtl/>
              </w:rPr>
              <w:t>الدول الأعضاء في</w:t>
            </w:r>
            <w:r w:rsidR="009E2378">
              <w:rPr>
                <w:rFonts w:hint="cs"/>
                <w:rtl/>
              </w:rPr>
              <w:t> </w:t>
            </w:r>
            <w:r w:rsidRPr="008204AC">
              <w:rPr>
                <w:rtl/>
              </w:rPr>
              <w:t xml:space="preserve">لجنة البلدان الأمريكية للاتصالات </w:t>
            </w:r>
            <w:r w:rsidR="009E2378">
              <w:t>(CITEL)</w:t>
            </w:r>
          </w:p>
        </w:tc>
      </w:tr>
      <w:tr w:rsidR="00764079" w:rsidTr="003E1608">
        <w:trPr>
          <w:cantSplit/>
        </w:trPr>
        <w:tc>
          <w:tcPr>
            <w:tcW w:w="9672" w:type="dxa"/>
            <w:gridSpan w:val="2"/>
          </w:tcPr>
          <w:p w:rsidR="00764079" w:rsidRPr="00BD6EF3" w:rsidRDefault="009E2378" w:rsidP="00D44350">
            <w:pPr>
              <w:pStyle w:val="Title1"/>
              <w:spacing w:before="240"/>
              <w:rPr>
                <w:rtl/>
              </w:rPr>
            </w:pPr>
            <w:r>
              <w:rPr>
                <w:rFonts w:hint="cs"/>
                <w:rtl/>
              </w:rPr>
              <w:t>مقترحات بشأن أعمال ال</w:t>
            </w:r>
            <w:r w:rsidR="00656F6A">
              <w:rPr>
                <w:rFonts w:hint="cs"/>
                <w:rtl/>
              </w:rPr>
              <w:t>‍</w:t>
            </w:r>
            <w:r>
              <w:rPr>
                <w:rFonts w:hint="cs"/>
                <w:rtl/>
              </w:rPr>
              <w:t>مؤت</w:t>
            </w:r>
            <w:r w:rsidR="00656F6A">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E2378">
            <w:pPr>
              <w:pStyle w:val="Agendaitem"/>
              <w:spacing w:before="240" w:line="192" w:lineRule="auto"/>
            </w:pPr>
            <w:r w:rsidRPr="008204AC">
              <w:rPr>
                <w:rtl/>
              </w:rPr>
              <w:t xml:space="preserve">البنـد </w:t>
            </w:r>
            <w:r w:rsidR="009E2378">
              <w:t>1.1</w:t>
            </w:r>
            <w:r w:rsidRPr="008204AC">
              <w:rPr>
                <w:rtl/>
              </w:rPr>
              <w:t xml:space="preserve"> من جدول الأعمال</w:t>
            </w:r>
          </w:p>
        </w:tc>
      </w:tr>
    </w:tbl>
    <w:p w:rsidR="001D597A" w:rsidRDefault="00D34B3F" w:rsidP="00855B2F">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00855B2F">
        <w:rPr>
          <w:rFonts w:eastAsia="SimSun" w:hint="eastAsia"/>
          <w:rtl/>
          <w:lang w:bidi="ar-EG"/>
        </w:rPr>
        <w:t> </w:t>
      </w:r>
      <w:r w:rsidR="00855B2F">
        <w:rPr>
          <w:rFonts w:eastAsia="SimSun"/>
          <w:b/>
          <w:bCs/>
          <w:lang w:bidi="ar-SY"/>
        </w:rPr>
        <w:t>233 </w:t>
      </w:r>
      <w:r w:rsidR="00144A1A">
        <w:rPr>
          <w:rFonts w:eastAsia="SimSun"/>
          <w:b/>
          <w:bCs/>
          <w:lang w:bidi="ar-SY"/>
        </w:rPr>
        <w:t>(</w:t>
      </w:r>
      <w:r w:rsidR="00144A1A" w:rsidRPr="00431196">
        <w:rPr>
          <w:rFonts w:eastAsia="SimSun"/>
          <w:b/>
          <w:bCs/>
          <w:lang w:bidi="ar-SY"/>
        </w:rPr>
        <w:t>WRC</w:t>
      </w:r>
      <w:r w:rsidR="00144A1A" w:rsidRPr="00431196">
        <w:rPr>
          <w:rFonts w:eastAsia="SimSun"/>
          <w:b/>
          <w:bCs/>
          <w:lang w:bidi="ar-SY"/>
        </w:rPr>
        <w:noBreakHyphen/>
        <w:t>12</w:t>
      </w:r>
      <w:r w:rsidR="00144A1A">
        <w:rPr>
          <w:rFonts w:eastAsia="SimSun"/>
          <w:b/>
          <w:bCs/>
          <w:lang w:bidi="ar-SY"/>
        </w:rPr>
        <w:t>)</w:t>
      </w:r>
      <w:r w:rsidRPr="00431196">
        <w:rPr>
          <w:rFonts w:eastAsia="SimSun" w:hint="cs"/>
          <w:rtl/>
        </w:rPr>
        <w:t>؛</w:t>
      </w:r>
    </w:p>
    <w:p w:rsidR="009540E4" w:rsidRPr="009540E4" w:rsidRDefault="009540E4" w:rsidP="009540E4">
      <w:pPr>
        <w:rPr>
          <w:rFonts w:eastAsia="SimSun"/>
          <w:rtl/>
        </w:rPr>
      </w:pPr>
    </w:p>
    <w:p w:rsidR="00F16602" w:rsidRDefault="00656F6A" w:rsidP="009E2378">
      <w:pPr>
        <w:pStyle w:val="Headingb"/>
        <w:rPr>
          <w:rtl/>
        </w:rPr>
      </w:pPr>
      <w:r>
        <w:rPr>
          <w:rFonts w:hint="cs"/>
          <w:rtl/>
        </w:rPr>
        <w:t>معلومات أساسية</w:t>
      </w:r>
    </w:p>
    <w:p w:rsidR="00677766" w:rsidRDefault="00677766" w:rsidP="00855B2F">
      <w:r>
        <w:rPr>
          <w:rFonts w:hint="cs"/>
          <w:rtl/>
        </w:rPr>
        <w:t xml:space="preserve">أقر المؤتمر العالمي للاتصالات الراديوية لعام </w:t>
      </w:r>
      <w:r w:rsidRPr="00A4115D">
        <w:rPr>
          <w:rFonts w:cs="Times New Roman" w:hint="cs"/>
          <w:szCs w:val="22"/>
          <w:rtl/>
        </w:rPr>
        <w:t>2012</w:t>
      </w:r>
      <w:r>
        <w:rPr>
          <w:rFonts w:hint="cs"/>
          <w:rtl/>
        </w:rPr>
        <w:t xml:space="preserve"> </w:t>
      </w:r>
      <w:r w:rsidR="00144A1A">
        <w:t>(</w:t>
      </w:r>
      <w:r w:rsidR="00144A1A" w:rsidRPr="00542A11">
        <w:t>WRC-12</w:t>
      </w:r>
      <w:r w:rsidR="00144A1A">
        <w:t>)</w:t>
      </w:r>
      <w:r>
        <w:rPr>
          <w:rFonts w:hint="cs"/>
          <w:rtl/>
        </w:rPr>
        <w:t xml:space="preserve"> بالحاجة إلى طيف راديوي إضافي لدعم حركة البيانات المتنقلة المتزايدة، وأدرج النظر في منح توزيعات إضافية من الطيف لتطبيقات الاتصالات المتنقلة عريضة النطاق للأرض ضمن جدول أعمال مؤتمر</w:t>
      </w:r>
      <w:r w:rsidR="00855B2F">
        <w:rPr>
          <w:rFonts w:hint="eastAsia"/>
          <w:rtl/>
        </w:rPr>
        <w:t> </w:t>
      </w:r>
      <w:r w:rsidRPr="00542A11">
        <w:t>WRC-15</w:t>
      </w:r>
      <w:r>
        <w:rPr>
          <w:rFonts w:hint="cs"/>
          <w:rtl/>
        </w:rPr>
        <w:t xml:space="preserve">. ونظر </w:t>
      </w:r>
      <w:r>
        <w:rPr>
          <w:color w:val="000000"/>
          <w:rtl/>
        </w:rPr>
        <w:t xml:space="preserve">فريق المهام المشترك </w:t>
      </w:r>
      <w:r w:rsidR="00855B2F">
        <w:rPr>
          <w:rFonts w:cs="Times New Roman"/>
          <w:color w:val="000000"/>
          <w:szCs w:val="22"/>
        </w:rPr>
        <w:t>4-5-6-7</w:t>
      </w:r>
      <w:r w:rsidR="00855B2F" w:rsidRPr="00855B2F">
        <w:rPr>
          <w:rFonts w:hint="cs"/>
          <w:rtl/>
        </w:rPr>
        <w:t xml:space="preserve"> </w:t>
      </w:r>
      <w:r w:rsidRPr="00677766">
        <w:rPr>
          <w:rFonts w:hint="cs"/>
          <w:rtl/>
        </w:rPr>
        <w:t xml:space="preserve">في متطلبات </w:t>
      </w:r>
      <w:r>
        <w:rPr>
          <w:rFonts w:hint="cs"/>
          <w:rtl/>
        </w:rPr>
        <w:t xml:space="preserve">الطيف لتطبيقات الاتصالات المتنقلة عريضة النطاق للأرض/الاتصالات المتنقلة الدولية ووضع دراسات تقاسم وتوافق، بما يراعي متطلبات حماية الخدمات الأخرى </w:t>
      </w:r>
      <w:r w:rsidR="00073FE7">
        <w:rPr>
          <w:rFonts w:hint="cs"/>
          <w:rtl/>
        </w:rPr>
        <w:t>ل</w:t>
      </w:r>
      <w:r>
        <w:rPr>
          <w:rFonts w:hint="cs"/>
          <w:rtl/>
        </w:rPr>
        <w:t>أفرقة العمل الأخرى المعنية التابعة لقطاع الاتصالات</w:t>
      </w:r>
      <w:r w:rsidR="00855B2F">
        <w:rPr>
          <w:rFonts w:hint="eastAsia"/>
          <w:rtl/>
        </w:rPr>
        <w:t> </w:t>
      </w:r>
      <w:r>
        <w:rPr>
          <w:rFonts w:hint="cs"/>
          <w:rtl/>
        </w:rPr>
        <w:t>الراديوية.</w:t>
      </w:r>
    </w:p>
    <w:p w:rsidR="009E2378" w:rsidRDefault="00CC1F4C" w:rsidP="0050361F">
      <w:pPr>
        <w:rPr>
          <w:rtl/>
        </w:rPr>
      </w:pPr>
      <w:r>
        <w:rPr>
          <w:rFonts w:hint="cs"/>
          <w:rtl/>
        </w:rPr>
        <w:t>ويوز</w:t>
      </w:r>
      <w:r w:rsidR="00073FE7">
        <w:rPr>
          <w:rFonts w:hint="cs"/>
          <w:rtl/>
        </w:rPr>
        <w:t>َّ</w:t>
      </w:r>
      <w:r>
        <w:rPr>
          <w:rFonts w:hint="cs"/>
          <w:rtl/>
        </w:rPr>
        <w:t xml:space="preserve">ع النطاق </w:t>
      </w:r>
      <w:r w:rsidR="008F04F7">
        <w:t>MHz 2 900</w:t>
      </w:r>
      <w:r w:rsidR="008F04F7">
        <w:noBreakHyphen/>
        <w:t>2</w:t>
      </w:r>
      <w:r w:rsidR="007A7F5D">
        <w:t> </w:t>
      </w:r>
      <w:r w:rsidR="008F04F7">
        <w:t>700</w:t>
      </w:r>
      <w:r>
        <w:rPr>
          <w:rFonts w:hint="cs"/>
          <w:rtl/>
        </w:rPr>
        <w:t xml:space="preserve"> على أساس أولي لخدمة الملاحة الراديوية للطيران في كل الأقاليم الثلاثة للاتحاد. وأجرى قطاع الاتصالات الراديوية دراسات توافق بين أنظمة الاتصالات المتنقلة الدولية والأنظمة الرادارية القائمة العا</w:t>
      </w:r>
      <w:r w:rsidR="00073FE7">
        <w:rPr>
          <w:rFonts w:hint="cs"/>
          <w:rtl/>
        </w:rPr>
        <w:t>م</w:t>
      </w:r>
      <w:r>
        <w:rPr>
          <w:rFonts w:hint="cs"/>
          <w:rtl/>
        </w:rPr>
        <w:t>لة في</w:t>
      </w:r>
      <w:r w:rsidR="006B5849">
        <w:rPr>
          <w:rFonts w:hint="eastAsia"/>
          <w:rtl/>
        </w:rPr>
        <w:t> </w:t>
      </w:r>
      <w:r>
        <w:rPr>
          <w:rFonts w:hint="cs"/>
          <w:rtl/>
        </w:rPr>
        <w:t>نطاق التردد</w:t>
      </w:r>
      <w:r w:rsidR="006B5849">
        <w:rPr>
          <w:rFonts w:hint="eastAsia"/>
          <w:rtl/>
        </w:rPr>
        <w:t> </w:t>
      </w:r>
      <w:r w:rsidR="008F04F7">
        <w:t>MHz 2 900</w:t>
      </w:r>
      <w:r w:rsidR="008F04F7">
        <w:noBreakHyphen/>
        <w:t>2</w:t>
      </w:r>
      <w:r w:rsidR="007A7F5D">
        <w:t> </w:t>
      </w:r>
      <w:r w:rsidR="008F04F7">
        <w:t>700</w:t>
      </w:r>
      <w:r>
        <w:rPr>
          <w:rFonts w:hint="cs"/>
          <w:rtl/>
          <w:lang w:bidi="ar-EG"/>
        </w:rPr>
        <w:t>. وتُظهر ك</w:t>
      </w:r>
      <w:bookmarkStart w:id="1" w:name="_GoBack"/>
      <w:bookmarkEnd w:id="1"/>
      <w:r>
        <w:rPr>
          <w:rFonts w:hint="cs"/>
          <w:rtl/>
          <w:lang w:bidi="ar-EG"/>
        </w:rPr>
        <w:t xml:space="preserve">ل هذه الدراسات أن تقاسم الترددات المشتركة غير ممكن بين الأنظمة الرادارية وأنظمة الاتصالات المتنقلة الدولية في الموقع الجغرافي ذاته. وربما يكون تقاسم الترددات المتاخمة ممكناً، ولكن بعد تطبيق تعديلات على أنظمة الاتصالات المتنقلة الدولية والأنظمة الرادارية على حد سواء، مما يفرض </w:t>
      </w:r>
      <w:r w:rsidR="00264BC9">
        <w:rPr>
          <w:rFonts w:hint="cs"/>
          <w:rtl/>
          <w:lang w:bidi="ar-EG"/>
        </w:rPr>
        <w:t>فواصل</w:t>
      </w:r>
      <w:r>
        <w:rPr>
          <w:rFonts w:hint="cs"/>
          <w:rtl/>
          <w:lang w:bidi="ar-EG"/>
        </w:rPr>
        <w:t xml:space="preserve"> جغرافية بين أنظمة الاتصالات المتنقلة الدولية والأنظمة الرادارية، وينشئ نطاقاً حارساً بين ترددات الاتصالات المتنقلة الدولية والترددات الرادارية. ويعتمد حجم النطاق الحارس على </w:t>
      </w:r>
      <w:r w:rsidR="00264BC9">
        <w:rPr>
          <w:rFonts w:hint="cs"/>
          <w:rtl/>
          <w:lang w:bidi="ar-EG"/>
        </w:rPr>
        <w:t>التعديلات المفترضة على أنظمة الاتصالات المتنقلة الدولية/الأنظمة الرادارية والفواصل الجغرافية المفروضة. وترد</w:t>
      </w:r>
      <w:r w:rsidR="0050361F">
        <w:rPr>
          <w:rFonts w:hint="eastAsia"/>
          <w:rtl/>
          <w:lang w:bidi="ar-EG"/>
        </w:rPr>
        <w:t> </w:t>
      </w:r>
      <w:r w:rsidR="00264BC9">
        <w:rPr>
          <w:rFonts w:hint="cs"/>
          <w:rtl/>
          <w:lang w:bidi="ar-EG"/>
        </w:rPr>
        <w:t xml:space="preserve">هذه </w:t>
      </w:r>
      <w:r w:rsidR="00264BC9">
        <w:rPr>
          <w:rFonts w:hint="cs"/>
          <w:rtl/>
          <w:lang w:bidi="ar-EG"/>
        </w:rPr>
        <w:lastRenderedPageBreak/>
        <w:t xml:space="preserve">الدراسات في تقرير رئيس </w:t>
      </w:r>
      <w:r w:rsidR="00264BC9">
        <w:rPr>
          <w:color w:val="000000"/>
          <w:rtl/>
        </w:rPr>
        <w:t xml:space="preserve">فريق المهام المشترك </w:t>
      </w:r>
      <w:r w:rsidR="00855B2F">
        <w:rPr>
          <w:rFonts w:cs="Times New Roman"/>
          <w:color w:val="000000"/>
          <w:szCs w:val="22"/>
        </w:rPr>
        <w:t>4-5-6-7</w:t>
      </w:r>
      <w:r w:rsidR="00855B2F" w:rsidRPr="00264BC9">
        <w:rPr>
          <w:rFonts w:hint="cs"/>
          <w:rtl/>
        </w:rPr>
        <w:t xml:space="preserve"> </w:t>
      </w:r>
      <w:r w:rsidR="00264BC9" w:rsidRPr="00264BC9">
        <w:rPr>
          <w:rFonts w:hint="cs"/>
          <w:rtl/>
        </w:rPr>
        <w:t>(الملحق</w:t>
      </w:r>
      <w:r w:rsidR="006B5849" w:rsidRPr="006B5849">
        <w:rPr>
          <w:rFonts w:hint="eastAsia"/>
          <w:color w:val="000000"/>
          <w:sz w:val="30"/>
          <w:rtl/>
        </w:rPr>
        <w:t> </w:t>
      </w:r>
      <w:r w:rsidR="00264BC9">
        <w:rPr>
          <w:rFonts w:cs="Times New Roman" w:hint="cs"/>
          <w:color w:val="000000"/>
          <w:szCs w:val="22"/>
          <w:rtl/>
        </w:rPr>
        <w:t>30</w:t>
      </w:r>
      <w:r w:rsidR="00264BC9" w:rsidRPr="00264BC9">
        <w:rPr>
          <w:rFonts w:hint="cs"/>
          <w:rtl/>
        </w:rPr>
        <w:t>).</w:t>
      </w:r>
      <w:r w:rsidR="00264BC9">
        <w:rPr>
          <w:rFonts w:hint="cs"/>
          <w:rtl/>
        </w:rPr>
        <w:t xml:space="preserve"> واستناداً إلى دراسات التوافق التي قام بها </w:t>
      </w:r>
      <w:r w:rsidR="00264BC9">
        <w:rPr>
          <w:color w:val="000000"/>
          <w:rtl/>
        </w:rPr>
        <w:t>فريق المهام المشترك</w:t>
      </w:r>
      <w:r w:rsidR="009540E4">
        <w:rPr>
          <w:rFonts w:hint="cs"/>
          <w:color w:val="000000"/>
          <w:rtl/>
        </w:rPr>
        <w:t> </w:t>
      </w:r>
      <w:r w:rsidR="006B5849">
        <w:rPr>
          <w:rFonts w:cs="Times New Roman"/>
          <w:color w:val="000000"/>
          <w:szCs w:val="22"/>
        </w:rPr>
        <w:t>4-5-6-7</w:t>
      </w:r>
      <w:r w:rsidR="006B5849">
        <w:rPr>
          <w:rFonts w:hint="cs"/>
          <w:rtl/>
        </w:rPr>
        <w:t xml:space="preserve"> </w:t>
      </w:r>
      <w:r w:rsidR="00264BC9">
        <w:rPr>
          <w:rFonts w:hint="cs"/>
          <w:rtl/>
        </w:rPr>
        <w:t>فإن المواءمة العالمية</w:t>
      </w:r>
      <w:r w:rsidR="006B5849">
        <w:rPr>
          <w:rFonts w:hint="cs"/>
          <w:rtl/>
        </w:rPr>
        <w:t xml:space="preserve"> لنطاق التردد </w:t>
      </w:r>
      <w:r w:rsidR="006B5849">
        <w:t>MHz 2 900</w:t>
      </w:r>
      <w:r w:rsidR="006B5849">
        <w:noBreakHyphen/>
        <w:t>2 700</w:t>
      </w:r>
      <w:r w:rsidR="00264BC9">
        <w:rPr>
          <w:rFonts w:hint="cs"/>
          <w:rtl/>
        </w:rPr>
        <w:t xml:space="preserve"> غير ممكنة بالنسبة لنطاق التردد لاستخدام أنظمة الاتصالات المتنقلة الدولية، وسيكون أي استخدام محتمل للاتصالات المتنقلة الدولية في</w:t>
      </w:r>
      <w:r w:rsidR="00AE136F">
        <w:rPr>
          <w:rFonts w:hint="eastAsia"/>
          <w:rtl/>
        </w:rPr>
        <w:t> </w:t>
      </w:r>
      <w:r w:rsidR="00264BC9">
        <w:rPr>
          <w:rFonts w:hint="cs"/>
          <w:rtl/>
        </w:rPr>
        <w:t>أجزاء من هذا التردد على النطاق الوطني فحسب، وذلك بعد التنسيق مع البلدان المجاورة، حينما يُحتمل أن تكون مسافات التنسيق واسعة (أي مئات الكيلومترات)، لضمان حماية استخدامها لأجهزة</w:t>
      </w:r>
      <w:r w:rsidR="006B5849">
        <w:rPr>
          <w:rFonts w:hint="eastAsia"/>
          <w:rtl/>
        </w:rPr>
        <w:t> </w:t>
      </w:r>
      <w:r w:rsidR="00264BC9">
        <w:rPr>
          <w:rFonts w:hint="cs"/>
          <w:rtl/>
        </w:rPr>
        <w:t>الرادار.</w:t>
      </w:r>
    </w:p>
    <w:p w:rsidR="00264BC9" w:rsidRDefault="00264BC9" w:rsidP="00AE136F">
      <w:pPr>
        <w:rPr>
          <w:rtl/>
        </w:rPr>
      </w:pPr>
      <w:r>
        <w:rPr>
          <w:rFonts w:hint="cs"/>
          <w:rtl/>
        </w:rPr>
        <w:t xml:space="preserve">وفي بعض بلدان </w:t>
      </w:r>
      <w:r w:rsidR="009C113A">
        <w:rPr>
          <w:rFonts w:hint="cs"/>
          <w:rtl/>
        </w:rPr>
        <w:t>منطقة الأمريكتين</w:t>
      </w:r>
      <w:r w:rsidR="00073FE7">
        <w:rPr>
          <w:rFonts w:hint="cs"/>
          <w:rtl/>
        </w:rPr>
        <w:t xml:space="preserve"> </w:t>
      </w:r>
      <w:r>
        <w:rPr>
          <w:rFonts w:hint="cs"/>
          <w:rtl/>
        </w:rPr>
        <w:t xml:space="preserve">فإن نطاق التردد </w:t>
      </w:r>
      <w:r w:rsidR="008F04F7">
        <w:t>MHz 2 900</w:t>
      </w:r>
      <w:r w:rsidR="008F04F7">
        <w:noBreakHyphen/>
        <w:t>2</w:t>
      </w:r>
      <w:r w:rsidR="007A7F5D">
        <w:t> </w:t>
      </w:r>
      <w:r w:rsidR="008F04F7">
        <w:t>700</w:t>
      </w:r>
      <w:r w:rsidR="008F04F7">
        <w:rPr>
          <w:rFonts w:hint="cs"/>
          <w:rtl/>
          <w:lang w:bidi="ar-EG"/>
        </w:rPr>
        <w:t xml:space="preserve"> </w:t>
      </w:r>
      <w:r>
        <w:rPr>
          <w:rFonts w:hint="cs"/>
          <w:rtl/>
        </w:rPr>
        <w:t>يُستخدم بشكل واسع في أنظمة التحكم بالحركة الجوية</w:t>
      </w:r>
      <w:r w:rsidR="006B5849">
        <w:rPr>
          <w:rFonts w:hint="eastAsia"/>
          <w:rtl/>
        </w:rPr>
        <w:t> </w:t>
      </w:r>
      <w:r w:rsidR="00703B30">
        <w:t>(</w:t>
      </w:r>
      <w:r w:rsidR="00703B30" w:rsidRPr="00E86708">
        <w:t>ATC</w:t>
      </w:r>
      <w:r w:rsidR="00703B30">
        <w:rPr>
          <w:lang w:bidi="ar-EG"/>
        </w:rPr>
        <w:t>)</w:t>
      </w:r>
      <w:r>
        <w:rPr>
          <w:rFonts w:hint="cs"/>
          <w:rtl/>
        </w:rPr>
        <w:t>، والطقس، والأنظمة الرادارية الدفاعية. وتندرج تطبيقات</w:t>
      </w:r>
      <w:r w:rsidR="006B5849">
        <w:rPr>
          <w:rFonts w:hint="eastAsia"/>
          <w:rtl/>
        </w:rPr>
        <w:t> </w:t>
      </w:r>
      <w:r w:rsidRPr="00E86708">
        <w:t>ATC</w:t>
      </w:r>
      <w:r>
        <w:rPr>
          <w:rFonts w:hint="cs"/>
          <w:rtl/>
        </w:rPr>
        <w:t xml:space="preserve"> في عداد</w:t>
      </w:r>
      <w:r w:rsidR="009C113A">
        <w:rPr>
          <w:rFonts w:hint="cs"/>
          <w:rtl/>
        </w:rPr>
        <w:t xml:space="preserve"> خدمات السلامة، رهناً بتدابير الحماية الإضافية التي </w:t>
      </w:r>
      <w:r w:rsidR="00073FE7">
        <w:rPr>
          <w:rFonts w:hint="cs"/>
          <w:rtl/>
        </w:rPr>
        <w:t>يوفرها</w:t>
      </w:r>
      <w:r w:rsidR="009C113A">
        <w:rPr>
          <w:rFonts w:hint="cs"/>
          <w:rtl/>
        </w:rPr>
        <w:t xml:space="preserve"> الرقم</w:t>
      </w:r>
      <w:r w:rsidR="006B5849">
        <w:rPr>
          <w:rFonts w:hint="eastAsia"/>
          <w:rtl/>
        </w:rPr>
        <w:t> </w:t>
      </w:r>
      <w:r w:rsidR="009C113A" w:rsidRPr="009C113A">
        <w:rPr>
          <w:rFonts w:cs="Times New Roman" w:hint="cs"/>
          <w:szCs w:val="22"/>
          <w:rtl/>
        </w:rPr>
        <w:t>10</w:t>
      </w:r>
      <w:r w:rsidR="009C113A">
        <w:rPr>
          <w:rFonts w:hint="cs"/>
          <w:rtl/>
        </w:rPr>
        <w:t>.</w:t>
      </w:r>
      <w:r w:rsidR="009C113A" w:rsidRPr="009C113A">
        <w:rPr>
          <w:rFonts w:cs="Times New Roman" w:hint="cs"/>
          <w:szCs w:val="22"/>
          <w:rtl/>
        </w:rPr>
        <w:t>4</w:t>
      </w:r>
      <w:r w:rsidR="009C113A">
        <w:rPr>
          <w:rFonts w:hint="cs"/>
          <w:rtl/>
        </w:rPr>
        <w:t xml:space="preserve"> من لوائح الراديو. وتستخدم الأنظمة الرادارية نطاق التردد </w:t>
      </w:r>
      <w:r w:rsidR="008F04F7">
        <w:t>MHz 2 900</w:t>
      </w:r>
      <w:r w:rsidR="008F04F7">
        <w:noBreakHyphen/>
        <w:t>2</w:t>
      </w:r>
      <w:r w:rsidR="0045668E">
        <w:t> </w:t>
      </w:r>
      <w:r w:rsidR="008F04F7">
        <w:t>700</w:t>
      </w:r>
      <w:r w:rsidR="009C113A">
        <w:rPr>
          <w:rFonts w:hint="cs"/>
          <w:rtl/>
        </w:rPr>
        <w:t xml:space="preserve"> بأكمله في</w:t>
      </w:r>
      <w:r w:rsidR="008F04F7">
        <w:rPr>
          <w:rFonts w:hint="eastAsia"/>
          <w:rtl/>
        </w:rPr>
        <w:t> </w:t>
      </w:r>
      <w:r w:rsidR="009C113A">
        <w:rPr>
          <w:rFonts w:hint="cs"/>
          <w:rtl/>
        </w:rPr>
        <w:t>الولايات المتحدة. ولا تستطيع الولايات المتحدة استيعاب الشروط الضرورية لاقتسام الترددات المتاخمة، بما</w:t>
      </w:r>
      <w:r w:rsidR="006B5849">
        <w:rPr>
          <w:rFonts w:hint="eastAsia"/>
          <w:rtl/>
        </w:rPr>
        <w:t> </w:t>
      </w:r>
      <w:r w:rsidR="009C113A">
        <w:rPr>
          <w:rFonts w:hint="cs"/>
          <w:rtl/>
        </w:rPr>
        <w:t>في</w:t>
      </w:r>
      <w:r w:rsidR="006B5849">
        <w:rPr>
          <w:rFonts w:hint="eastAsia"/>
          <w:rtl/>
        </w:rPr>
        <w:t> </w:t>
      </w:r>
      <w:r w:rsidR="009C113A">
        <w:rPr>
          <w:rFonts w:hint="cs"/>
          <w:rtl/>
        </w:rPr>
        <w:t>ذلك النطاق الحارس المطلوب، لدعم تنفيذ أنظمة الاتصالات المتنقلة الدولية في</w:t>
      </w:r>
      <w:r w:rsidR="00AE136F">
        <w:rPr>
          <w:rFonts w:hint="eastAsia"/>
          <w:rtl/>
        </w:rPr>
        <w:t> </w:t>
      </w:r>
      <w:r w:rsidR="009C113A">
        <w:rPr>
          <w:rFonts w:hint="cs"/>
          <w:rtl/>
        </w:rPr>
        <w:t>نطاق التردد</w:t>
      </w:r>
      <w:r w:rsidR="00AE136F">
        <w:rPr>
          <w:rFonts w:hint="eastAsia"/>
          <w:rtl/>
        </w:rPr>
        <w:t> </w:t>
      </w:r>
      <w:r w:rsidR="009C113A">
        <w:rPr>
          <w:rFonts w:hint="cs"/>
          <w:rtl/>
        </w:rPr>
        <w:t>هذا.</w:t>
      </w:r>
    </w:p>
    <w:p w:rsidR="009C113A" w:rsidRPr="00AE136F" w:rsidRDefault="009C113A" w:rsidP="00AE136F">
      <w:pPr>
        <w:rPr>
          <w:spacing w:val="-2"/>
          <w:rtl/>
          <w:lang w:bidi="ar-EG"/>
        </w:rPr>
      </w:pPr>
      <w:r w:rsidRPr="00AE136F">
        <w:rPr>
          <w:rFonts w:hint="cs"/>
          <w:spacing w:val="-2"/>
          <w:rtl/>
        </w:rPr>
        <w:t xml:space="preserve">وفي ضوء نتائج دراسات التقاسم التي أجراها قطاع الاتصالات الراديوية بين الأنظمة الرادارية القائمة وأنظمة الاتصالات المتنقلة الدولية فإن </w:t>
      </w:r>
      <w:r w:rsidRPr="00AE136F">
        <w:rPr>
          <w:spacing w:val="-2"/>
          <w:rtl/>
        </w:rPr>
        <w:t>الدول الأعضاء في لجنة البلدان الأمريكية للاتصالات</w:t>
      </w:r>
      <w:r w:rsidRPr="00AE136F">
        <w:rPr>
          <w:rFonts w:hint="cs"/>
          <w:spacing w:val="-2"/>
          <w:rtl/>
        </w:rPr>
        <w:t xml:space="preserve"> تقترح عدم إدخال أي تغيير على لوائح الراديو وهي لا</w:t>
      </w:r>
      <w:r w:rsidR="00AE136F">
        <w:rPr>
          <w:rFonts w:hint="eastAsia"/>
          <w:spacing w:val="-2"/>
          <w:rtl/>
        </w:rPr>
        <w:t> </w:t>
      </w:r>
      <w:r w:rsidRPr="00AE136F">
        <w:rPr>
          <w:rFonts w:hint="cs"/>
          <w:spacing w:val="-2"/>
          <w:rtl/>
        </w:rPr>
        <w:t>تستطيع تأييد توزيعات للخدمات المتنقلة و/أو</w:t>
      </w:r>
      <w:r w:rsidR="00AE136F">
        <w:rPr>
          <w:rFonts w:hint="eastAsia"/>
          <w:spacing w:val="-2"/>
          <w:rtl/>
        </w:rPr>
        <w:t> </w:t>
      </w:r>
      <w:r w:rsidRPr="00AE136F">
        <w:rPr>
          <w:rFonts w:hint="cs"/>
          <w:spacing w:val="-2"/>
          <w:rtl/>
        </w:rPr>
        <w:t>نطاقات محددة للاتصالات المتنقلة الدولية لنطاق التردد</w:t>
      </w:r>
      <w:r w:rsidR="00AE136F" w:rsidRPr="00AE136F">
        <w:rPr>
          <w:rFonts w:hint="eastAsia"/>
          <w:spacing w:val="-2"/>
          <w:rtl/>
        </w:rPr>
        <w:t> </w:t>
      </w:r>
      <w:r w:rsidR="008F04F7" w:rsidRPr="00AE136F">
        <w:rPr>
          <w:spacing w:val="-2"/>
        </w:rPr>
        <w:t>MHz 2 900</w:t>
      </w:r>
      <w:r w:rsidR="008F04F7" w:rsidRPr="00AE136F">
        <w:rPr>
          <w:spacing w:val="-2"/>
        </w:rPr>
        <w:noBreakHyphen/>
        <w:t>2</w:t>
      </w:r>
      <w:r w:rsidR="0045668E" w:rsidRPr="00AE136F">
        <w:rPr>
          <w:spacing w:val="-2"/>
        </w:rPr>
        <w:t> </w:t>
      </w:r>
      <w:r w:rsidR="008F04F7" w:rsidRPr="00AE136F">
        <w:rPr>
          <w:spacing w:val="-2"/>
        </w:rPr>
        <w:t>700</w:t>
      </w:r>
      <w:r w:rsidR="00AE136F" w:rsidRPr="00AE136F">
        <w:rPr>
          <w:rFonts w:hint="cs"/>
          <w:spacing w:val="-2"/>
          <w:rtl/>
        </w:rPr>
        <w:t>.</w:t>
      </w:r>
    </w:p>
    <w:p w:rsidR="009E2378" w:rsidRDefault="009E2378" w:rsidP="009E2378">
      <w:pPr>
        <w:pStyle w:val="Headingb"/>
        <w:rPr>
          <w:rtl/>
        </w:rPr>
      </w:pPr>
      <w:r>
        <w:rPr>
          <w:rFonts w:hint="cs"/>
          <w:rtl/>
        </w:rPr>
        <w:t>المقترحات</w:t>
      </w:r>
    </w:p>
    <w:p w:rsidR="009F37C9" w:rsidRDefault="00D34B3F" w:rsidP="008A6056">
      <w:pPr>
        <w:pStyle w:val="ArtNo"/>
        <w:rPr>
          <w:rtl/>
        </w:rPr>
      </w:pPr>
      <w:r>
        <w:rPr>
          <w:rtl/>
        </w:rPr>
        <w:t xml:space="preserve">المـادة </w:t>
      </w:r>
      <w:r w:rsidRPr="008462AD">
        <w:rPr>
          <w:rStyle w:val="href"/>
        </w:rPr>
        <w:t>5</w:t>
      </w:r>
    </w:p>
    <w:p w:rsidR="009F37C9" w:rsidRPr="007031A9" w:rsidRDefault="00D34B3F" w:rsidP="009F37C9">
      <w:pPr>
        <w:pStyle w:val="Arttitle"/>
        <w:rPr>
          <w:b w:val="0"/>
          <w:rtl/>
        </w:rPr>
      </w:pPr>
      <w:bookmarkStart w:id="2" w:name="_Toc331055733"/>
      <w:r w:rsidRPr="007031A9">
        <w:rPr>
          <w:b w:val="0"/>
          <w:rtl/>
        </w:rPr>
        <w:t>توزيع نطاقات التردد</w:t>
      </w:r>
      <w:bookmarkEnd w:id="2"/>
    </w:p>
    <w:p w:rsidR="009F37C9" w:rsidRDefault="00D34B3F"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00E64" w:rsidRDefault="00D34B3F" w:rsidP="006C37D8">
      <w:pPr>
        <w:pStyle w:val="Proposal"/>
      </w:pPr>
      <w:r>
        <w:rPr>
          <w:u w:val="single"/>
        </w:rPr>
        <w:t>NOC</w:t>
      </w:r>
      <w:r>
        <w:tab/>
        <w:t>IAP/7A1/12</w:t>
      </w:r>
    </w:p>
    <w:p w:rsidR="009F37C9" w:rsidRPr="002F7F63" w:rsidRDefault="00D34B3F">
      <w:pPr>
        <w:pStyle w:val="Tabletitle"/>
        <w:rPr>
          <w:rtl/>
        </w:rPr>
        <w:pPrChange w:id="3" w:author="El Wardany, Samy" w:date="2011-08-01T14:42:00Z">
          <w:pPr/>
        </w:pPrChange>
      </w:pPr>
      <w:r w:rsidRPr="002F7F63">
        <w:t>MHz</w:t>
      </w:r>
      <w:r w:rsidR="009E2378">
        <w:t> </w:t>
      </w:r>
      <w:r w:rsidRPr="002F7F63">
        <w:t>4</w:t>
      </w:r>
      <w:r w:rsidR="009E2378">
        <w:t> </w:t>
      </w:r>
      <w:r w:rsidRPr="002F7F63">
        <w:t>800</w:t>
      </w:r>
      <w:r w:rsidR="0045668E">
        <w:noBreakHyphen/>
      </w:r>
      <w:r w:rsidRPr="002F7F63">
        <w:t>2</w:t>
      </w:r>
      <w:r w:rsidR="009E2378">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3286"/>
      </w:tblGrid>
      <w:tr w:rsidR="006339CB" w:rsidRPr="006253DB" w:rsidTr="006339C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D34B3F" w:rsidP="006339CB">
            <w:pPr>
              <w:pStyle w:val="Tablehead"/>
              <w:ind w:left="227" w:right="57" w:hanging="170"/>
            </w:pPr>
            <w:r w:rsidRPr="006253DB">
              <w:rPr>
                <w:rtl/>
              </w:rPr>
              <w:t>التوزيع على الخدمات</w:t>
            </w:r>
          </w:p>
        </w:tc>
      </w:tr>
      <w:tr w:rsidR="006339CB" w:rsidRPr="006253DB" w:rsidTr="009E2378">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D34B3F" w:rsidP="009E2378">
            <w:pPr>
              <w:pStyle w:val="Tablehead"/>
              <w:ind w:left="227" w:right="57" w:hanging="170"/>
            </w:pPr>
            <w:r w:rsidRPr="006253DB">
              <w:rPr>
                <w:rtl/>
              </w:rPr>
              <w:t>الإقليم</w:t>
            </w:r>
            <w:r w:rsidR="009E2378">
              <w:rPr>
                <w:rFonts w:hint="cs"/>
                <w:rtl/>
              </w:rPr>
              <w:t>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339CB" w:rsidRPr="006253DB" w:rsidRDefault="00D34B3F" w:rsidP="009E2378">
            <w:pPr>
              <w:pStyle w:val="Tablehead"/>
              <w:ind w:left="227" w:right="57" w:hanging="170"/>
            </w:pPr>
            <w:r w:rsidRPr="006253DB">
              <w:rPr>
                <w:rtl/>
              </w:rPr>
              <w:t>الإقليم</w:t>
            </w:r>
            <w:r w:rsidR="009E2378">
              <w:rPr>
                <w:rFonts w:hint="cs"/>
                <w:rtl/>
              </w:rPr>
              <w:t>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339CB" w:rsidRPr="006253DB" w:rsidRDefault="00D34B3F" w:rsidP="009E2378">
            <w:pPr>
              <w:pStyle w:val="Tablehead"/>
              <w:ind w:left="227" w:right="57" w:hanging="170"/>
            </w:pPr>
            <w:r w:rsidRPr="006253DB">
              <w:rPr>
                <w:rtl/>
              </w:rPr>
              <w:t>الإقليم</w:t>
            </w:r>
            <w:r w:rsidR="009E2378">
              <w:rPr>
                <w:rFonts w:hint="cs"/>
                <w:rtl/>
              </w:rPr>
              <w:t> </w:t>
            </w:r>
            <w:r w:rsidRPr="006253DB">
              <w:t>3</w:t>
            </w:r>
          </w:p>
        </w:tc>
      </w:tr>
      <w:tr w:rsidR="006339CB" w:rsidRPr="006253DB" w:rsidTr="006339CB">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D34B3F" w:rsidP="00885A75">
            <w:pPr>
              <w:pStyle w:val="TabletextS5"/>
              <w:tabs>
                <w:tab w:val="left" w:pos="3129"/>
              </w:tabs>
              <w:spacing w:line="240" w:lineRule="exact"/>
              <w:ind w:left="227" w:right="57"/>
            </w:pPr>
            <w:r w:rsidRPr="00FA3B95">
              <w:rPr>
                <w:rStyle w:val="Tablefreq"/>
              </w:rPr>
              <w:t>2</w:t>
            </w:r>
            <w:r w:rsidR="009E2378">
              <w:rPr>
                <w:rStyle w:val="Tablefreq"/>
              </w:rPr>
              <w:t> </w:t>
            </w:r>
            <w:r w:rsidRPr="00FA3B95">
              <w:rPr>
                <w:rStyle w:val="Tablefreq"/>
              </w:rPr>
              <w:t>900-2 700</w:t>
            </w:r>
            <w:r w:rsidRPr="006253DB">
              <w:tab/>
            </w:r>
            <w:r w:rsidRPr="00AE5807">
              <w:rPr>
                <w:b/>
                <w:bCs/>
                <w:rtl/>
              </w:rPr>
              <w:t>ملاحة راديوية للطيران</w:t>
            </w:r>
            <w:r w:rsidRPr="00AE5807">
              <w:rPr>
                <w:rFonts w:hint="cs"/>
                <w:b/>
                <w:bCs/>
                <w:rtl/>
              </w:rPr>
              <w:t xml:space="preserve"> </w:t>
            </w:r>
            <w:r w:rsidRPr="006253DB">
              <w:rPr>
                <w:rtl/>
              </w:rPr>
              <w:t xml:space="preserve"> </w:t>
            </w:r>
            <w:r w:rsidRPr="0045668E">
              <w:rPr>
                <w:rStyle w:val="Artref"/>
                <w:b w:val="0"/>
                <w:bCs w:val="0"/>
              </w:rPr>
              <w:t>337.5</w:t>
            </w:r>
          </w:p>
          <w:p w:rsidR="006339CB" w:rsidRPr="006253DB" w:rsidRDefault="00D34B3F" w:rsidP="009E2378">
            <w:pPr>
              <w:pStyle w:val="TabletextS5"/>
              <w:tabs>
                <w:tab w:val="left" w:pos="3129"/>
              </w:tabs>
              <w:spacing w:line="240" w:lineRule="exact"/>
              <w:ind w:left="227" w:right="57"/>
            </w:pPr>
            <w:r>
              <w:rPr>
                <w:rtl/>
              </w:rPr>
              <w:tab/>
            </w:r>
            <w:r w:rsidRPr="006253DB">
              <w:rPr>
                <w:rtl/>
              </w:rPr>
              <w:t>تحديد راديوي للموقع</w:t>
            </w:r>
          </w:p>
          <w:p w:rsidR="006339CB" w:rsidRPr="009E2378" w:rsidRDefault="00D34B3F" w:rsidP="009E2378">
            <w:pPr>
              <w:pStyle w:val="TabletextS5"/>
              <w:tabs>
                <w:tab w:val="left" w:pos="3129"/>
              </w:tabs>
              <w:spacing w:line="240" w:lineRule="exact"/>
              <w:ind w:left="227" w:right="57"/>
            </w:pPr>
            <w:r w:rsidRPr="009E2378">
              <w:rPr>
                <w:rtl/>
              </w:rPr>
              <w:tab/>
            </w:r>
            <w:r w:rsidRPr="00D707EF">
              <w:rPr>
                <w:rStyle w:val="Artref"/>
                <w:b w:val="0"/>
                <w:bCs w:val="0"/>
              </w:rPr>
              <w:t>424.5</w:t>
            </w:r>
            <w:r w:rsidRPr="009E2378">
              <w:t xml:space="preserve"> </w:t>
            </w:r>
            <w:r w:rsidRPr="009E2378">
              <w:rPr>
                <w:rStyle w:val="Artref"/>
                <w:b w:val="0"/>
                <w:bCs w:val="0"/>
              </w:rPr>
              <w:t xml:space="preserve"> 423.5</w:t>
            </w:r>
          </w:p>
        </w:tc>
      </w:tr>
    </w:tbl>
    <w:p w:rsidR="00500E64" w:rsidRDefault="00D34B3F" w:rsidP="009C6820">
      <w:pPr>
        <w:pStyle w:val="Reasons"/>
        <w:rPr>
          <w:b w:val="0"/>
          <w:bCs w:val="0"/>
          <w:rtl/>
          <w:lang w:bidi="ar-EG"/>
        </w:rPr>
      </w:pPr>
      <w:r>
        <w:rPr>
          <w:rtl/>
        </w:rPr>
        <w:t>الأسباب:</w:t>
      </w:r>
      <w:r>
        <w:tab/>
      </w:r>
      <w:r w:rsidR="009C113A" w:rsidRPr="009C113A">
        <w:rPr>
          <w:rFonts w:hint="cs"/>
          <w:b w:val="0"/>
          <w:bCs w:val="0"/>
          <w:rtl/>
          <w:lang w:bidi="ar-EG"/>
        </w:rPr>
        <w:t xml:space="preserve">تُظهر كل </w:t>
      </w:r>
      <w:r w:rsidR="009C113A">
        <w:rPr>
          <w:rFonts w:hint="cs"/>
          <w:b w:val="0"/>
          <w:bCs w:val="0"/>
          <w:rtl/>
          <w:lang w:bidi="ar-EG"/>
        </w:rPr>
        <w:t>دراسات قطاع الاتصالات الراديوية</w:t>
      </w:r>
      <w:r w:rsidR="009C113A" w:rsidRPr="009C113A">
        <w:rPr>
          <w:rFonts w:hint="cs"/>
          <w:b w:val="0"/>
          <w:bCs w:val="0"/>
          <w:rtl/>
          <w:lang w:bidi="ar-EG"/>
        </w:rPr>
        <w:t xml:space="preserve"> أن تقاسم الترددات المشتركة غير ممكن بين أنظمة الاتصالات المتنقلة الدولية والأنظمة الرادارية </w:t>
      </w:r>
      <w:r w:rsidR="009C113A">
        <w:rPr>
          <w:rFonts w:hint="cs"/>
          <w:b w:val="0"/>
          <w:bCs w:val="0"/>
          <w:rtl/>
          <w:lang w:bidi="ar-EG"/>
        </w:rPr>
        <w:t xml:space="preserve">القائمة </w:t>
      </w:r>
      <w:r w:rsidR="009C113A" w:rsidRPr="009C113A">
        <w:rPr>
          <w:rFonts w:hint="cs"/>
          <w:b w:val="0"/>
          <w:bCs w:val="0"/>
          <w:rtl/>
          <w:lang w:bidi="ar-EG"/>
        </w:rPr>
        <w:t>في الموقع الجغرافي ذاته.</w:t>
      </w:r>
      <w:r w:rsidR="009C113A">
        <w:rPr>
          <w:rFonts w:hint="cs"/>
          <w:b w:val="0"/>
          <w:bCs w:val="0"/>
          <w:rtl/>
          <w:lang w:bidi="ar-EG"/>
        </w:rPr>
        <w:t xml:space="preserve"> وتستخدم بعض الدول الأعضاء في</w:t>
      </w:r>
      <w:r w:rsidR="009C6820">
        <w:rPr>
          <w:rFonts w:hint="eastAsia"/>
          <w:b w:val="0"/>
          <w:bCs w:val="0"/>
          <w:rtl/>
          <w:lang w:bidi="ar-EG"/>
        </w:rPr>
        <w:t> </w:t>
      </w:r>
      <w:r w:rsidR="009C113A">
        <w:rPr>
          <w:rFonts w:hint="cs"/>
          <w:b w:val="0"/>
          <w:bCs w:val="0"/>
          <w:rtl/>
          <w:lang w:bidi="ar-EG"/>
        </w:rPr>
        <w:t>منطقة الأمريكتين نطاق التردد استخداماً تاماً للأنظمة الرادارية</w:t>
      </w:r>
      <w:r w:rsidR="00AE136F">
        <w:rPr>
          <w:rFonts w:hint="eastAsia"/>
          <w:b w:val="0"/>
          <w:bCs w:val="0"/>
          <w:rtl/>
          <w:lang w:bidi="ar-EG"/>
        </w:rPr>
        <w:t> </w:t>
      </w:r>
      <w:r w:rsidR="009C113A">
        <w:rPr>
          <w:rFonts w:hint="cs"/>
          <w:b w:val="0"/>
          <w:bCs w:val="0"/>
          <w:rtl/>
          <w:lang w:bidi="ar-EG"/>
        </w:rPr>
        <w:t>القائمة.</w:t>
      </w:r>
    </w:p>
    <w:p w:rsidR="009540E4" w:rsidRPr="009540E4" w:rsidRDefault="009540E4" w:rsidP="009540E4">
      <w:pPr>
        <w:pStyle w:val="Reasons"/>
        <w:rPr>
          <w:rtl/>
          <w:lang w:bidi="ar-EG"/>
        </w:rPr>
      </w:pPr>
    </w:p>
    <w:p w:rsidR="00D34B3F" w:rsidRPr="00D34B3F" w:rsidRDefault="00D34B3F" w:rsidP="00D34B3F">
      <w:pPr>
        <w:spacing w:before="600"/>
        <w:jc w:val="center"/>
        <w:rPr>
          <w:lang w:bidi="ar-EG"/>
        </w:rPr>
      </w:pPr>
      <w:r>
        <w:rPr>
          <w:rFonts w:hint="cs"/>
          <w:rtl/>
        </w:rPr>
        <w:t>___________</w:t>
      </w:r>
    </w:p>
    <w:sectPr w:rsidR="00D34B3F" w:rsidRPr="00D34B3F">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E2378" w:rsidRDefault="00281F5F" w:rsidP="009E2378">
    <w:pPr>
      <w:pStyle w:val="Footer"/>
      <w:tabs>
        <w:tab w:val="clear" w:pos="5812"/>
        <w:tab w:val="left" w:pos="6379"/>
      </w:tabs>
    </w:pPr>
    <w:r w:rsidRPr="00CB4300">
      <w:fldChar w:fldCharType="begin"/>
    </w:r>
    <w:r w:rsidRPr="009E2378">
      <w:instrText xml:space="preserve"> FILENAME \p \* MERGEFORMAT </w:instrText>
    </w:r>
    <w:r w:rsidRPr="00CB4300">
      <w:fldChar w:fldCharType="separate"/>
    </w:r>
    <w:r w:rsidR="00C75A75">
      <w:rPr>
        <w:noProof/>
      </w:rPr>
      <w:t>P:\ARA\ITU-R\CONF-R\CMR15\000\007ADD01ADD06A.docx</w:t>
    </w:r>
    <w:r w:rsidRPr="00CB4300">
      <w:fldChar w:fldCharType="end"/>
    </w:r>
    <w:r w:rsidRPr="009E2378">
      <w:t xml:space="preserve">  (</w:t>
    </w:r>
    <w:r w:rsidR="009E2378">
      <w:t>387578</w:t>
    </w:r>
    <w:r w:rsidRPr="009E2378">
      <w:t>)</w:t>
    </w:r>
    <w:r w:rsidRPr="009E2378">
      <w:tab/>
    </w:r>
    <w:r w:rsidRPr="00CB4300">
      <w:fldChar w:fldCharType="begin"/>
    </w:r>
    <w:r w:rsidRPr="00CB4300">
      <w:instrText xml:space="preserve"> savedate \@ dd.MM.yy </w:instrText>
    </w:r>
    <w:r w:rsidRPr="00CB4300">
      <w:fldChar w:fldCharType="separate"/>
    </w:r>
    <w:r w:rsidR="009540E4">
      <w:rPr>
        <w:noProof/>
      </w:rPr>
      <w:t>26.10.15</w:t>
    </w:r>
    <w:r w:rsidRPr="00CB4300">
      <w:fldChar w:fldCharType="end"/>
    </w:r>
    <w:r w:rsidRPr="009E2378">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E2378" w:rsidRDefault="00281F5F" w:rsidP="009E2378">
    <w:pPr>
      <w:pStyle w:val="Footer"/>
      <w:tabs>
        <w:tab w:val="clear" w:pos="5812"/>
        <w:tab w:val="left" w:pos="6379"/>
      </w:tabs>
    </w:pPr>
    <w:r>
      <w:fldChar w:fldCharType="begin"/>
    </w:r>
    <w:r w:rsidRPr="009E2378">
      <w:instrText xml:space="preserve"> FILENAME \p \* MERGEFORMAT </w:instrText>
    </w:r>
    <w:r>
      <w:fldChar w:fldCharType="separate"/>
    </w:r>
    <w:r w:rsidR="00C75A75">
      <w:rPr>
        <w:noProof/>
      </w:rPr>
      <w:t>P:\ARA\ITU-R\CONF-R\CMR15\000\007ADD01ADD06A.docx</w:t>
    </w:r>
    <w:r>
      <w:fldChar w:fldCharType="end"/>
    </w:r>
    <w:r w:rsidRPr="009E2378">
      <w:t xml:space="preserve">   (</w:t>
    </w:r>
    <w:r w:rsidR="009E2378">
      <w:t>387578</w:t>
    </w:r>
    <w:r w:rsidRPr="009E2378">
      <w:t>)</w:t>
    </w:r>
    <w:r w:rsidRPr="009E2378">
      <w:tab/>
    </w:r>
    <w:r w:rsidRPr="00B12661">
      <w:fldChar w:fldCharType="begin"/>
    </w:r>
    <w:r w:rsidRPr="00B12661">
      <w:instrText xml:space="preserve"> savedate \@ dd.MM.yy </w:instrText>
    </w:r>
    <w:r w:rsidRPr="00B12661">
      <w:fldChar w:fldCharType="separate"/>
    </w:r>
    <w:r w:rsidR="009540E4">
      <w:rPr>
        <w:noProof/>
      </w:rPr>
      <w:t>26.10.15</w:t>
    </w:r>
    <w:r w:rsidRPr="00B12661">
      <w:fldChar w:fldCharType="end"/>
    </w:r>
    <w:r w:rsidRPr="009E2378">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0361F">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7(Add.1)(Add.6)-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3FE7"/>
    <w:rsid w:val="00075A3F"/>
    <w:rsid w:val="0007734E"/>
    <w:rsid w:val="000A1B16"/>
    <w:rsid w:val="000B5404"/>
    <w:rsid w:val="000D1708"/>
    <w:rsid w:val="000E2AFC"/>
    <w:rsid w:val="000E6D30"/>
    <w:rsid w:val="000F05F5"/>
    <w:rsid w:val="000F28EA"/>
    <w:rsid w:val="000F518F"/>
    <w:rsid w:val="0010081C"/>
    <w:rsid w:val="001013E3"/>
    <w:rsid w:val="0010363F"/>
    <w:rsid w:val="00144A1A"/>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63BE6"/>
    <w:rsid w:val="00264BC9"/>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6929"/>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668E"/>
    <w:rsid w:val="00461FA7"/>
    <w:rsid w:val="00470CBD"/>
    <w:rsid w:val="0047407D"/>
    <w:rsid w:val="004873E4"/>
    <w:rsid w:val="004909DD"/>
    <w:rsid w:val="004A05E6"/>
    <w:rsid w:val="004A6C66"/>
    <w:rsid w:val="004A7AA0"/>
    <w:rsid w:val="004C11BC"/>
    <w:rsid w:val="004D34A7"/>
    <w:rsid w:val="004D4AE6"/>
    <w:rsid w:val="004E34FA"/>
    <w:rsid w:val="00500E64"/>
    <w:rsid w:val="0050361F"/>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65C3"/>
    <w:rsid w:val="005930D8"/>
    <w:rsid w:val="005953EC"/>
    <w:rsid w:val="005B00A1"/>
    <w:rsid w:val="005C29C8"/>
    <w:rsid w:val="005C5D25"/>
    <w:rsid w:val="005D6D48"/>
    <w:rsid w:val="005D72A4"/>
    <w:rsid w:val="005F05CC"/>
    <w:rsid w:val="005F65DE"/>
    <w:rsid w:val="00613492"/>
    <w:rsid w:val="006315B5"/>
    <w:rsid w:val="00651343"/>
    <w:rsid w:val="0065562F"/>
    <w:rsid w:val="00656F6A"/>
    <w:rsid w:val="00677766"/>
    <w:rsid w:val="00680A66"/>
    <w:rsid w:val="00681391"/>
    <w:rsid w:val="006A12AC"/>
    <w:rsid w:val="006A2162"/>
    <w:rsid w:val="006B0D94"/>
    <w:rsid w:val="006B4B90"/>
    <w:rsid w:val="006B5849"/>
    <w:rsid w:val="006B658C"/>
    <w:rsid w:val="006C37D8"/>
    <w:rsid w:val="006D2674"/>
    <w:rsid w:val="006E38D0"/>
    <w:rsid w:val="006E465B"/>
    <w:rsid w:val="006F70BF"/>
    <w:rsid w:val="00703B30"/>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7F5D"/>
    <w:rsid w:val="007B1FCA"/>
    <w:rsid w:val="007C2C12"/>
    <w:rsid w:val="007C3CFA"/>
    <w:rsid w:val="007E0E8B"/>
    <w:rsid w:val="007F08CA"/>
    <w:rsid w:val="007F7FC3"/>
    <w:rsid w:val="00810482"/>
    <w:rsid w:val="00817568"/>
    <w:rsid w:val="008204AC"/>
    <w:rsid w:val="008261C2"/>
    <w:rsid w:val="00830D96"/>
    <w:rsid w:val="008455BE"/>
    <w:rsid w:val="0085569D"/>
    <w:rsid w:val="00855B2F"/>
    <w:rsid w:val="00855B59"/>
    <w:rsid w:val="0085774F"/>
    <w:rsid w:val="008657CB"/>
    <w:rsid w:val="00866A15"/>
    <w:rsid w:val="0088384B"/>
    <w:rsid w:val="00885A75"/>
    <w:rsid w:val="008911EC"/>
    <w:rsid w:val="00893E53"/>
    <w:rsid w:val="008A1137"/>
    <w:rsid w:val="008A1788"/>
    <w:rsid w:val="008A4185"/>
    <w:rsid w:val="008A6552"/>
    <w:rsid w:val="008B4E93"/>
    <w:rsid w:val="008D4F14"/>
    <w:rsid w:val="008D6ACC"/>
    <w:rsid w:val="008D7AF0"/>
    <w:rsid w:val="008D7DF1"/>
    <w:rsid w:val="008E32DD"/>
    <w:rsid w:val="008F04F7"/>
    <w:rsid w:val="008F4626"/>
    <w:rsid w:val="009004DF"/>
    <w:rsid w:val="00904AA5"/>
    <w:rsid w:val="00905D21"/>
    <w:rsid w:val="009130B5"/>
    <w:rsid w:val="00951718"/>
    <w:rsid w:val="009540E4"/>
    <w:rsid w:val="00954CCB"/>
    <w:rsid w:val="00960962"/>
    <w:rsid w:val="00972CE0"/>
    <w:rsid w:val="009A3D30"/>
    <w:rsid w:val="009B0BD8"/>
    <w:rsid w:val="009C113A"/>
    <w:rsid w:val="009C6820"/>
    <w:rsid w:val="009D6348"/>
    <w:rsid w:val="009E237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136F"/>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5A75"/>
    <w:rsid w:val="00C8199C"/>
    <w:rsid w:val="00C84112"/>
    <w:rsid w:val="00C841EB"/>
    <w:rsid w:val="00C8665F"/>
    <w:rsid w:val="00C917B5"/>
    <w:rsid w:val="00C94DFA"/>
    <w:rsid w:val="00CA298C"/>
    <w:rsid w:val="00CB2BF9"/>
    <w:rsid w:val="00CB4300"/>
    <w:rsid w:val="00CB454E"/>
    <w:rsid w:val="00CC030E"/>
    <w:rsid w:val="00CC1F4C"/>
    <w:rsid w:val="00CC57D0"/>
    <w:rsid w:val="00CC68C4"/>
    <w:rsid w:val="00CC79A4"/>
    <w:rsid w:val="00CD0FDE"/>
    <w:rsid w:val="00CE0E68"/>
    <w:rsid w:val="00CE5BA4"/>
    <w:rsid w:val="00D25120"/>
    <w:rsid w:val="00D34B3F"/>
    <w:rsid w:val="00D419CB"/>
    <w:rsid w:val="00D44350"/>
    <w:rsid w:val="00D44E3F"/>
    <w:rsid w:val="00D525F5"/>
    <w:rsid w:val="00D535D0"/>
    <w:rsid w:val="00D62C78"/>
    <w:rsid w:val="00D707EF"/>
    <w:rsid w:val="00D81703"/>
    <w:rsid w:val="00D82929"/>
    <w:rsid w:val="00D84214"/>
    <w:rsid w:val="00D943E5"/>
    <w:rsid w:val="00DA1AE0"/>
    <w:rsid w:val="00DC29DD"/>
    <w:rsid w:val="00DC7C0E"/>
    <w:rsid w:val="00DF2A6A"/>
    <w:rsid w:val="00DF3B72"/>
    <w:rsid w:val="00E10821"/>
    <w:rsid w:val="00E1526A"/>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9FC6CA4-4EC3-4279-B57A-A8534A91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R15-WRC15-C-0007!A1-A6!MSW-A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07248-746E-43A0-AAC3-11F1DAD61E44}">
  <ds:schemaRefs>
    <ds:schemaRef ds:uri="32a1a8c5-2265-4ebc-b7a0-2071e2c5c9bb"/>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6EB7384-ED85-4C2B-981B-A2633C06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565</Words>
  <Characters>3261</Characters>
  <Application>Microsoft Office Word</Application>
  <DocSecurity>0</DocSecurity>
  <Lines>130</Lines>
  <Paragraphs>100</Paragraphs>
  <ScaleCrop>false</ScaleCrop>
  <HeadingPairs>
    <vt:vector size="2" baseType="variant">
      <vt:variant>
        <vt:lpstr>Title</vt:lpstr>
      </vt:variant>
      <vt:variant>
        <vt:i4>1</vt:i4>
      </vt:variant>
    </vt:vector>
  </HeadingPairs>
  <TitlesOfParts>
    <vt:vector size="1" baseType="lpstr">
      <vt:lpstr>R15-WRC15-C-0007!A1-A6!MSW-A</vt:lpstr>
    </vt:vector>
  </TitlesOfParts>
  <Manager>General Secretariat - Pool</Manager>
  <Company>International Telecommunication Union (ITU)</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R15-WRC15-C-0007!A1-A6!MSW-A</dc:title>
  <dc:creator>Documents Proposals Manager (DPM)</dc:creator>
  <cp:keywords>DPM_v5.2015.9.16_prod</cp:keywords>
  <cp:lastModifiedBy>Awad, Samy</cp:lastModifiedBy>
  <cp:revision>17</cp:revision>
  <cp:lastPrinted>2011-11-07T13:53:00Z</cp:lastPrinted>
  <dcterms:created xsi:type="dcterms:W3CDTF">2015-10-26T13:28:00Z</dcterms:created>
  <dcterms:modified xsi:type="dcterms:W3CDTF">2015-10-26T16:36:00Z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