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FD7866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FD7866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FD7866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FD7866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FD7866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FD7866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FD786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A843EA" w:rsidRDefault="006D4724" w:rsidP="00FD7866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A843EA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5 au</w:t>
            </w:r>
            <w:r w:rsidRPr="00A843EA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7(Add.1)</w:t>
            </w:r>
            <w:r w:rsidR="00BB1D82" w:rsidRPr="00A843EA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A843EA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A843EA" w:rsidRDefault="00690C7B" w:rsidP="00FD7866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FD786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29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FD7866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FD786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FD786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A843EA" w:rsidRDefault="00690C7B" w:rsidP="00FD7866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A843EA">
              <w:rPr>
                <w:lang w:val="fr-CH"/>
              </w:rPr>
              <w:t>Etats Membres de la Commission interaméricaine des télécommunications (CITEL)</w:t>
            </w:r>
          </w:p>
        </w:tc>
      </w:tr>
      <w:tr w:rsidR="00690C7B" w:rsidRPr="00A843EA" w:rsidTr="0050008E">
        <w:trPr>
          <w:cantSplit/>
        </w:trPr>
        <w:tc>
          <w:tcPr>
            <w:tcW w:w="10031" w:type="dxa"/>
            <w:gridSpan w:val="2"/>
          </w:tcPr>
          <w:p w:rsidR="00690C7B" w:rsidRPr="00A843EA" w:rsidRDefault="00A843EA" w:rsidP="00FD7866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A843EA">
              <w:rPr>
                <w:lang w:val="fr-CH"/>
              </w:rPr>
              <w:t>PROPOSITIONS POUR LES TRAVAUX DE LA CONFéRENCE</w:t>
            </w:r>
          </w:p>
        </w:tc>
      </w:tr>
      <w:tr w:rsidR="00690C7B" w:rsidRPr="00A843EA" w:rsidTr="0050008E">
        <w:trPr>
          <w:cantSplit/>
        </w:trPr>
        <w:tc>
          <w:tcPr>
            <w:tcW w:w="10031" w:type="dxa"/>
            <w:gridSpan w:val="2"/>
          </w:tcPr>
          <w:p w:rsidR="00690C7B" w:rsidRPr="00A843EA" w:rsidRDefault="00690C7B" w:rsidP="008E00C1">
            <w:pPr>
              <w:pStyle w:val="Title2"/>
              <w:spacing w:before="120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FD7866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 de l'ordre du jour</w:t>
            </w:r>
          </w:p>
        </w:tc>
      </w:tr>
    </w:tbl>
    <w:bookmarkEnd w:id="5"/>
    <w:p w:rsidR="001C0E40" w:rsidRPr="0000257F" w:rsidRDefault="002B5100" w:rsidP="00FD7866">
      <w:pPr>
        <w:rPr>
          <w:lang w:val="fr-CA"/>
        </w:rPr>
      </w:pPr>
      <w:r w:rsidRPr="0000257F">
        <w:rPr>
          <w:lang w:val="fr-CA"/>
        </w:rPr>
        <w:t>1.1</w:t>
      </w:r>
      <w:r w:rsidRPr="0000257F">
        <w:rPr>
          <w:lang w:val="fr-CA"/>
        </w:rPr>
        <w:tab/>
        <w:t>envisager des attributions de fréquences additionnelles au service mobile à titre primaire et identifier des bandes de fréquences additionnelles pour les Télécommunications mobiles internationales (IMT) ainsi que les dispositions réglementaires correspondantes, afin de faciliter le développement des applications mobiles à large bande de Terre, conformément à la Résolution </w:t>
      </w:r>
      <w:r w:rsidRPr="00645CBD">
        <w:rPr>
          <w:b/>
          <w:bCs/>
          <w:lang w:val="fr-CA"/>
        </w:rPr>
        <w:t>233 (CMR</w:t>
      </w:r>
      <w:r w:rsidRPr="00645CBD">
        <w:rPr>
          <w:b/>
          <w:bCs/>
          <w:lang w:val="fr-CA"/>
        </w:rPr>
        <w:noBreakHyphen/>
        <w:t>12)</w:t>
      </w:r>
      <w:r w:rsidRPr="0000257F">
        <w:rPr>
          <w:lang w:val="fr-CA"/>
        </w:rPr>
        <w:t>;</w:t>
      </w:r>
    </w:p>
    <w:p w:rsidR="00A843EA" w:rsidRPr="00FD7866" w:rsidRDefault="00FA3B92" w:rsidP="00FD7866">
      <w:pPr>
        <w:pStyle w:val="Headingb"/>
        <w:rPr>
          <w:lang w:val="fr-CH"/>
        </w:rPr>
      </w:pPr>
      <w:r w:rsidRPr="00FD7866">
        <w:t>Considérations</w:t>
      </w:r>
      <w:r w:rsidRPr="00FD7866">
        <w:rPr>
          <w:lang w:val="fr-CH"/>
        </w:rPr>
        <w:t xml:space="preserve"> générales</w:t>
      </w:r>
    </w:p>
    <w:p w:rsidR="00A843EA" w:rsidRPr="00FA3B92" w:rsidRDefault="00FA3B92" w:rsidP="00FD7866">
      <w:pPr>
        <w:rPr>
          <w:lang w:val="fr-CH"/>
        </w:rPr>
      </w:pPr>
      <w:r w:rsidRPr="00FA3B92">
        <w:rPr>
          <w:lang w:val="fr-CH"/>
        </w:rPr>
        <w:t>La Conférence mondiale des radiocommunications de 2012 (CMR–12) a reconnu que des bandes de fréquences additionnelles étaient nécessaire</w:t>
      </w:r>
      <w:r w:rsidR="00FD7866">
        <w:rPr>
          <w:lang w:val="fr-CH"/>
        </w:rPr>
        <w:t>s</w:t>
      </w:r>
      <w:r w:rsidRPr="00FA3B92">
        <w:rPr>
          <w:lang w:val="fr-CH"/>
        </w:rPr>
        <w:t xml:space="preserve"> pour prendre en charge le trafic de données mobiles croissant et a inscrit à l’ordre du jour de la CMR–15</w:t>
      </w:r>
      <w:r>
        <w:rPr>
          <w:lang w:val="fr-CH"/>
        </w:rPr>
        <w:t xml:space="preserve"> l’examen d’attribution</w:t>
      </w:r>
      <w:r w:rsidR="00FD7866">
        <w:rPr>
          <w:lang w:val="fr-CH"/>
        </w:rPr>
        <w:t>s</w:t>
      </w:r>
      <w:r>
        <w:rPr>
          <w:lang w:val="fr-CH"/>
        </w:rPr>
        <w:t xml:space="preserve"> de fréquences additionnelles au</w:t>
      </w:r>
      <w:r w:rsidR="00FD7866">
        <w:rPr>
          <w:lang w:val="fr-CH"/>
        </w:rPr>
        <w:t>x</w:t>
      </w:r>
      <w:r>
        <w:rPr>
          <w:lang w:val="fr-CH"/>
        </w:rPr>
        <w:t xml:space="preserve"> application</w:t>
      </w:r>
      <w:r w:rsidR="00FD7866">
        <w:rPr>
          <w:lang w:val="fr-CH"/>
        </w:rPr>
        <w:t>s</w:t>
      </w:r>
      <w:r>
        <w:rPr>
          <w:lang w:val="fr-CH"/>
        </w:rPr>
        <w:t xml:space="preserve"> mobiles à large bande de Terre.</w:t>
      </w:r>
      <w:r w:rsidRPr="00FA3B92">
        <w:rPr>
          <w:lang w:val="fr-CH"/>
        </w:rPr>
        <w:t xml:space="preserve"> </w:t>
      </w:r>
    </w:p>
    <w:p w:rsidR="00A843EA" w:rsidRPr="00FA3B92" w:rsidRDefault="00FA3B92" w:rsidP="00FD7866">
      <w:pPr>
        <w:rPr>
          <w:szCs w:val="24"/>
          <w:lang w:val="fr-CH"/>
        </w:rPr>
      </w:pPr>
      <w:r w:rsidRPr="00FA3B92">
        <w:rPr>
          <w:szCs w:val="24"/>
          <w:lang w:val="fr-CH"/>
        </w:rPr>
        <w:t xml:space="preserve">À sa première session, la RPC–15 a chargé le Groupe de travail </w:t>
      </w:r>
      <w:r w:rsidR="00A843EA" w:rsidRPr="00FA3B92">
        <w:rPr>
          <w:szCs w:val="24"/>
          <w:lang w:val="fr-CH"/>
        </w:rPr>
        <w:t>5D (</w:t>
      </w:r>
      <w:r>
        <w:rPr>
          <w:szCs w:val="24"/>
          <w:lang w:val="fr-CH"/>
        </w:rPr>
        <w:t>GT</w:t>
      </w:r>
      <w:r w:rsidR="00A843EA" w:rsidRPr="00FA3B92">
        <w:rPr>
          <w:szCs w:val="24"/>
          <w:lang w:val="fr-CH"/>
        </w:rPr>
        <w:t xml:space="preserve"> 5D) </w:t>
      </w:r>
      <w:r>
        <w:rPr>
          <w:szCs w:val="24"/>
          <w:lang w:val="fr-CH"/>
        </w:rPr>
        <w:t xml:space="preserve">de fournir </w:t>
      </w:r>
      <w:r w:rsidR="00FD7866">
        <w:rPr>
          <w:szCs w:val="24"/>
          <w:lang w:val="fr-CH"/>
        </w:rPr>
        <w:t xml:space="preserve">au Groupe d’action mixte </w:t>
      </w:r>
      <w:r w:rsidR="00FD7866" w:rsidRPr="00FA3B92">
        <w:rPr>
          <w:szCs w:val="24"/>
          <w:lang w:val="fr-CH"/>
        </w:rPr>
        <w:t> 4</w:t>
      </w:r>
      <w:r w:rsidR="00FD7866" w:rsidRPr="00FA3B92">
        <w:rPr>
          <w:szCs w:val="24"/>
          <w:lang w:val="fr-CH"/>
        </w:rPr>
        <w:noBreakHyphen/>
        <w:t>5</w:t>
      </w:r>
      <w:r w:rsidR="00FD7866" w:rsidRPr="00FA3B92">
        <w:rPr>
          <w:szCs w:val="24"/>
          <w:lang w:val="fr-CH"/>
        </w:rPr>
        <w:noBreakHyphen/>
        <w:t>6-7 (</w:t>
      </w:r>
      <w:r w:rsidR="00FD7866">
        <w:rPr>
          <w:szCs w:val="24"/>
          <w:lang w:val="fr-CH"/>
        </w:rPr>
        <w:t>GAM</w:t>
      </w:r>
      <w:r w:rsidR="00FD7866" w:rsidRPr="00FA3B92">
        <w:rPr>
          <w:szCs w:val="24"/>
          <w:lang w:val="fr-CH"/>
        </w:rPr>
        <w:t>)</w:t>
      </w:r>
      <w:r w:rsidR="00FD7866">
        <w:rPr>
          <w:szCs w:val="24"/>
          <w:lang w:val="fr-CH"/>
        </w:rPr>
        <w:t xml:space="preserve"> </w:t>
      </w:r>
      <w:r>
        <w:rPr>
          <w:szCs w:val="24"/>
          <w:lang w:val="fr-CH"/>
        </w:rPr>
        <w:t>des gammes de fréquences qui pourrai</w:t>
      </w:r>
      <w:r w:rsidR="00FD7866">
        <w:rPr>
          <w:szCs w:val="24"/>
          <w:lang w:val="fr-CH"/>
        </w:rPr>
        <w:t>en</w:t>
      </w:r>
      <w:r>
        <w:rPr>
          <w:szCs w:val="24"/>
          <w:lang w:val="fr-CH"/>
        </w:rPr>
        <w:t xml:space="preserve">t convenir pour l’exploitation des systèmes IMT. </w:t>
      </w:r>
      <w:r w:rsidRPr="00FA3B92">
        <w:rPr>
          <w:szCs w:val="24"/>
          <w:lang w:val="fr-CH"/>
        </w:rPr>
        <w:t xml:space="preserve">Le GT 5D a </w:t>
      </w:r>
      <w:r w:rsidR="00FD7866">
        <w:rPr>
          <w:szCs w:val="24"/>
          <w:lang w:val="fr-CH"/>
        </w:rPr>
        <w:t>inclus</w:t>
      </w:r>
      <w:r w:rsidRPr="00FA3B92">
        <w:rPr>
          <w:szCs w:val="24"/>
          <w:lang w:val="fr-CH"/>
        </w:rPr>
        <w:t xml:space="preserve"> les bandes de fréquences </w:t>
      </w:r>
      <w:r w:rsidR="00A843EA" w:rsidRPr="00FA3B92">
        <w:rPr>
          <w:szCs w:val="24"/>
          <w:lang w:val="fr-CH"/>
        </w:rPr>
        <w:t>2</w:t>
      </w:r>
      <w:r w:rsidR="00A843EA" w:rsidRPr="00FA3B92">
        <w:rPr>
          <w:b/>
          <w:color w:val="000000"/>
          <w:szCs w:val="24"/>
          <w:lang w:val="fr-CH"/>
        </w:rPr>
        <w:t> </w:t>
      </w:r>
      <w:r w:rsidR="00A843EA" w:rsidRPr="00FA3B92">
        <w:rPr>
          <w:szCs w:val="24"/>
          <w:lang w:val="fr-CH"/>
        </w:rPr>
        <w:t>025</w:t>
      </w:r>
      <w:r w:rsidR="00A843EA" w:rsidRPr="00FA3B92">
        <w:rPr>
          <w:szCs w:val="24"/>
          <w:lang w:val="fr-CH"/>
        </w:rPr>
        <w:noBreakHyphen/>
        <w:t>2</w:t>
      </w:r>
      <w:r w:rsidR="00A843EA" w:rsidRPr="00FA3B92">
        <w:rPr>
          <w:b/>
          <w:color w:val="000000"/>
          <w:szCs w:val="24"/>
          <w:lang w:val="fr-CH"/>
        </w:rPr>
        <w:t> </w:t>
      </w:r>
      <w:r w:rsidR="00A843EA" w:rsidRPr="00FA3B92">
        <w:rPr>
          <w:szCs w:val="24"/>
          <w:lang w:val="fr-CH"/>
        </w:rPr>
        <w:t xml:space="preserve">110 MHz </w:t>
      </w:r>
      <w:r w:rsidRPr="00FA3B92">
        <w:rPr>
          <w:szCs w:val="24"/>
          <w:lang w:val="fr-CH"/>
        </w:rPr>
        <w:t>et</w:t>
      </w:r>
      <w:r w:rsidR="00A843EA" w:rsidRPr="00FA3B92">
        <w:rPr>
          <w:szCs w:val="24"/>
          <w:lang w:val="fr-CH"/>
        </w:rPr>
        <w:t xml:space="preserve"> 2</w:t>
      </w:r>
      <w:r w:rsidR="00A843EA" w:rsidRPr="00FA3B92">
        <w:rPr>
          <w:b/>
          <w:color w:val="000000"/>
          <w:szCs w:val="24"/>
          <w:lang w:val="fr-CH"/>
        </w:rPr>
        <w:t> </w:t>
      </w:r>
      <w:r w:rsidR="00A843EA" w:rsidRPr="00FA3B92">
        <w:rPr>
          <w:szCs w:val="24"/>
          <w:lang w:val="fr-CH"/>
        </w:rPr>
        <w:t>200-2</w:t>
      </w:r>
      <w:r w:rsidR="00A843EA" w:rsidRPr="00FA3B92">
        <w:rPr>
          <w:b/>
          <w:color w:val="000000"/>
          <w:szCs w:val="24"/>
          <w:lang w:val="fr-CH"/>
        </w:rPr>
        <w:t> </w:t>
      </w:r>
      <w:r w:rsidR="00A843EA" w:rsidRPr="00FA3B92">
        <w:rPr>
          <w:szCs w:val="24"/>
          <w:lang w:val="fr-CH"/>
        </w:rPr>
        <w:t xml:space="preserve">290 MHz </w:t>
      </w:r>
      <w:r w:rsidRPr="00FA3B92">
        <w:rPr>
          <w:szCs w:val="24"/>
          <w:lang w:val="fr-CH"/>
        </w:rPr>
        <w:t xml:space="preserve">parmi les </w:t>
      </w:r>
      <w:r>
        <w:rPr>
          <w:szCs w:val="24"/>
          <w:lang w:val="fr-CH"/>
        </w:rPr>
        <w:t xml:space="preserve">nombreuses gammes de fréquences au-dessous de </w:t>
      </w:r>
      <w:r w:rsidR="00A843EA" w:rsidRPr="00FA3B92">
        <w:rPr>
          <w:szCs w:val="24"/>
          <w:lang w:val="fr-CH"/>
        </w:rPr>
        <w:t xml:space="preserve">6 GHz </w:t>
      </w:r>
      <w:r>
        <w:rPr>
          <w:szCs w:val="24"/>
          <w:lang w:val="fr-CH"/>
        </w:rPr>
        <w:t>fournies au GAM</w:t>
      </w:r>
      <w:r w:rsidR="00A843EA" w:rsidRPr="00FA3B92">
        <w:rPr>
          <w:szCs w:val="24"/>
          <w:lang w:val="fr-CH"/>
        </w:rPr>
        <w:t>.</w:t>
      </w:r>
    </w:p>
    <w:p w:rsidR="00A843EA" w:rsidRPr="00A843EA" w:rsidRDefault="00FA3B92" w:rsidP="008E00C1">
      <w:pPr>
        <w:rPr>
          <w:lang w:val="fr-CH"/>
        </w:rPr>
      </w:pPr>
      <w:r w:rsidRPr="00FA3B92">
        <w:rPr>
          <w:lang w:val="fr-CH"/>
        </w:rPr>
        <w:t>La CMR–12 a décidé d’inviter l’UIT–R à réaliser des études de partage et de compatibilité entre les systèmes IMT et les systèmes de service</w:t>
      </w:r>
      <w:r w:rsidR="00FD7866">
        <w:rPr>
          <w:lang w:val="fr-CH"/>
        </w:rPr>
        <w:t>s</w:t>
      </w:r>
      <w:r w:rsidRPr="00FA3B92">
        <w:rPr>
          <w:lang w:val="fr-CH"/>
        </w:rPr>
        <w:t xml:space="preserve"> bénéficiant déjà d’attributions dans</w:t>
      </w:r>
      <w:r>
        <w:rPr>
          <w:lang w:val="fr-CH"/>
        </w:rPr>
        <w:t xml:space="preserve"> </w:t>
      </w:r>
      <w:r w:rsidR="00FD7866">
        <w:rPr>
          <w:lang w:val="fr-CH"/>
        </w:rPr>
        <w:t>les</w:t>
      </w:r>
      <w:r>
        <w:rPr>
          <w:lang w:val="fr-CH"/>
        </w:rPr>
        <w:t xml:space="preserve"> bandes qui pourraient être envisagées et dans les bandes adjacentes, selon le cas, compte tenu de l’utilisation actuelle et prévu</w:t>
      </w:r>
      <w:r w:rsidR="00FD7866">
        <w:rPr>
          <w:lang w:val="fr-CH"/>
        </w:rPr>
        <w:t>e</w:t>
      </w:r>
      <w:r>
        <w:rPr>
          <w:lang w:val="fr-CH"/>
        </w:rPr>
        <w:t xml:space="preserve"> de ces bandes par les services existants. À sa première session, la RPC–15 a chargé le GAM de réaliser les études. Les études soumises au</w:t>
      </w:r>
      <w:r w:rsidR="005A3DE1">
        <w:rPr>
          <w:lang w:val="fr-CH"/>
        </w:rPr>
        <w:t xml:space="preserve"> GAM, qui visaient à évaluer s’il était possible de prendre en charge les systèmes IMT LTE dans les </w:t>
      </w:r>
      <w:r w:rsidR="00FA64B4">
        <w:rPr>
          <w:lang w:val="fr-CH"/>
        </w:rPr>
        <w:t>gammes de fréquences</w:t>
      </w:r>
      <w:r w:rsidR="00A843EA" w:rsidRPr="00FA64B4">
        <w:rPr>
          <w:lang w:val="fr-CH"/>
        </w:rPr>
        <w:t xml:space="preserve"> 2</w:t>
      </w:r>
      <w:r w:rsidR="00A843EA" w:rsidRPr="00FA64B4">
        <w:rPr>
          <w:b/>
          <w:color w:val="000000"/>
          <w:lang w:val="fr-CH"/>
        </w:rPr>
        <w:t> </w:t>
      </w:r>
      <w:r w:rsidR="00A843EA" w:rsidRPr="00FA64B4">
        <w:rPr>
          <w:lang w:val="fr-CH"/>
        </w:rPr>
        <w:t>025-2</w:t>
      </w:r>
      <w:r w:rsidR="00A843EA" w:rsidRPr="00FA64B4">
        <w:rPr>
          <w:b/>
          <w:color w:val="000000"/>
          <w:lang w:val="fr-CH"/>
        </w:rPr>
        <w:t> </w:t>
      </w:r>
      <w:r w:rsidR="00A843EA" w:rsidRPr="00FA64B4">
        <w:rPr>
          <w:lang w:val="fr-CH"/>
        </w:rPr>
        <w:t xml:space="preserve">110 MHz </w:t>
      </w:r>
      <w:r w:rsidR="00FA64B4">
        <w:rPr>
          <w:lang w:val="fr-CH"/>
        </w:rPr>
        <w:t>et</w:t>
      </w:r>
      <w:r w:rsidR="00A843EA" w:rsidRPr="00FA64B4">
        <w:rPr>
          <w:lang w:val="fr-CH"/>
        </w:rPr>
        <w:t xml:space="preserve"> 2</w:t>
      </w:r>
      <w:r w:rsidR="00A843EA" w:rsidRPr="00FA64B4">
        <w:rPr>
          <w:b/>
          <w:color w:val="000000"/>
          <w:lang w:val="fr-CH"/>
        </w:rPr>
        <w:t> </w:t>
      </w:r>
      <w:r w:rsidR="00A843EA" w:rsidRPr="00FA64B4">
        <w:rPr>
          <w:lang w:val="fr-CH"/>
        </w:rPr>
        <w:t>200-2</w:t>
      </w:r>
      <w:r w:rsidR="00A843EA" w:rsidRPr="00FA64B4">
        <w:rPr>
          <w:b/>
          <w:color w:val="000000"/>
          <w:lang w:val="fr-CH"/>
        </w:rPr>
        <w:t> </w:t>
      </w:r>
      <w:r w:rsidR="00A843EA" w:rsidRPr="00FA64B4">
        <w:rPr>
          <w:lang w:val="fr-CH"/>
        </w:rPr>
        <w:t>290 MHz</w:t>
      </w:r>
      <w:r w:rsidR="00FA64B4">
        <w:rPr>
          <w:lang w:val="fr-CH"/>
        </w:rPr>
        <w:t xml:space="preserve"> ont montré que le partage avec les services existan</w:t>
      </w:r>
      <w:r w:rsidR="00FD7866">
        <w:rPr>
          <w:lang w:val="fr-CH"/>
        </w:rPr>
        <w:t>ts n’était pas possible dans c</w:t>
      </w:r>
      <w:r w:rsidR="00FA64B4">
        <w:rPr>
          <w:lang w:val="fr-CH"/>
        </w:rPr>
        <w:t xml:space="preserve">es gammes de fréquences. </w:t>
      </w:r>
      <w:r w:rsidR="00FA64B4" w:rsidRPr="00884F33">
        <w:rPr>
          <w:lang w:val="fr-CH"/>
        </w:rPr>
        <w:t>Ces études</w:t>
      </w:r>
      <w:r w:rsidR="00884F33">
        <w:rPr>
          <w:lang w:val="fr-CH"/>
        </w:rPr>
        <w:t xml:space="preserve"> </w:t>
      </w:r>
      <w:r w:rsidR="00FD7866">
        <w:rPr>
          <w:lang w:val="fr-CH"/>
        </w:rPr>
        <w:t>sont venues</w:t>
      </w:r>
      <w:r w:rsidR="00A843EA" w:rsidRPr="006266CF">
        <w:rPr>
          <w:lang w:val="fr-CH"/>
        </w:rPr>
        <w:t xml:space="preserve"> confirmer les études</w:t>
      </w:r>
      <w:r w:rsidR="00A843EA">
        <w:rPr>
          <w:lang w:val="fr-CH"/>
        </w:rPr>
        <w:t xml:space="preserve"> </w:t>
      </w:r>
      <w:r w:rsidR="00A843EA" w:rsidRPr="006266CF">
        <w:rPr>
          <w:lang w:val="fr-CH"/>
        </w:rPr>
        <w:t>antérieures</w:t>
      </w:r>
      <w:r w:rsidR="00A843EA">
        <w:rPr>
          <w:lang w:val="fr-CH"/>
        </w:rPr>
        <w:t xml:space="preserve"> </w:t>
      </w:r>
      <w:r w:rsidR="00A843EA" w:rsidRPr="006266CF">
        <w:rPr>
          <w:lang w:val="fr-CH"/>
        </w:rPr>
        <w:t>de l</w:t>
      </w:r>
      <w:r w:rsidR="00A843EA">
        <w:rPr>
          <w:lang w:val="fr-CH"/>
        </w:rPr>
        <w:t>'</w:t>
      </w:r>
      <w:r w:rsidR="00A843EA" w:rsidRPr="006266CF">
        <w:rPr>
          <w:lang w:val="fr-CH"/>
        </w:rPr>
        <w:t>UIT</w:t>
      </w:r>
      <w:r w:rsidR="00FD7866">
        <w:rPr>
          <w:lang w:val="fr-CH"/>
        </w:rPr>
        <w:noBreakHyphen/>
        <w:t>R</w:t>
      </w:r>
      <w:r w:rsidR="00A843EA">
        <w:rPr>
          <w:lang w:val="fr-CH"/>
        </w:rPr>
        <w:t xml:space="preserve"> </w:t>
      </w:r>
      <w:r w:rsidR="00A843EA" w:rsidRPr="00B245B1">
        <w:rPr>
          <w:lang w:val="fr-CH"/>
        </w:rPr>
        <w:t>qui ont abouti à l'adoption du numéro</w:t>
      </w:r>
      <w:r w:rsidR="00A843EA">
        <w:rPr>
          <w:lang w:val="fr-CH"/>
        </w:rPr>
        <w:t> </w:t>
      </w:r>
      <w:r w:rsidR="00A843EA" w:rsidRPr="008E00C1">
        <w:rPr>
          <w:lang w:val="fr-CH"/>
        </w:rPr>
        <w:t>5.391</w:t>
      </w:r>
      <w:r w:rsidR="00A843EA">
        <w:rPr>
          <w:lang w:val="fr-CH"/>
        </w:rPr>
        <w:t xml:space="preserve"> du RR lors de la </w:t>
      </w:r>
      <w:r w:rsidR="00A843EA" w:rsidRPr="00B245B1">
        <w:rPr>
          <w:lang w:val="fr-CH"/>
        </w:rPr>
        <w:t xml:space="preserve">CMR-97, selon lequel les systèmes mobiles à haute densité </w:t>
      </w:r>
      <w:r w:rsidR="00A843EA" w:rsidRPr="00B245B1">
        <w:rPr>
          <w:color w:val="000000"/>
        </w:rPr>
        <w:t xml:space="preserve">ne doivent pas être mis en </w:t>
      </w:r>
      <w:r w:rsidR="00A843EA">
        <w:rPr>
          <w:color w:val="000000"/>
        </w:rPr>
        <w:t>oe</w:t>
      </w:r>
      <w:r w:rsidR="00A843EA" w:rsidRPr="00B245B1">
        <w:rPr>
          <w:color w:val="000000"/>
        </w:rPr>
        <w:t>uvre</w:t>
      </w:r>
      <w:r w:rsidR="00A843EA" w:rsidRPr="00B245B1">
        <w:rPr>
          <w:lang w:val="fr-CH"/>
        </w:rPr>
        <w:t xml:space="preserve"> dans ce</w:t>
      </w:r>
      <w:r w:rsidR="00A843EA">
        <w:rPr>
          <w:lang w:val="fr-CH"/>
        </w:rPr>
        <w:t>s</w:t>
      </w:r>
      <w:r w:rsidR="00A843EA" w:rsidRPr="00B245B1">
        <w:rPr>
          <w:lang w:val="fr-CH"/>
        </w:rPr>
        <w:t xml:space="preserve"> bande</w:t>
      </w:r>
      <w:r w:rsidR="00A843EA">
        <w:rPr>
          <w:lang w:val="fr-CH"/>
        </w:rPr>
        <w:t>s</w:t>
      </w:r>
      <w:r w:rsidR="00A843EA" w:rsidRPr="00B245B1">
        <w:rPr>
          <w:lang w:val="fr-CH"/>
        </w:rPr>
        <w:t xml:space="preserve"> de fréquences.</w:t>
      </w:r>
    </w:p>
    <w:p w:rsidR="003A583E" w:rsidRPr="00A843EA" w:rsidRDefault="00A843EA" w:rsidP="00FD7866">
      <w:pPr>
        <w:pStyle w:val="Headingb"/>
        <w:rPr>
          <w:lang w:val="fr-CH"/>
        </w:rPr>
      </w:pPr>
      <w:r w:rsidRPr="00A843EA">
        <w:rPr>
          <w:lang w:val="fr-CH"/>
        </w:rPr>
        <w:t>P</w:t>
      </w:r>
      <w:r>
        <w:rPr>
          <w:lang w:val="fr-CH"/>
        </w:rPr>
        <w:t>ropositions</w:t>
      </w:r>
    </w:p>
    <w:p w:rsidR="0015203F" w:rsidRDefault="0015203F" w:rsidP="00FD786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2B5100" w:rsidP="00FD7866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2B5100" w:rsidP="00FD7866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2B5100" w:rsidP="00FD7866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260AE5">
        <w:t>(Voir le numéro 2.1)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9D4D53" w:rsidRDefault="002B5100" w:rsidP="00FD7866">
      <w:pPr>
        <w:pStyle w:val="Proposal"/>
      </w:pPr>
      <w:r>
        <w:rPr>
          <w:u w:val="single"/>
        </w:rPr>
        <w:t>NOC</w:t>
      </w:r>
      <w:r w:rsidR="00A843EA">
        <w:tab/>
        <w:t>IAP/7A1</w:t>
      </w:r>
      <w:r>
        <w:t>/10</w:t>
      </w:r>
    </w:p>
    <w:p w:rsidR="004A6A8C" w:rsidRDefault="002B5100" w:rsidP="00FD7866">
      <w:pPr>
        <w:pStyle w:val="Tabletitle"/>
        <w:rPr>
          <w:color w:val="000000"/>
        </w:rPr>
      </w:pPr>
      <w:r>
        <w:rPr>
          <w:color w:val="000000"/>
        </w:rPr>
        <w:t>1 710-2 170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4A6A8C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2B5100" w:rsidP="00FD7866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2B5100" w:rsidP="00FD7866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2B5100" w:rsidP="00FD7866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2B5100" w:rsidP="00FD7866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2B5100" w:rsidP="00FD7866">
            <w:pPr>
              <w:pStyle w:val="TableTextS5"/>
              <w:rPr>
                <w:color w:val="000000"/>
              </w:rPr>
            </w:pPr>
            <w:r w:rsidRPr="0046453D">
              <w:rPr>
                <w:rStyle w:val="Tablefreq"/>
              </w:rPr>
              <w:t>2 025-2 110</w:t>
            </w:r>
            <w:r>
              <w:rPr>
                <w:color w:val="000000"/>
              </w:rPr>
              <w:tab/>
              <w:t>EXPLOITATION SPATIALE (Terre vers espace) (espace-espace)</w:t>
            </w:r>
          </w:p>
          <w:p w:rsidR="004A6A8C" w:rsidRDefault="002B5100" w:rsidP="00FD7866">
            <w:pPr>
              <w:pStyle w:val="TableTextS5"/>
              <w:ind w:left="3266" w:hanging="3266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EXPLORATION DE LA TERRE PAR SATELLITE</w:t>
            </w:r>
            <w:r>
              <w:rPr>
                <w:color w:val="000000"/>
              </w:rPr>
              <w:br/>
              <w:t>(Terre vers espace) (espace-espace)</w:t>
            </w:r>
          </w:p>
          <w:p w:rsidR="004A6A8C" w:rsidRDefault="002B5100" w:rsidP="00FD7866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</w:p>
          <w:p w:rsidR="004A6A8C" w:rsidRDefault="002B5100" w:rsidP="00FD7866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MOBILE  </w:t>
            </w:r>
            <w:r>
              <w:rPr>
                <w:rStyle w:val="Artref"/>
                <w:color w:val="000000"/>
              </w:rPr>
              <w:t>5.391</w:t>
            </w:r>
          </w:p>
          <w:p w:rsidR="004A6A8C" w:rsidRDefault="002B5100" w:rsidP="00FD7866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RECHERCHE SPATIALE (Terre vers espace) (espace-espace)</w:t>
            </w:r>
          </w:p>
          <w:p w:rsidR="004A6A8C" w:rsidRDefault="002B5100" w:rsidP="00FD7866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5.392</w:t>
            </w:r>
          </w:p>
        </w:tc>
      </w:tr>
    </w:tbl>
    <w:p w:rsidR="009D4D53" w:rsidRPr="00FD7866" w:rsidRDefault="002B5100" w:rsidP="00FD7866">
      <w:pPr>
        <w:pStyle w:val="Reasons"/>
        <w:rPr>
          <w:lang w:val="fr-CH"/>
        </w:rPr>
      </w:pPr>
      <w:r w:rsidRPr="00884F33">
        <w:rPr>
          <w:b/>
        </w:rPr>
        <w:t>Motifs:</w:t>
      </w:r>
      <w:r w:rsidRPr="00884F33">
        <w:tab/>
      </w:r>
      <w:r w:rsidR="00884F33" w:rsidRPr="00884F33">
        <w:t>Il ressort des études de l’UIT–R que le p</w:t>
      </w:r>
      <w:r w:rsidR="00FD7866">
        <w:t>artage entre les systèmes IMT (T</w:t>
      </w:r>
      <w:r w:rsidR="00884F33" w:rsidRPr="00884F33">
        <w:t>élécommunications mobi</w:t>
      </w:r>
      <w:bookmarkStart w:id="6" w:name="_GoBack"/>
      <w:bookmarkEnd w:id="6"/>
      <w:r w:rsidR="00884F33" w:rsidRPr="00884F33">
        <w:t xml:space="preserve">les internationales) et les systèmes </w:t>
      </w:r>
      <w:r w:rsidR="00884F33">
        <w:t xml:space="preserve">des services existants dans la bande 2025–2110 MHz n’est pas possible. </w:t>
      </w:r>
    </w:p>
    <w:p w:rsidR="009D4D53" w:rsidRDefault="002B5100" w:rsidP="00FD7866">
      <w:pPr>
        <w:pStyle w:val="Proposal"/>
      </w:pPr>
      <w:r>
        <w:rPr>
          <w:u w:val="single"/>
        </w:rPr>
        <w:t>NOC</w:t>
      </w:r>
      <w:r w:rsidR="00A843EA">
        <w:tab/>
        <w:t>IAP/7A1</w:t>
      </w:r>
      <w:r>
        <w:t>/11</w:t>
      </w:r>
    </w:p>
    <w:p w:rsidR="004A6A8C" w:rsidRDefault="002B5100" w:rsidP="00FD7866">
      <w:pPr>
        <w:pStyle w:val="Tabletitle"/>
        <w:rPr>
          <w:color w:val="000000"/>
        </w:rPr>
      </w:pPr>
      <w:r>
        <w:rPr>
          <w:color w:val="000000"/>
        </w:rPr>
        <w:t>2 170-2 520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2B5100" w:rsidP="00FD7866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2B5100" w:rsidP="00FD7866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2B5100" w:rsidP="00FD7866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2B5100" w:rsidP="00FD7866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2B5100" w:rsidP="00FD7866">
            <w:pPr>
              <w:pStyle w:val="TableTextS5"/>
              <w:spacing w:before="10" w:after="10"/>
              <w:rPr>
                <w:color w:val="000000"/>
              </w:rPr>
            </w:pPr>
            <w:r w:rsidRPr="0046453D">
              <w:rPr>
                <w:rStyle w:val="Tablefreq"/>
              </w:rPr>
              <w:t>2 200-2 290</w:t>
            </w:r>
            <w:r>
              <w:rPr>
                <w:color w:val="000000"/>
              </w:rPr>
              <w:tab/>
              <w:t>EXPLOITATION SPATIALE (espace vers Terre) (espace-espace)</w:t>
            </w:r>
          </w:p>
          <w:p w:rsidR="004A6A8C" w:rsidRDefault="002B5100" w:rsidP="00FD7866">
            <w:pPr>
              <w:pStyle w:val="TableTextS5"/>
              <w:spacing w:before="10" w:after="10"/>
              <w:ind w:left="3266" w:hanging="3266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EXPLORATION DE LA TERRE PAR SATELLITE (espace vers Terre) (espace-espace)</w:t>
            </w:r>
          </w:p>
          <w:p w:rsidR="004A6A8C" w:rsidRDefault="002B5100" w:rsidP="00FD7866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</w:p>
          <w:p w:rsidR="004A6A8C" w:rsidRDefault="002B5100" w:rsidP="00FD7866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MOBILE  </w:t>
            </w:r>
            <w:r>
              <w:rPr>
                <w:rStyle w:val="Artref"/>
                <w:color w:val="000000"/>
              </w:rPr>
              <w:t>5.391</w:t>
            </w:r>
          </w:p>
          <w:p w:rsidR="004A6A8C" w:rsidRDefault="002B5100" w:rsidP="00FD7866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RECHERCHE SPATIALE (espace vers Terre) (espace-espace)</w:t>
            </w:r>
          </w:p>
          <w:p w:rsidR="004A6A8C" w:rsidRDefault="002B5100" w:rsidP="00FD7866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5.392</w:t>
            </w:r>
          </w:p>
        </w:tc>
      </w:tr>
    </w:tbl>
    <w:p w:rsidR="00A843EA" w:rsidRPr="00884F33" w:rsidRDefault="002B5100" w:rsidP="00FD7866">
      <w:pPr>
        <w:pStyle w:val="Reasons"/>
        <w:rPr>
          <w:szCs w:val="24"/>
          <w:lang w:val="fr-CH"/>
        </w:rPr>
      </w:pPr>
      <w:r w:rsidRPr="00884F33">
        <w:rPr>
          <w:b/>
          <w:lang w:val="fr-CH"/>
        </w:rPr>
        <w:t>Motifs:</w:t>
      </w:r>
      <w:r w:rsidRPr="00884F33">
        <w:rPr>
          <w:lang w:val="fr-CH"/>
        </w:rPr>
        <w:tab/>
      </w:r>
      <w:r w:rsidR="00884F33" w:rsidRPr="00884F33">
        <w:t>Il ressort des études de l’UIT–R que le p</w:t>
      </w:r>
      <w:r w:rsidR="00FD7866">
        <w:t>artage entre les systèmes IMT (T</w:t>
      </w:r>
      <w:r w:rsidR="00884F33" w:rsidRPr="00884F33">
        <w:t xml:space="preserve">élécommunications mobiles internationales) et les systèmes </w:t>
      </w:r>
      <w:r w:rsidR="00884F33">
        <w:t xml:space="preserve">des services existants dans la bande </w:t>
      </w:r>
      <w:r w:rsidR="00A843EA" w:rsidRPr="00884F33">
        <w:rPr>
          <w:szCs w:val="24"/>
          <w:lang w:val="fr-CH"/>
        </w:rPr>
        <w:t>2</w:t>
      </w:r>
      <w:r w:rsidR="00A843EA" w:rsidRPr="00884F33">
        <w:rPr>
          <w:b/>
          <w:color w:val="000000"/>
          <w:szCs w:val="24"/>
          <w:lang w:val="fr-CH"/>
        </w:rPr>
        <w:t> </w:t>
      </w:r>
      <w:r w:rsidR="00A843EA" w:rsidRPr="00884F33">
        <w:rPr>
          <w:szCs w:val="24"/>
          <w:lang w:val="fr-CH"/>
        </w:rPr>
        <w:t>200-2</w:t>
      </w:r>
      <w:r w:rsidR="00A843EA" w:rsidRPr="00884F33">
        <w:rPr>
          <w:b/>
          <w:color w:val="000000"/>
          <w:szCs w:val="24"/>
          <w:lang w:val="fr-CH"/>
        </w:rPr>
        <w:t> </w:t>
      </w:r>
      <w:r w:rsidR="00A843EA" w:rsidRPr="00884F33">
        <w:rPr>
          <w:szCs w:val="24"/>
          <w:lang w:val="fr-CH"/>
        </w:rPr>
        <w:t xml:space="preserve">290 MHz </w:t>
      </w:r>
      <w:r w:rsidR="00884F33">
        <w:rPr>
          <w:szCs w:val="24"/>
          <w:lang w:val="fr-CH"/>
        </w:rPr>
        <w:t xml:space="preserve">n’est pas possible. </w:t>
      </w:r>
    </w:p>
    <w:p w:rsidR="00A843EA" w:rsidRDefault="00A843EA" w:rsidP="00FD7866">
      <w:pPr>
        <w:jc w:val="center"/>
      </w:pPr>
      <w:r>
        <w:t>______________</w:t>
      </w:r>
    </w:p>
    <w:p w:rsidR="00A843EA" w:rsidRPr="00884F33" w:rsidRDefault="00A843EA" w:rsidP="00FD7866">
      <w:pPr>
        <w:pStyle w:val="Reasons"/>
        <w:rPr>
          <w:lang w:val="fr-CH"/>
        </w:rPr>
      </w:pPr>
    </w:p>
    <w:sectPr w:rsidR="00A843EA" w:rsidRPr="00884F3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23BC3">
      <w:rPr>
        <w:noProof/>
        <w:lang w:val="en-US"/>
      </w:rPr>
      <w:t>P:\FRA\ITU-R\CONF-R\CMR15\000\007ADD01ADD05F.docx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3BC3">
      <w:rPr>
        <w:noProof/>
      </w:rPr>
      <w:t>14.10.15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23BC3">
      <w:rPr>
        <w:noProof/>
      </w:rPr>
      <w:t>14.10.15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23BC3">
      <w:rPr>
        <w:lang w:val="en-US"/>
      </w:rPr>
      <w:t>P:\FRA\ITU-R\CONF-R\CMR15\000\007ADD01ADD05F.docx</w:t>
    </w:r>
    <w:r>
      <w:fldChar w:fldCharType="end"/>
    </w:r>
    <w:r w:rsidR="00A843EA">
      <w:t xml:space="preserve"> (387577)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3BC3">
      <w:t>14.10.15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23BC3">
      <w:t>14.10.15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23BC3">
      <w:rPr>
        <w:lang w:val="en-US"/>
      </w:rPr>
      <w:t>P:\FRA\ITU-R\CONF-R\CMR15\000\007ADD01ADD05F.docx</w:t>
    </w:r>
    <w:r>
      <w:fldChar w:fldCharType="end"/>
    </w:r>
    <w:r w:rsidR="00A843EA">
      <w:t xml:space="preserve"> (387577)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3BC3">
      <w:t>14.10.15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23BC3">
      <w:t>14.10.15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23BC3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7(Add.1)(Add.5)-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BB9366-5E0F-488F-BD6F-1B598C9AB35A}"/>
    <w:docVar w:name="dgnword-eventsink" w:val="157819104"/>
  </w:docVars>
  <w:rsids>
    <w:rsidRoot w:val="00BB1D82"/>
    <w:rsid w:val="00007EC7"/>
    <w:rsid w:val="00010B43"/>
    <w:rsid w:val="00016648"/>
    <w:rsid w:val="0003522F"/>
    <w:rsid w:val="00080E2C"/>
    <w:rsid w:val="00082CE9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B5100"/>
    <w:rsid w:val="002C0EBF"/>
    <w:rsid w:val="002C28A4"/>
    <w:rsid w:val="00315AFE"/>
    <w:rsid w:val="0033717A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23BC3"/>
    <w:rsid w:val="00586CF2"/>
    <w:rsid w:val="005A3DE1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84F33"/>
    <w:rsid w:val="008A3120"/>
    <w:rsid w:val="008B74FB"/>
    <w:rsid w:val="008D41BE"/>
    <w:rsid w:val="008D58D3"/>
    <w:rsid w:val="008E00C1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9D4D53"/>
    <w:rsid w:val="00A00473"/>
    <w:rsid w:val="00A03C9B"/>
    <w:rsid w:val="00A37105"/>
    <w:rsid w:val="00A606C3"/>
    <w:rsid w:val="00A83B09"/>
    <w:rsid w:val="00A843EA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96046"/>
    <w:rsid w:val="00EA3F38"/>
    <w:rsid w:val="00EA5AB6"/>
    <w:rsid w:val="00EC7615"/>
    <w:rsid w:val="00ED16AA"/>
    <w:rsid w:val="00EF662E"/>
    <w:rsid w:val="00F148F1"/>
    <w:rsid w:val="00FA3B92"/>
    <w:rsid w:val="00FA3BBF"/>
    <w:rsid w:val="00FA64B4"/>
    <w:rsid w:val="00FC41F8"/>
    <w:rsid w:val="00FD7866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1A290EB-D0E7-49EB-A9E2-2B105F48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aliases w:val="超级链接"/>
    <w:basedOn w:val="DefaultParagraphFont"/>
    <w:uiPriority w:val="99"/>
    <w:rsid w:val="00A84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R15-WRC15-C-0007!A1-A5!MSW-F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91116C-59B3-4FE4-88A4-78EC63E0E7F9}">
  <ds:schemaRefs>
    <ds:schemaRef ds:uri="http://purl.org/dc/dcmitype/"/>
    <ds:schemaRef ds:uri="http://schemas.microsoft.com/office/infopath/2007/PartnerControls"/>
    <ds:schemaRef ds:uri="http://purl.org/dc/terms/"/>
    <ds:schemaRef ds:uri="32a1a8c5-2265-4ebc-b7a0-2071e2c5c9bb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564</Words>
  <Characters>3095</Characters>
  <Application>Microsoft Office Word</Application>
  <DocSecurity>0</DocSecurity>
  <Lines>86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R15-WRC15-C-0007!A1-A5!MSW-F</vt:lpstr>
    </vt:vector>
  </TitlesOfParts>
  <Manager>Secrétariat général - Pool</Manager>
  <Company>Union internationale des télécommunications (UIT)</Company>
  <LinksUpToDate>false</LinksUpToDate>
  <CharactersWithSpaces>3654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R15-WRC15-C-0007!A1-A5!MSW-F</dc:title>
  <dc:subject>Conférence mondiale des radiocommunications - 2015</dc:subject>
  <dc:creator>Documents Proposals Manager (DPM)</dc:creator>
  <cp:keywords>DPM_v5.2015.9.16_prod</cp:keywords>
  <dc:description/>
  <cp:lastModifiedBy>Jones, Jacqueline</cp:lastModifiedBy>
  <cp:revision>6</cp:revision>
  <cp:lastPrinted>2015-10-14T20:21:00Z</cp:lastPrinted>
  <dcterms:created xsi:type="dcterms:W3CDTF">2015-10-13T15:58:00Z</dcterms:created>
  <dcterms:modified xsi:type="dcterms:W3CDTF">2015-10-14T20:21:00Z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