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9259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E9259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9259D" w:rsidRDefault="003E1608" w:rsidP="00ED66EE">
            <w:pPr>
              <w:pStyle w:val="Adress"/>
              <w:framePr w:hSpace="0" w:wrap="auto" w:xAlign="left" w:yAlign="inline"/>
              <w:rPr>
                <w:rtl/>
              </w:rPr>
            </w:pPr>
            <w:r w:rsidRPr="00E9259D">
              <w:rPr>
                <w:rtl/>
              </w:rPr>
              <w:t xml:space="preserve">الإضافة </w:t>
            </w:r>
            <w:r w:rsidRPr="00E9259D">
              <w:t>5</w:t>
            </w:r>
            <w:r w:rsidRPr="00E9259D">
              <w:br/>
            </w:r>
            <w:r w:rsidRPr="00E9259D">
              <w:rPr>
                <w:rtl/>
              </w:rPr>
              <w:t xml:space="preserve">للوثيقة </w:t>
            </w:r>
            <w:r w:rsidRPr="00E9259D">
              <w:t>7(Add.1)</w:t>
            </w:r>
            <w:r w:rsidR="00E9259D"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9259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9259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9259D">
              <w:rPr>
                <w:rFonts w:eastAsia="SimSun"/>
              </w:rPr>
              <w:t>29</w:t>
            </w:r>
            <w:r w:rsidRPr="00E9259D">
              <w:rPr>
                <w:rFonts w:eastAsia="SimSun"/>
                <w:rtl/>
              </w:rPr>
              <w:t xml:space="preserve"> سبتمبر </w:t>
            </w:r>
            <w:r w:rsidRPr="00E9259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9259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9259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9259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6A408A">
            <w:pPr>
              <w:pStyle w:val="Adress"/>
              <w:framePr w:hSpace="0" w:wrap="auto" w:xAlign="left" w:yAlign="inline"/>
              <w:spacing w:line="120" w:lineRule="auto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29314B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Pr="00884AED">
              <w:rPr>
                <w:rFonts w:asciiTheme="majorBidi" w:hAnsiTheme="majorBidi" w:cstheme="majorBidi"/>
                <w:szCs w:val="28"/>
                <w:rtl/>
              </w:rPr>
              <w:t>(</w:t>
            </w:r>
            <w:r w:rsidR="0029314B">
              <w:rPr>
                <w:rFonts w:asciiTheme="majorBidi" w:hAnsiTheme="majorBidi" w:cstheme="majorBidi"/>
                <w:szCs w:val="28"/>
              </w:rPr>
              <w:t>CITEL</w:t>
            </w:r>
            <w:r w:rsidRPr="00884AED">
              <w:rPr>
                <w:rFonts w:asciiTheme="majorBidi" w:hAnsiTheme="majorBidi" w:cstheme="majorBidi"/>
                <w:szCs w:val="28"/>
                <w:rtl/>
              </w:rPr>
              <w:t>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84AE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C502A0">
            <w:pPr>
              <w:spacing w:before="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884AE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884AED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F466DD" w:rsidP="004E7C4D">
      <w:pPr>
        <w:rPr>
          <w:rFonts w:eastAsia="SimSun"/>
          <w:rtl/>
          <w:lang w:bidi="ar-EG"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bookmarkStart w:id="1" w:name="_GoBack"/>
      <w:bookmarkEnd w:id="1"/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="006C0C43">
        <w:rPr>
          <w:rFonts w:eastAsia="SimSun" w:hint="eastAsia"/>
          <w:rtl/>
          <w:lang w:bidi="ar-SY"/>
        </w:rPr>
        <w:t> </w:t>
      </w:r>
      <w:r w:rsidR="006C0C43">
        <w:rPr>
          <w:rFonts w:eastAsia="SimSun"/>
          <w:b/>
          <w:bCs/>
          <w:lang w:bidi="ar-SY"/>
        </w:rPr>
        <w:t>233 </w:t>
      </w:r>
      <w:r w:rsidRPr="00431196">
        <w:rPr>
          <w:rFonts w:eastAsia="SimSun"/>
          <w:b/>
          <w:bCs/>
          <w:lang w:bidi="ar-SY"/>
        </w:rPr>
        <w:t>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493BF4" w:rsidP="00493BF4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493BF4" w:rsidRDefault="009F58A4" w:rsidP="006C0C43">
      <w:pPr>
        <w:rPr>
          <w:rtl/>
        </w:rPr>
      </w:pPr>
      <w:r>
        <w:rPr>
          <w:rFonts w:hint="cs"/>
          <w:rtl/>
        </w:rPr>
        <w:t xml:space="preserve">أقر المؤتمر العالمي للاتصالات الراديوية لعام </w:t>
      </w:r>
      <w:r w:rsidRPr="00A4115D">
        <w:rPr>
          <w:rFonts w:cs="Times New Roman" w:hint="cs"/>
          <w:szCs w:val="22"/>
          <w:rtl/>
        </w:rPr>
        <w:t>2012</w:t>
      </w:r>
      <w:r>
        <w:rPr>
          <w:rFonts w:hint="cs"/>
          <w:rtl/>
        </w:rPr>
        <w:t xml:space="preserve"> </w:t>
      </w:r>
      <w:r w:rsidR="00A65E5A">
        <w:t>(</w:t>
      </w:r>
      <w:r w:rsidR="00A65E5A" w:rsidRPr="00542A11">
        <w:t>WRC-12</w:t>
      </w:r>
      <w:r w:rsidR="00A65E5A">
        <w:t>)</w:t>
      </w:r>
      <w:r>
        <w:rPr>
          <w:rFonts w:hint="cs"/>
          <w:rtl/>
        </w:rPr>
        <w:t xml:space="preserve"> بالحاجة إلى طيف راديوي إضافي لدعم حركة البيانات المتنقلة المتزايدة، وأدرج النظر في منح توزيعات إضافية من الطيف لتطبيقات الاتصالات المتنقلة عريضة النطاق للأرض ضمن جدول أعمال مؤتمر</w:t>
      </w:r>
      <w:r w:rsidR="006C0C43">
        <w:rPr>
          <w:rFonts w:hint="eastAsia"/>
          <w:rtl/>
        </w:rPr>
        <w:t> </w:t>
      </w:r>
      <w:r w:rsidRPr="00542A11">
        <w:t>WRC-15</w:t>
      </w:r>
      <w:r>
        <w:rPr>
          <w:rFonts w:hint="cs"/>
          <w:rtl/>
        </w:rPr>
        <w:t>.</w:t>
      </w:r>
    </w:p>
    <w:p w:rsidR="009F58A4" w:rsidRPr="006C0C43" w:rsidRDefault="009F58A4" w:rsidP="006C0C43">
      <w:pPr>
        <w:rPr>
          <w:spacing w:val="-4"/>
          <w:rtl/>
        </w:rPr>
      </w:pPr>
      <w:r w:rsidRPr="006C0C43">
        <w:rPr>
          <w:rFonts w:hint="cs"/>
          <w:spacing w:val="-4"/>
          <w:rtl/>
        </w:rPr>
        <w:t>وكلَّف</w:t>
      </w:r>
      <w:r w:rsidR="00790633" w:rsidRPr="006C0C43">
        <w:rPr>
          <w:rFonts w:hint="cs"/>
          <w:spacing w:val="-4"/>
          <w:rtl/>
        </w:rPr>
        <w:t xml:space="preserve">ت </w:t>
      </w:r>
      <w:r w:rsidR="00790633" w:rsidRPr="006C0C43">
        <w:rPr>
          <w:color w:val="000000"/>
          <w:spacing w:val="-4"/>
          <w:rtl/>
        </w:rPr>
        <w:t xml:space="preserve">الدورة الأولى للاجتماع التحضيري للمؤتمر </w:t>
      </w:r>
      <w:r w:rsidR="00A65E5A" w:rsidRPr="006C0C43">
        <w:rPr>
          <w:color w:val="000000"/>
          <w:spacing w:val="-4"/>
        </w:rPr>
        <w:t>(</w:t>
      </w:r>
      <w:r w:rsidR="00A65E5A" w:rsidRPr="006C0C43">
        <w:rPr>
          <w:spacing w:val="-4"/>
          <w:szCs w:val="24"/>
        </w:rPr>
        <w:t>CPM15-1)</w:t>
      </w:r>
      <w:r w:rsidR="00790633" w:rsidRPr="006C0C43">
        <w:rPr>
          <w:rFonts w:hint="cs"/>
          <w:spacing w:val="-4"/>
          <w:rtl/>
        </w:rPr>
        <w:t xml:space="preserve"> فريق العمل</w:t>
      </w:r>
      <w:r w:rsidR="006C0C43" w:rsidRPr="006C0C43">
        <w:rPr>
          <w:rFonts w:hint="eastAsia"/>
          <w:spacing w:val="-4"/>
          <w:rtl/>
        </w:rPr>
        <w:t> </w:t>
      </w:r>
      <w:r w:rsidR="00A65E5A" w:rsidRPr="006C0C43">
        <w:rPr>
          <w:spacing w:val="-4"/>
          <w:szCs w:val="24"/>
        </w:rPr>
        <w:t>(WP</w:t>
      </w:r>
      <w:r w:rsidR="006C0C43" w:rsidRPr="006C0C43">
        <w:rPr>
          <w:spacing w:val="-4"/>
          <w:szCs w:val="24"/>
        </w:rPr>
        <w:t> </w:t>
      </w:r>
      <w:r w:rsidR="00A65E5A" w:rsidRPr="006C0C43">
        <w:rPr>
          <w:spacing w:val="-4"/>
          <w:szCs w:val="24"/>
        </w:rPr>
        <w:t>5D)</w:t>
      </w:r>
      <w:r w:rsidR="006C0C43" w:rsidRPr="006C0C43">
        <w:rPr>
          <w:spacing w:val="-4"/>
          <w:szCs w:val="24"/>
        </w:rPr>
        <w:t> 5D</w:t>
      </w:r>
      <w:r w:rsidR="006C0C43" w:rsidRPr="006C0C43">
        <w:rPr>
          <w:rFonts w:hint="eastAsia"/>
          <w:spacing w:val="-4"/>
          <w:szCs w:val="24"/>
          <w:rtl/>
        </w:rPr>
        <w:t xml:space="preserve"> </w:t>
      </w:r>
      <w:r w:rsidR="00790633" w:rsidRPr="006C0C43">
        <w:rPr>
          <w:rFonts w:hint="cs"/>
          <w:spacing w:val="-4"/>
          <w:rtl/>
        </w:rPr>
        <w:t xml:space="preserve">بتزويد </w:t>
      </w:r>
      <w:r w:rsidR="00790633" w:rsidRPr="006C0C43">
        <w:rPr>
          <w:color w:val="000000"/>
          <w:spacing w:val="-4"/>
          <w:rtl/>
        </w:rPr>
        <w:t>فريق المهام المشترك</w:t>
      </w:r>
      <w:r w:rsidR="00A65E5A" w:rsidRPr="006C0C43">
        <w:rPr>
          <w:rFonts w:hint="cs"/>
          <w:color w:val="000000"/>
          <w:spacing w:val="-4"/>
          <w:rtl/>
        </w:rPr>
        <w:t> </w:t>
      </w:r>
      <w:r w:rsidR="006C0C43" w:rsidRPr="006C0C43">
        <w:rPr>
          <w:rFonts w:cs="Times New Roman"/>
          <w:color w:val="000000"/>
          <w:spacing w:val="-4"/>
          <w:szCs w:val="22"/>
        </w:rPr>
        <w:t>4</w:t>
      </w:r>
      <w:r w:rsidR="006C0C43" w:rsidRPr="006C0C43">
        <w:rPr>
          <w:rFonts w:cs="Times New Roman"/>
          <w:color w:val="000000"/>
          <w:spacing w:val="-4"/>
          <w:szCs w:val="22"/>
        </w:rPr>
        <w:noBreakHyphen/>
        <w:t>5</w:t>
      </w:r>
      <w:r w:rsidR="006C0C43" w:rsidRPr="006C0C43">
        <w:rPr>
          <w:rFonts w:cs="Times New Roman"/>
          <w:color w:val="000000"/>
          <w:spacing w:val="-4"/>
          <w:szCs w:val="22"/>
        </w:rPr>
        <w:noBreakHyphen/>
        <w:t>6</w:t>
      </w:r>
      <w:r w:rsidR="006C0C43" w:rsidRPr="006C0C43">
        <w:rPr>
          <w:rFonts w:cs="Times New Roman"/>
          <w:color w:val="000000"/>
          <w:spacing w:val="-4"/>
          <w:szCs w:val="22"/>
        </w:rPr>
        <w:noBreakHyphen/>
        <w:t>7</w:t>
      </w:r>
      <w:r w:rsidR="00790633" w:rsidRPr="006C0C43">
        <w:rPr>
          <w:rFonts w:hint="cs"/>
          <w:color w:val="000000"/>
          <w:spacing w:val="-4"/>
          <w:rtl/>
        </w:rPr>
        <w:t xml:space="preserve"> بمديات تردد مناسبة لعمليات الاتصالات </w:t>
      </w:r>
      <w:r w:rsidR="00A4115D" w:rsidRPr="006C0C43">
        <w:rPr>
          <w:rFonts w:hint="cs"/>
          <w:color w:val="000000"/>
          <w:spacing w:val="-4"/>
          <w:rtl/>
        </w:rPr>
        <w:t>المتنقلة الدولية</w:t>
      </w:r>
      <w:r w:rsidR="00790633" w:rsidRPr="006C0C43">
        <w:rPr>
          <w:rFonts w:hint="cs"/>
          <w:color w:val="000000"/>
          <w:spacing w:val="-4"/>
          <w:rtl/>
        </w:rPr>
        <w:t xml:space="preserve">. وأدرج الفريق </w:t>
      </w:r>
      <w:r w:rsidR="00790633" w:rsidRPr="006C0C43">
        <w:rPr>
          <w:spacing w:val="-4"/>
          <w:szCs w:val="24"/>
        </w:rPr>
        <w:t>WP</w:t>
      </w:r>
      <w:r w:rsidR="006C0C43" w:rsidRPr="006C0C43">
        <w:rPr>
          <w:spacing w:val="-4"/>
          <w:szCs w:val="24"/>
        </w:rPr>
        <w:t> </w:t>
      </w:r>
      <w:r w:rsidR="00790633" w:rsidRPr="006C0C43">
        <w:rPr>
          <w:spacing w:val="-4"/>
          <w:szCs w:val="24"/>
        </w:rPr>
        <w:t>5D</w:t>
      </w:r>
      <w:r w:rsidR="00790633" w:rsidRPr="006C0C43">
        <w:rPr>
          <w:rFonts w:hint="cs"/>
          <w:spacing w:val="-4"/>
          <w:szCs w:val="24"/>
          <w:rtl/>
        </w:rPr>
        <w:t xml:space="preserve"> </w:t>
      </w:r>
      <w:r w:rsidR="00790633" w:rsidRPr="006C0C43">
        <w:rPr>
          <w:rFonts w:hint="cs"/>
          <w:spacing w:val="-4"/>
          <w:rtl/>
        </w:rPr>
        <w:t>المديات</w:t>
      </w:r>
      <w:r w:rsidR="006C0C43">
        <w:rPr>
          <w:rFonts w:hint="eastAsia"/>
          <w:spacing w:val="-4"/>
          <w:rtl/>
        </w:rPr>
        <w:t> </w:t>
      </w:r>
      <w:r w:rsidR="00790633" w:rsidRPr="006C0C43">
        <w:rPr>
          <w:spacing w:val="-4"/>
          <w:szCs w:val="24"/>
        </w:rPr>
        <w:t>2</w:t>
      </w:r>
      <w:r w:rsidR="00790633" w:rsidRPr="006C0C43">
        <w:rPr>
          <w:b/>
          <w:color w:val="000000"/>
          <w:spacing w:val="-4"/>
          <w:szCs w:val="24"/>
        </w:rPr>
        <w:t> </w:t>
      </w:r>
      <w:r w:rsidR="005C0067" w:rsidRPr="006C0C43">
        <w:rPr>
          <w:spacing w:val="-4"/>
          <w:szCs w:val="24"/>
        </w:rPr>
        <w:t>110</w:t>
      </w:r>
      <w:r w:rsidR="005C0067" w:rsidRPr="006C0C43">
        <w:rPr>
          <w:spacing w:val="-4"/>
          <w:szCs w:val="24"/>
        </w:rPr>
        <w:noBreakHyphen/>
      </w:r>
      <w:r w:rsidR="00790633" w:rsidRPr="006C0C43">
        <w:rPr>
          <w:spacing w:val="-4"/>
          <w:szCs w:val="24"/>
        </w:rPr>
        <w:t>2</w:t>
      </w:r>
      <w:r w:rsidR="005C0067" w:rsidRPr="006C0C43">
        <w:rPr>
          <w:b/>
          <w:color w:val="000000"/>
          <w:spacing w:val="-4"/>
          <w:szCs w:val="24"/>
        </w:rPr>
        <w:t> </w:t>
      </w:r>
      <w:r w:rsidR="005C0067" w:rsidRPr="006C0C43">
        <w:rPr>
          <w:spacing w:val="-4"/>
          <w:szCs w:val="24"/>
        </w:rPr>
        <w:t>025</w:t>
      </w:r>
      <w:r w:rsidR="0029314B" w:rsidRPr="006C0C43">
        <w:rPr>
          <w:rFonts w:hint="eastAsia"/>
          <w:spacing w:val="-4"/>
          <w:szCs w:val="24"/>
          <w:rtl/>
        </w:rPr>
        <w:t> </w:t>
      </w:r>
      <w:r w:rsidR="00790633" w:rsidRPr="006C0C43">
        <w:rPr>
          <w:spacing w:val="-4"/>
          <w:szCs w:val="24"/>
        </w:rPr>
        <w:t>MHz</w:t>
      </w:r>
      <w:r w:rsidR="00790633" w:rsidRPr="006C0C43">
        <w:rPr>
          <w:rFonts w:hint="cs"/>
          <w:spacing w:val="-4"/>
          <w:szCs w:val="24"/>
          <w:rtl/>
        </w:rPr>
        <w:t xml:space="preserve"> </w:t>
      </w:r>
      <w:r w:rsidR="00790633" w:rsidRPr="006C0C43">
        <w:rPr>
          <w:rFonts w:hint="cs"/>
          <w:spacing w:val="-4"/>
          <w:rtl/>
        </w:rPr>
        <w:t>و</w:t>
      </w:r>
      <w:r w:rsidR="00790633" w:rsidRPr="006C0C43">
        <w:rPr>
          <w:spacing w:val="-4"/>
          <w:szCs w:val="24"/>
        </w:rPr>
        <w:t>2</w:t>
      </w:r>
      <w:r w:rsidR="00790633" w:rsidRPr="006C0C43">
        <w:rPr>
          <w:b/>
          <w:color w:val="000000"/>
          <w:spacing w:val="-4"/>
          <w:szCs w:val="24"/>
        </w:rPr>
        <w:t> </w:t>
      </w:r>
      <w:r w:rsidR="00790633" w:rsidRPr="006C0C43">
        <w:rPr>
          <w:spacing w:val="-4"/>
          <w:szCs w:val="24"/>
        </w:rPr>
        <w:t>2</w:t>
      </w:r>
      <w:r w:rsidR="0029314B" w:rsidRPr="006C0C43">
        <w:rPr>
          <w:spacing w:val="-4"/>
          <w:szCs w:val="24"/>
        </w:rPr>
        <w:t>9</w:t>
      </w:r>
      <w:r w:rsidR="00790633" w:rsidRPr="006C0C43">
        <w:rPr>
          <w:spacing w:val="-4"/>
          <w:szCs w:val="24"/>
        </w:rPr>
        <w:t>0</w:t>
      </w:r>
      <w:r w:rsidR="005C0067" w:rsidRPr="006C0C43">
        <w:rPr>
          <w:spacing w:val="-4"/>
          <w:szCs w:val="24"/>
        </w:rPr>
        <w:noBreakHyphen/>
      </w:r>
      <w:r w:rsidR="00790633" w:rsidRPr="006C0C43">
        <w:rPr>
          <w:spacing w:val="-4"/>
          <w:szCs w:val="24"/>
        </w:rPr>
        <w:t>2</w:t>
      </w:r>
      <w:r w:rsidR="00790633" w:rsidRPr="006C0C43">
        <w:rPr>
          <w:b/>
          <w:color w:val="000000"/>
          <w:spacing w:val="-4"/>
          <w:szCs w:val="24"/>
        </w:rPr>
        <w:t> </w:t>
      </w:r>
      <w:r w:rsidR="00790633" w:rsidRPr="006C0C43">
        <w:rPr>
          <w:spacing w:val="-4"/>
          <w:szCs w:val="24"/>
        </w:rPr>
        <w:t>2</w:t>
      </w:r>
      <w:r w:rsidR="0029314B" w:rsidRPr="006C0C43">
        <w:rPr>
          <w:spacing w:val="-4"/>
          <w:szCs w:val="24"/>
        </w:rPr>
        <w:t>0</w:t>
      </w:r>
      <w:r w:rsidR="00790633" w:rsidRPr="006C0C43">
        <w:rPr>
          <w:spacing w:val="-4"/>
          <w:szCs w:val="24"/>
        </w:rPr>
        <w:t>0</w:t>
      </w:r>
      <w:r w:rsidR="00A65E5A" w:rsidRPr="006C0C43">
        <w:rPr>
          <w:rFonts w:hint="eastAsia"/>
          <w:spacing w:val="-4"/>
          <w:szCs w:val="24"/>
          <w:rtl/>
        </w:rPr>
        <w:t> </w:t>
      </w:r>
      <w:r w:rsidR="00790633" w:rsidRPr="006C0C43">
        <w:rPr>
          <w:rFonts w:hint="cs"/>
          <w:spacing w:val="-4"/>
          <w:szCs w:val="24"/>
        </w:rPr>
        <w:t>MHz</w:t>
      </w:r>
      <w:r w:rsidR="00790633" w:rsidRPr="006C0C43">
        <w:rPr>
          <w:rFonts w:hint="cs"/>
          <w:spacing w:val="-4"/>
          <w:szCs w:val="24"/>
          <w:rtl/>
        </w:rPr>
        <w:t xml:space="preserve"> </w:t>
      </w:r>
      <w:r w:rsidR="00790633" w:rsidRPr="006C0C43">
        <w:rPr>
          <w:rFonts w:hint="cs"/>
          <w:spacing w:val="-4"/>
          <w:rtl/>
        </w:rPr>
        <w:t>ضمن العديد من مديات التردد تحت</w:t>
      </w:r>
      <w:r w:rsidR="006C0C43" w:rsidRPr="006C0C43">
        <w:rPr>
          <w:rFonts w:hint="eastAsia"/>
          <w:spacing w:val="-4"/>
          <w:rtl/>
        </w:rPr>
        <w:t> </w:t>
      </w:r>
      <w:r w:rsidR="006C0C43">
        <w:rPr>
          <w:spacing w:val="-4"/>
        </w:rPr>
        <w:t>GHz 6</w:t>
      </w:r>
      <w:r w:rsidR="00790633" w:rsidRPr="006C0C43">
        <w:rPr>
          <w:rFonts w:hint="cs"/>
          <w:rtl/>
        </w:rPr>
        <w:t xml:space="preserve"> </w:t>
      </w:r>
      <w:r w:rsidR="00790633" w:rsidRPr="006C0C43">
        <w:rPr>
          <w:rFonts w:hint="cs"/>
          <w:spacing w:val="-4"/>
          <w:rtl/>
        </w:rPr>
        <w:t>المقدمة إلى فريق المهام المشترك</w:t>
      </w:r>
      <w:r w:rsidR="006C0C43" w:rsidRPr="006C0C43">
        <w:rPr>
          <w:rFonts w:hint="eastAsia"/>
          <w:spacing w:val="-4"/>
          <w:rtl/>
        </w:rPr>
        <w:t> </w:t>
      </w:r>
      <w:r w:rsidR="00790633" w:rsidRPr="006C0C43">
        <w:rPr>
          <w:rFonts w:hint="cs"/>
          <w:spacing w:val="-4"/>
          <w:rtl/>
        </w:rPr>
        <w:t>المذكور.</w:t>
      </w:r>
    </w:p>
    <w:p w:rsidR="00493BF4" w:rsidRDefault="00790633" w:rsidP="00B821FA">
      <w:pPr>
        <w:rPr>
          <w:rtl/>
        </w:rPr>
      </w:pPr>
      <w:r>
        <w:rPr>
          <w:rFonts w:hint="cs"/>
          <w:rtl/>
        </w:rPr>
        <w:t xml:space="preserve">وقرر مؤتمر </w:t>
      </w:r>
      <w:r w:rsidRPr="00542A11">
        <w:rPr>
          <w:szCs w:val="24"/>
        </w:rPr>
        <w:t>WRC</w:t>
      </w:r>
      <w:r w:rsidR="0029314B">
        <w:rPr>
          <w:szCs w:val="24"/>
        </w:rPr>
        <w:noBreakHyphen/>
      </w:r>
      <w:r w:rsidRPr="00542A11">
        <w:rPr>
          <w:szCs w:val="24"/>
        </w:rPr>
        <w:t>12</w:t>
      </w:r>
      <w:r>
        <w:rPr>
          <w:rFonts w:hint="cs"/>
          <w:szCs w:val="24"/>
          <w:rtl/>
        </w:rPr>
        <w:t xml:space="preserve"> </w:t>
      </w:r>
      <w:r>
        <w:rPr>
          <w:rFonts w:hint="cs"/>
          <w:rtl/>
        </w:rPr>
        <w:t xml:space="preserve">دعوة الاتحاد الدولي للاتصالات إلى إجراء دراسات تقاسم وتوافق بين أنظمة الاتصالات </w:t>
      </w:r>
      <w:r w:rsidR="00A4115D">
        <w:rPr>
          <w:rFonts w:hint="cs"/>
          <w:rtl/>
        </w:rPr>
        <w:t>المتنقلة الدولية</w:t>
      </w:r>
      <w:r>
        <w:rPr>
          <w:rFonts w:hint="cs"/>
          <w:rtl/>
        </w:rPr>
        <w:t xml:space="preserve"> وأنظمة الخدمات التي لها بالفعل توزيعات في النطاقات المرشحة المحتملة وفي النطاقات المتاخمة، حسب الاقتضاء، بما</w:t>
      </w:r>
      <w:r w:rsidR="006C0C43">
        <w:rPr>
          <w:rFonts w:hint="eastAsia"/>
          <w:rtl/>
        </w:rPr>
        <w:t> </w:t>
      </w:r>
      <w:r>
        <w:rPr>
          <w:rFonts w:hint="cs"/>
          <w:rtl/>
        </w:rPr>
        <w:t xml:space="preserve">يراعي الاستخدام الراهن والمزمع لهذه النطاقات من جانب الخدمات القائمة. وأوكلت الدورة الأولى للاجتماع التحضيري إلى فريق المهام المشترك </w:t>
      </w:r>
      <w:r w:rsidR="000D5B0A">
        <w:rPr>
          <w:rFonts w:hint="cs"/>
          <w:rtl/>
        </w:rPr>
        <w:t>أمر</w:t>
      </w:r>
      <w:r>
        <w:rPr>
          <w:rFonts w:hint="cs"/>
          <w:rtl/>
        </w:rPr>
        <w:t xml:space="preserve"> تلك الدراسات. وأظهرت الدراسات المرفوعة إلى فريق المهام المشترك التي قيَّمت إمكانية استيعاب أنظمة </w:t>
      </w:r>
      <w:r>
        <w:rPr>
          <w:color w:val="000000"/>
          <w:rtl/>
        </w:rPr>
        <w:t xml:space="preserve">التطور طويل </w:t>
      </w:r>
      <w:r w:rsidR="000D5B0A">
        <w:rPr>
          <w:rFonts w:hint="cs"/>
          <w:color w:val="000000"/>
          <w:rtl/>
        </w:rPr>
        <w:t>الأجل</w:t>
      </w:r>
      <w:r w:rsidR="006C0C43">
        <w:rPr>
          <w:rFonts w:hint="eastAsia"/>
          <w:color w:val="000000"/>
          <w:rtl/>
        </w:rPr>
        <w:t> </w:t>
      </w:r>
      <w:r w:rsidR="000D5B0A">
        <w:rPr>
          <w:color w:val="000000"/>
        </w:rPr>
        <w:t>(LTE)</w:t>
      </w:r>
      <w:r w:rsidR="000D5B0A">
        <w:rPr>
          <w:rFonts w:hint="cs"/>
          <w:color w:val="000000"/>
          <w:rtl/>
        </w:rPr>
        <w:t xml:space="preserve"> </w:t>
      </w:r>
      <w:r w:rsidR="00A4115D">
        <w:rPr>
          <w:rFonts w:hint="cs"/>
          <w:color w:val="000000"/>
          <w:rtl/>
        </w:rPr>
        <w:t>للاتصالات المتنقلة الدولية في كل من مديات التردد</w:t>
      </w:r>
      <w:r w:rsidR="006C0C43">
        <w:rPr>
          <w:rFonts w:hint="eastAsia"/>
          <w:color w:val="000000"/>
          <w:rtl/>
        </w:rPr>
        <w:t> </w:t>
      </w:r>
      <w:r w:rsidR="00A4115D" w:rsidRPr="00542A11">
        <w:rPr>
          <w:szCs w:val="24"/>
        </w:rPr>
        <w:t>MHz</w:t>
      </w:r>
      <w:r w:rsidR="006C0C43">
        <w:rPr>
          <w:szCs w:val="24"/>
        </w:rPr>
        <w:t> 2 110</w:t>
      </w:r>
      <w:r w:rsidR="006C0C43">
        <w:rPr>
          <w:szCs w:val="24"/>
        </w:rPr>
        <w:noBreakHyphen/>
        <w:t>2 025</w:t>
      </w:r>
      <w:r w:rsidR="00A4115D">
        <w:rPr>
          <w:rFonts w:hint="cs"/>
          <w:szCs w:val="24"/>
          <w:rtl/>
        </w:rPr>
        <w:t xml:space="preserve"> </w:t>
      </w:r>
      <w:r w:rsidR="00A4115D">
        <w:rPr>
          <w:rFonts w:hint="cs"/>
          <w:rtl/>
        </w:rPr>
        <w:t>و</w:t>
      </w:r>
      <w:r w:rsidR="00A4115D">
        <w:rPr>
          <w:rFonts w:hint="cs"/>
          <w:szCs w:val="24"/>
        </w:rPr>
        <w:t>MHz</w:t>
      </w:r>
      <w:r w:rsidR="006C0C43">
        <w:rPr>
          <w:rFonts w:hint="eastAsia"/>
          <w:szCs w:val="24"/>
        </w:rPr>
        <w:t> 2 290</w:t>
      </w:r>
      <w:r w:rsidR="006C0C43">
        <w:rPr>
          <w:szCs w:val="24"/>
        </w:rPr>
        <w:noBreakHyphen/>
        <w:t>2 200</w:t>
      </w:r>
      <w:r w:rsidR="00A4115D" w:rsidRPr="00B821FA">
        <w:rPr>
          <w:rFonts w:hint="cs"/>
          <w:rtl/>
        </w:rPr>
        <w:t xml:space="preserve"> </w:t>
      </w:r>
      <w:r w:rsidR="00A4115D">
        <w:rPr>
          <w:rFonts w:hint="cs"/>
          <w:rtl/>
        </w:rPr>
        <w:t xml:space="preserve">أن التقاسم غير ممكن مع الخدمات الحالية في مديات التردد هذه. </w:t>
      </w:r>
      <w:r w:rsidR="00493BF4" w:rsidRPr="00A4115D">
        <w:rPr>
          <w:rFonts w:hint="cs"/>
          <w:rtl/>
        </w:rPr>
        <w:t>وأكدت هذه الدراسات الجديدة م</w:t>
      </w:r>
      <w:r w:rsidR="00A4115D">
        <w:rPr>
          <w:rFonts w:hint="cs"/>
          <w:rtl/>
        </w:rPr>
        <w:t>ج</w:t>
      </w:r>
      <w:r w:rsidR="00493BF4" w:rsidRPr="00A4115D">
        <w:rPr>
          <w:rFonts w:hint="cs"/>
          <w:rtl/>
        </w:rPr>
        <w:t>دداً دراسات قطاع الاتصالات الراديوية السابقة</w:t>
      </w:r>
      <w:r w:rsidR="00A4115D">
        <w:rPr>
          <w:rFonts w:hint="cs"/>
          <w:rtl/>
        </w:rPr>
        <w:t xml:space="preserve"> </w:t>
      </w:r>
      <w:r w:rsidR="00493BF4" w:rsidRPr="00A4115D">
        <w:rPr>
          <w:rFonts w:hint="cs"/>
          <w:rtl/>
        </w:rPr>
        <w:t>التي أسفرت عن اعتماد الرقم</w:t>
      </w:r>
      <w:r w:rsidR="006C0C43">
        <w:rPr>
          <w:rFonts w:hint="eastAsia"/>
          <w:rtl/>
        </w:rPr>
        <w:t> </w:t>
      </w:r>
      <w:r w:rsidR="00493BF4" w:rsidRPr="00A4115D">
        <w:t>391.5</w:t>
      </w:r>
      <w:r w:rsidR="00493BF4" w:rsidRPr="00A4115D">
        <w:rPr>
          <w:rFonts w:hint="cs"/>
          <w:rtl/>
        </w:rPr>
        <w:t xml:space="preserve"> </w:t>
      </w:r>
      <w:r w:rsidR="00493BF4" w:rsidRPr="00A4115D">
        <w:rPr>
          <w:rFonts w:hint="cs"/>
          <w:rtl/>
          <w:lang w:bidi="ar-SY"/>
        </w:rPr>
        <w:t xml:space="preserve">من </w:t>
      </w:r>
      <w:r w:rsidR="00493BF4" w:rsidRPr="00A4115D">
        <w:rPr>
          <w:rFonts w:hint="cs"/>
          <w:rtl/>
        </w:rPr>
        <w:t>لوائح الراديو الذي يحظر تشغيل الأنظمة المتنقلة العالية الكثافة في نطاقي التردد المشار إليهما في المؤتمر العالمي للاتصالات الراديوية لعام</w:t>
      </w:r>
      <w:r w:rsidR="00B821FA">
        <w:rPr>
          <w:rFonts w:hint="eastAsia"/>
          <w:rtl/>
        </w:rPr>
        <w:t> </w:t>
      </w:r>
      <w:r w:rsidR="00493BF4" w:rsidRPr="00A4115D">
        <w:t>1997</w:t>
      </w:r>
      <w:r w:rsidR="00493BF4" w:rsidRPr="00A4115D">
        <w:rPr>
          <w:rFonts w:hint="cs"/>
          <w:rtl/>
        </w:rPr>
        <w:t>.</w:t>
      </w:r>
    </w:p>
    <w:p w:rsidR="00493BF4" w:rsidRDefault="00A4115D" w:rsidP="004E7C4D">
      <w:pPr>
        <w:pStyle w:val="Headingb"/>
        <w:keepNext w:val="0"/>
        <w:spacing w:before="120"/>
      </w:pPr>
      <w:r>
        <w:rPr>
          <w:rFonts w:hint="cs"/>
          <w:rtl/>
        </w:rPr>
        <w:t>ال</w:t>
      </w:r>
      <w:r w:rsidR="00493BF4">
        <w:rPr>
          <w:rFonts w:hint="cs"/>
          <w:rtl/>
        </w:rPr>
        <w:t>مقترحات</w:t>
      </w:r>
    </w:p>
    <w:p w:rsidR="009F37C9" w:rsidRDefault="00F466D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466DD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F466D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66779" w:rsidRDefault="00F466DD" w:rsidP="004D7C7D">
      <w:pPr>
        <w:pStyle w:val="Proposal"/>
      </w:pPr>
      <w:r>
        <w:rPr>
          <w:u w:val="single"/>
        </w:rPr>
        <w:t>NOC</w:t>
      </w:r>
      <w:r>
        <w:tab/>
        <w:t>IAP/7A1/10</w:t>
      </w:r>
    </w:p>
    <w:p w:rsidR="009F37C9" w:rsidRPr="00592D87" w:rsidRDefault="00F466DD">
      <w:pPr>
        <w:pStyle w:val="Tabletitle"/>
        <w:rPr>
          <w:rtl/>
        </w:rPr>
        <w:pPrChange w:id="3" w:author="El Wardany, Samy" w:date="2011-08-01T14:42:00Z">
          <w:pPr/>
        </w:pPrChange>
      </w:pPr>
      <w:r w:rsidRPr="00592D87">
        <w:t>MHz 2 170-1 710</w:t>
      </w:r>
    </w:p>
    <w:tbl>
      <w:tblPr>
        <w:bidiVisual/>
        <w:tblW w:w="935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79"/>
        <w:gridCol w:w="3118"/>
        <w:gridCol w:w="3055"/>
      </w:tblGrid>
      <w:tr w:rsidR="00B715F7" w:rsidRPr="003E3067" w:rsidTr="004D7C7D">
        <w:trPr>
          <w:jc w:val="center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7" w:rsidRPr="003E3067" w:rsidRDefault="00F466DD" w:rsidP="005F1F1C">
            <w:pPr>
              <w:pStyle w:val="Tablehead"/>
            </w:pPr>
            <w:r w:rsidRPr="003E3067">
              <w:rPr>
                <w:rtl/>
              </w:rPr>
              <w:t>التوزيع على الخدمات</w:t>
            </w:r>
          </w:p>
        </w:tc>
      </w:tr>
      <w:tr w:rsidR="00B715F7" w:rsidRPr="003E3067" w:rsidTr="004D7C7D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F7" w:rsidRPr="003E3067" w:rsidRDefault="00F466DD" w:rsidP="005F1F1C">
            <w:pPr>
              <w:pStyle w:val="Tablehead"/>
              <w:rPr>
                <w:rtl/>
              </w:rPr>
            </w:pPr>
            <w:r w:rsidRPr="003E3067">
              <w:rPr>
                <w:rtl/>
              </w:rPr>
              <w:t xml:space="preserve">الإقليم </w:t>
            </w:r>
            <w:r w:rsidRPr="003E3067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F7" w:rsidRPr="003E3067" w:rsidRDefault="00F466DD" w:rsidP="005F1F1C">
            <w:pPr>
              <w:pStyle w:val="Tablehead"/>
              <w:rPr>
                <w:rtl/>
              </w:rPr>
            </w:pPr>
            <w:r w:rsidRPr="003E3067">
              <w:rPr>
                <w:rtl/>
              </w:rPr>
              <w:t xml:space="preserve">الإقليم </w:t>
            </w:r>
            <w:r w:rsidRPr="003E3067"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F7" w:rsidRPr="003E3067" w:rsidRDefault="00F466DD" w:rsidP="005F1F1C">
            <w:pPr>
              <w:pStyle w:val="Tablehead"/>
            </w:pPr>
            <w:r w:rsidRPr="003E3067">
              <w:rPr>
                <w:rtl/>
              </w:rPr>
              <w:t xml:space="preserve">الإقليم </w:t>
            </w:r>
            <w:r w:rsidRPr="003E3067">
              <w:t>3</w:t>
            </w:r>
          </w:p>
        </w:tc>
      </w:tr>
      <w:tr w:rsidR="00B715F7" w:rsidRPr="003E3067" w:rsidTr="004D7C7D">
        <w:trPr>
          <w:jc w:val="center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7" w:rsidRPr="003E3067" w:rsidRDefault="00F466DD" w:rsidP="004D7C7D">
            <w:pPr>
              <w:pStyle w:val="TabletextS5"/>
              <w:rPr>
                <w:lang w:val="fr-CH"/>
              </w:rPr>
            </w:pPr>
            <w:r w:rsidRPr="00FA3B95">
              <w:rPr>
                <w:rStyle w:val="Tablefreq"/>
              </w:rPr>
              <w:t>2 110-2 025</w:t>
            </w:r>
            <w:r w:rsidRPr="003E3067">
              <w:rPr>
                <w:lang w:val="fr-CH"/>
              </w:rPr>
              <w:tab/>
            </w:r>
            <w:r w:rsidRPr="003E3067">
              <w:rPr>
                <w:b/>
                <w:bCs/>
                <w:rtl/>
                <w:lang w:val="fr-CH"/>
              </w:rPr>
              <w:t>عمليات فضائية</w:t>
            </w:r>
            <w:r w:rsidRPr="003E3067">
              <w:rPr>
                <w:rtl/>
                <w:lang w:val="fr-CH"/>
              </w:rPr>
              <w:t xml:space="preserve"> (أرض-فضاء) (فضاء-فضاء)</w:t>
            </w:r>
          </w:p>
          <w:p w:rsidR="00B715F7" w:rsidRPr="003E3067" w:rsidRDefault="00F466DD" w:rsidP="004D7C7D">
            <w:pPr>
              <w:pStyle w:val="TabletextS5"/>
              <w:rPr>
                <w:lang w:val="fr-CH"/>
              </w:rPr>
            </w:pPr>
            <w:r w:rsidRPr="003E3067">
              <w:rPr>
                <w:lang w:val="fr-CH"/>
              </w:rPr>
              <w:tab/>
            </w:r>
            <w:r w:rsidRPr="003E3067">
              <w:rPr>
                <w:b/>
                <w:bCs/>
                <w:rtl/>
                <w:lang w:val="fr-CH"/>
              </w:rPr>
              <w:t>استكشاف الأرض الساتلية</w:t>
            </w:r>
            <w:r w:rsidRPr="003E3067">
              <w:rPr>
                <w:rtl/>
                <w:lang w:val="fr-CH"/>
              </w:rPr>
              <w:t xml:space="preserve"> (أرض-فضاء) (فضاء-فضاء)</w:t>
            </w:r>
          </w:p>
          <w:p w:rsidR="00B715F7" w:rsidRPr="003E3067" w:rsidRDefault="00F466DD" w:rsidP="004D7C7D">
            <w:pPr>
              <w:pStyle w:val="TabletextS5"/>
              <w:rPr>
                <w:b/>
                <w:bCs/>
                <w:lang w:val="fr-CH"/>
              </w:rPr>
            </w:pPr>
            <w:r w:rsidRPr="003E3067">
              <w:rPr>
                <w:lang w:val="fr-CH"/>
              </w:rPr>
              <w:tab/>
            </w:r>
            <w:r w:rsidRPr="003E3067">
              <w:rPr>
                <w:b/>
                <w:bCs/>
                <w:rtl/>
                <w:lang w:val="fr-FR"/>
              </w:rPr>
              <w:t>ثابتة</w:t>
            </w:r>
          </w:p>
          <w:p w:rsidR="00B715F7" w:rsidRPr="003E3067" w:rsidRDefault="00F466DD" w:rsidP="00B821FA">
            <w:pPr>
              <w:pStyle w:val="TabletextS5"/>
              <w:rPr>
                <w:lang w:val="fr-CH"/>
              </w:rPr>
            </w:pPr>
            <w:r w:rsidRPr="003E3067">
              <w:rPr>
                <w:lang w:val="fr-CH"/>
              </w:rPr>
              <w:tab/>
            </w:r>
            <w:r w:rsidRPr="003E3067">
              <w:rPr>
                <w:b/>
                <w:bCs/>
                <w:rtl/>
              </w:rPr>
              <w:t>متنقلة</w:t>
            </w:r>
            <w:r w:rsidRPr="003E3067">
              <w:rPr>
                <w:rtl/>
              </w:rPr>
              <w:t xml:space="preserve">  </w:t>
            </w:r>
            <w:r w:rsidRPr="004D7C7D">
              <w:rPr>
                <w:rStyle w:val="Artref"/>
                <w:b w:val="0"/>
                <w:bCs w:val="0"/>
                <w:lang w:val="fr-CH"/>
              </w:rPr>
              <w:t>391.5</w:t>
            </w:r>
          </w:p>
          <w:p w:rsidR="00B715F7" w:rsidRPr="003E3067" w:rsidRDefault="00F466DD" w:rsidP="004D7C7D">
            <w:pPr>
              <w:pStyle w:val="TabletextS5"/>
              <w:rPr>
                <w:lang w:val="fr-CH"/>
              </w:rPr>
            </w:pPr>
            <w:r w:rsidRPr="003E3067">
              <w:rPr>
                <w:lang w:val="fr-CH"/>
              </w:rPr>
              <w:tab/>
            </w:r>
            <w:r w:rsidRPr="003E3067">
              <w:rPr>
                <w:b/>
                <w:bCs/>
                <w:rtl/>
                <w:lang w:val="fr-CH"/>
              </w:rPr>
              <w:t>أبحاث فضائية</w:t>
            </w:r>
            <w:r w:rsidRPr="003E3067">
              <w:rPr>
                <w:rtl/>
                <w:lang w:val="fr-CH"/>
              </w:rPr>
              <w:t xml:space="preserve"> (أرض-فضاء) (فضاء-فضاء)</w:t>
            </w:r>
          </w:p>
          <w:p w:rsidR="00B715F7" w:rsidRPr="004D7C7D" w:rsidRDefault="00F466DD" w:rsidP="004D7C7D">
            <w:pPr>
              <w:pStyle w:val="TabletextS5"/>
              <w:rPr>
                <w:b/>
                <w:bCs/>
                <w:rtl/>
              </w:rPr>
            </w:pPr>
            <w:r w:rsidRPr="003E3067">
              <w:rPr>
                <w:lang w:val="fr-CH"/>
              </w:rPr>
              <w:tab/>
            </w:r>
            <w:r w:rsidRPr="004D7C7D">
              <w:rPr>
                <w:rStyle w:val="Artref"/>
                <w:b w:val="0"/>
                <w:bCs w:val="0"/>
              </w:rPr>
              <w:t>392.5</w:t>
            </w:r>
          </w:p>
        </w:tc>
      </w:tr>
    </w:tbl>
    <w:p w:rsidR="00866779" w:rsidRPr="00070EB8" w:rsidRDefault="00F466DD" w:rsidP="00672E91">
      <w:pPr>
        <w:pStyle w:val="Reasons"/>
        <w:rPr>
          <w:b w:val="0"/>
          <w:bCs w:val="0"/>
          <w:spacing w:val="-2"/>
          <w:rtl/>
          <w:lang w:bidi="ar-EG"/>
        </w:rPr>
      </w:pPr>
      <w:r w:rsidRPr="00070EB8">
        <w:rPr>
          <w:spacing w:val="-2"/>
          <w:rtl/>
        </w:rPr>
        <w:t>الأسباب:</w:t>
      </w:r>
      <w:r w:rsidRPr="00070EB8">
        <w:rPr>
          <w:spacing w:val="-2"/>
        </w:rPr>
        <w:tab/>
      </w:r>
      <w:r w:rsidR="00A4115D" w:rsidRPr="00070EB8">
        <w:rPr>
          <w:rFonts w:hint="cs"/>
          <w:b w:val="0"/>
          <w:bCs w:val="0"/>
          <w:spacing w:val="-2"/>
          <w:rtl/>
          <w:lang w:bidi="ar-EG"/>
        </w:rPr>
        <w:t>أظهرت دراسات قطاع الاتصالات الراديوية أن التقاسم غير ممكن بين أنظمة الاتصالات المتنقلة الدولية</w:t>
      </w:r>
      <w:r w:rsidR="00672E91" w:rsidRPr="00070EB8">
        <w:rPr>
          <w:rFonts w:hint="eastAsia"/>
          <w:b w:val="0"/>
          <w:bCs w:val="0"/>
          <w:spacing w:val="-2"/>
          <w:rtl/>
          <w:lang w:bidi="ar-EG"/>
        </w:rPr>
        <w:t> </w:t>
      </w:r>
      <w:r w:rsidR="00672E91" w:rsidRPr="00070EB8">
        <w:rPr>
          <w:b w:val="0"/>
          <w:bCs w:val="0"/>
          <w:spacing w:val="-2"/>
          <w:lang w:bidi="ar-EG"/>
        </w:rPr>
        <w:t>(IMT)</w:t>
      </w:r>
      <w:r w:rsidR="00A4115D" w:rsidRPr="00070EB8">
        <w:rPr>
          <w:rFonts w:hint="cs"/>
          <w:b w:val="0"/>
          <w:bCs w:val="0"/>
          <w:spacing w:val="-2"/>
          <w:rtl/>
          <w:lang w:bidi="ar-EG"/>
        </w:rPr>
        <w:t xml:space="preserve"> وأنظمة الخدمات القائمة في النطاق</w:t>
      </w:r>
      <w:r w:rsidR="00672E91" w:rsidRPr="00070EB8">
        <w:rPr>
          <w:rFonts w:hint="eastAsia"/>
          <w:b w:val="0"/>
          <w:bCs w:val="0"/>
          <w:spacing w:val="-2"/>
          <w:rtl/>
          <w:lang w:bidi="ar-EG"/>
        </w:rPr>
        <w:t> </w:t>
      </w:r>
      <w:r w:rsidR="00672E91" w:rsidRPr="00070EB8">
        <w:rPr>
          <w:b w:val="0"/>
          <w:bCs w:val="0"/>
          <w:spacing w:val="-2"/>
          <w:szCs w:val="24"/>
          <w:lang w:eastAsia="x-none"/>
        </w:rPr>
        <w:t>MHz </w:t>
      </w:r>
      <w:r w:rsidR="00A4115D" w:rsidRPr="00070EB8">
        <w:rPr>
          <w:b w:val="0"/>
          <w:bCs w:val="0"/>
          <w:spacing w:val="-2"/>
          <w:szCs w:val="24"/>
          <w:lang w:eastAsia="x-none"/>
        </w:rPr>
        <w:t>2</w:t>
      </w:r>
      <w:r w:rsidR="000F6637" w:rsidRPr="00070EB8">
        <w:rPr>
          <w:b w:val="0"/>
          <w:bCs w:val="0"/>
          <w:spacing w:val="-2"/>
          <w:szCs w:val="24"/>
          <w:lang w:eastAsia="x-none"/>
        </w:rPr>
        <w:t> 110</w:t>
      </w:r>
      <w:r w:rsidR="000F6637" w:rsidRPr="00070EB8">
        <w:rPr>
          <w:b w:val="0"/>
          <w:bCs w:val="0"/>
          <w:spacing w:val="-2"/>
          <w:szCs w:val="24"/>
          <w:lang w:eastAsia="x-none"/>
        </w:rPr>
        <w:noBreakHyphen/>
      </w:r>
      <w:r w:rsidR="00A4115D" w:rsidRPr="00070EB8">
        <w:rPr>
          <w:b w:val="0"/>
          <w:bCs w:val="0"/>
          <w:spacing w:val="-2"/>
          <w:szCs w:val="24"/>
          <w:lang w:eastAsia="x-none"/>
        </w:rPr>
        <w:t>2</w:t>
      </w:r>
      <w:r w:rsidR="000F6637" w:rsidRPr="00070EB8">
        <w:rPr>
          <w:b w:val="0"/>
          <w:bCs w:val="0"/>
          <w:spacing w:val="-2"/>
          <w:szCs w:val="24"/>
          <w:lang w:eastAsia="x-none"/>
        </w:rPr>
        <w:t> 025</w:t>
      </w:r>
      <w:r w:rsidR="00A4115D" w:rsidRPr="00070EB8">
        <w:rPr>
          <w:rFonts w:hint="cs"/>
          <w:b w:val="0"/>
          <w:bCs w:val="0"/>
          <w:spacing w:val="-2"/>
          <w:szCs w:val="24"/>
          <w:rtl/>
          <w:lang w:eastAsia="x-none"/>
        </w:rPr>
        <w:t>.</w:t>
      </w:r>
    </w:p>
    <w:p w:rsidR="00866779" w:rsidRDefault="00F466DD" w:rsidP="004D7C7D">
      <w:pPr>
        <w:pStyle w:val="Proposal"/>
      </w:pPr>
      <w:r>
        <w:rPr>
          <w:u w:val="single"/>
        </w:rPr>
        <w:t>NOC</w:t>
      </w:r>
      <w:r>
        <w:tab/>
        <w:t>IAP/7A1/11</w:t>
      </w:r>
    </w:p>
    <w:p w:rsidR="00692450" w:rsidRPr="00592D87" w:rsidRDefault="00692450">
      <w:pPr>
        <w:pStyle w:val="Tabletitle"/>
        <w:rPr>
          <w:rtl/>
        </w:rPr>
        <w:pPrChange w:id="4" w:author="El Wardany, Samy" w:date="2011-08-01T14:42:00Z">
          <w:pPr/>
        </w:pPrChange>
      </w:pPr>
      <w:r w:rsidRPr="00592D87">
        <w:t xml:space="preserve">MHz 2 </w:t>
      </w:r>
      <w:r>
        <w:t>520</w:t>
      </w:r>
      <w:r w:rsidRPr="00592D87">
        <w:t>-</w:t>
      </w:r>
      <w:r>
        <w:t>2</w:t>
      </w:r>
      <w:r w:rsidRPr="00592D87">
        <w:t xml:space="preserve"> </w:t>
      </w:r>
      <w:r>
        <w:t>17</w:t>
      </w:r>
      <w:r w:rsidRPr="00592D87">
        <w:t>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4B06D4" w:rsidRPr="0063507B" w:rsidTr="004B06D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D4" w:rsidRPr="0063507B" w:rsidRDefault="00F466DD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4B06D4" w:rsidRPr="0063507B" w:rsidTr="004B06D4"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F466DD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F466DD" w:rsidP="005F1F1C">
            <w:pPr>
              <w:pStyle w:val="Tablehead"/>
              <w:rPr>
                <w:rFonts w:ascii="Times New Roman" w:hAnsi="Times New Roman"/>
                <w:rtl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6D4" w:rsidRPr="0063507B" w:rsidRDefault="00F466DD" w:rsidP="005F1F1C">
            <w:pPr>
              <w:pStyle w:val="Tablehead"/>
              <w:rPr>
                <w:rFonts w:ascii="Times New Roman" w:hAnsi="Times New Roman"/>
              </w:rPr>
            </w:pPr>
            <w:r w:rsidRPr="0063507B">
              <w:rPr>
                <w:rFonts w:ascii="Times New Roman" w:hAnsi="Times New Roman"/>
                <w:rtl/>
              </w:rPr>
              <w:t xml:space="preserve">الإقليم </w:t>
            </w:r>
            <w:r w:rsidRPr="0063507B">
              <w:rPr>
                <w:rFonts w:ascii="Times New Roman" w:hAnsi="Times New Roman"/>
              </w:rPr>
              <w:t>3</w:t>
            </w:r>
          </w:p>
        </w:tc>
      </w:tr>
      <w:tr w:rsidR="004B06D4" w:rsidRPr="0063507B" w:rsidTr="004B06D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D4" w:rsidRPr="0063507B" w:rsidRDefault="00F466DD" w:rsidP="00526F39">
            <w:pPr>
              <w:pStyle w:val="TabletextS5"/>
              <w:rPr>
                <w:lang w:val="fr-CH"/>
              </w:rPr>
            </w:pPr>
            <w:r w:rsidRPr="00FA3B95">
              <w:rPr>
                <w:rStyle w:val="Tablefreq"/>
              </w:rPr>
              <w:t>2 200</w:t>
            </w:r>
            <w:r w:rsidRPr="00FA3B95">
              <w:rPr>
                <w:rStyle w:val="Tablefreq"/>
                <w:rtl/>
              </w:rPr>
              <w:t>-</w:t>
            </w:r>
            <w:r w:rsidRPr="00FA3B95">
              <w:rPr>
                <w:rStyle w:val="Tablefreq"/>
              </w:rPr>
              <w:t>2 290</w:t>
            </w:r>
            <w:r w:rsidRPr="0063507B">
              <w:rPr>
                <w:lang w:val="fr-CH"/>
              </w:rPr>
              <w:tab/>
            </w:r>
            <w:r w:rsidRPr="0063507B">
              <w:rPr>
                <w:b/>
                <w:bCs/>
                <w:rtl/>
                <w:lang w:val="fr-CH"/>
              </w:rPr>
              <w:t>عمليات فضائية</w:t>
            </w:r>
            <w:r w:rsidRPr="0063507B">
              <w:rPr>
                <w:rtl/>
                <w:lang w:val="fr-CH"/>
              </w:rPr>
              <w:t xml:space="preserve"> (فضاء-أرض) (فضاء-فضاء)</w:t>
            </w:r>
          </w:p>
          <w:p w:rsidR="004B06D4" w:rsidRPr="0063507B" w:rsidRDefault="00F466DD" w:rsidP="00526F39">
            <w:pPr>
              <w:pStyle w:val="TabletextS5"/>
              <w:rPr>
                <w:lang w:val="fr-CH"/>
              </w:rPr>
            </w:pPr>
            <w:r w:rsidRPr="0063507B">
              <w:rPr>
                <w:lang w:val="fr-CH"/>
              </w:rPr>
              <w:tab/>
            </w:r>
            <w:r w:rsidRPr="0063507B">
              <w:rPr>
                <w:b/>
                <w:bCs/>
                <w:rtl/>
                <w:lang w:val="fr-CH"/>
              </w:rPr>
              <w:t>استكشاف الأرض الساتلية</w:t>
            </w:r>
            <w:r w:rsidRPr="0063507B">
              <w:rPr>
                <w:rtl/>
                <w:lang w:val="fr-CH"/>
              </w:rPr>
              <w:t xml:space="preserve"> (فضاء-أرض) (فضاء-فضاء)</w:t>
            </w:r>
          </w:p>
          <w:p w:rsidR="004B06D4" w:rsidRPr="00195D4B" w:rsidRDefault="00F466DD" w:rsidP="00526F39">
            <w:pPr>
              <w:pStyle w:val="TabletextS5"/>
              <w:rPr>
                <w:b/>
                <w:bCs/>
                <w:lang w:val="fr-CH"/>
              </w:rPr>
            </w:pPr>
            <w:r w:rsidRPr="0063507B">
              <w:rPr>
                <w:lang w:val="fr-CH"/>
              </w:rPr>
              <w:tab/>
            </w:r>
            <w:r w:rsidRPr="00195D4B">
              <w:rPr>
                <w:b/>
                <w:bCs/>
                <w:rtl/>
                <w:lang w:val="fr-CH"/>
              </w:rPr>
              <w:t>ثابتة</w:t>
            </w:r>
          </w:p>
          <w:p w:rsidR="004B06D4" w:rsidRPr="0063507B" w:rsidRDefault="00F466DD" w:rsidP="00526F39">
            <w:pPr>
              <w:pStyle w:val="TabletextS5"/>
              <w:rPr>
                <w:lang w:val="fr-CH"/>
              </w:rPr>
            </w:pPr>
            <w:r w:rsidRPr="0063507B">
              <w:rPr>
                <w:lang w:val="fr-CH"/>
              </w:rPr>
              <w:tab/>
            </w:r>
            <w:r w:rsidRPr="0063507B">
              <w:rPr>
                <w:b/>
                <w:bCs/>
                <w:rtl/>
                <w:lang w:val="fr-CH"/>
              </w:rPr>
              <w:t>متنقلة</w:t>
            </w:r>
            <w:r w:rsidRPr="0063507B">
              <w:rPr>
                <w:rtl/>
                <w:lang w:val="fr-CH"/>
              </w:rPr>
              <w:t xml:space="preserve">  </w:t>
            </w:r>
            <w:r w:rsidRPr="00526F39">
              <w:rPr>
                <w:rStyle w:val="Artref"/>
                <w:b w:val="0"/>
                <w:bCs w:val="0"/>
                <w:lang w:val="fr-CH"/>
              </w:rPr>
              <w:t>391.5</w:t>
            </w:r>
          </w:p>
          <w:p w:rsidR="004B06D4" w:rsidRPr="0063507B" w:rsidRDefault="00F466DD" w:rsidP="00526F39">
            <w:pPr>
              <w:pStyle w:val="TabletextS5"/>
              <w:rPr>
                <w:lang w:val="fr-CH"/>
              </w:rPr>
            </w:pPr>
            <w:r w:rsidRPr="0063507B">
              <w:rPr>
                <w:lang w:val="fr-CH"/>
              </w:rPr>
              <w:tab/>
            </w:r>
            <w:r w:rsidRPr="0063507B">
              <w:rPr>
                <w:b/>
                <w:bCs/>
                <w:rtl/>
                <w:lang w:val="fr-CH"/>
              </w:rPr>
              <w:t>أبحاث فضائية</w:t>
            </w:r>
            <w:r w:rsidRPr="0063507B">
              <w:rPr>
                <w:rtl/>
                <w:lang w:val="fr-CH"/>
              </w:rPr>
              <w:t xml:space="preserve"> (فضاء-أرض) (فضاء-فضاء)</w:t>
            </w:r>
          </w:p>
          <w:p w:rsidR="004B06D4" w:rsidRPr="00526F39" w:rsidRDefault="00F466DD" w:rsidP="00526F39">
            <w:pPr>
              <w:pStyle w:val="TabletextS5"/>
              <w:rPr>
                <w:b/>
                <w:bCs/>
                <w:lang w:val="fr-CH"/>
              </w:rPr>
            </w:pPr>
            <w:r w:rsidRPr="0063507B">
              <w:rPr>
                <w:lang w:val="fr-CH"/>
              </w:rPr>
              <w:tab/>
            </w:r>
            <w:r w:rsidRPr="00526F39">
              <w:rPr>
                <w:rStyle w:val="Artref"/>
                <w:b w:val="0"/>
                <w:bCs w:val="0"/>
                <w:lang w:val="fr-CH"/>
              </w:rPr>
              <w:t>392.5</w:t>
            </w:r>
          </w:p>
        </w:tc>
      </w:tr>
    </w:tbl>
    <w:p w:rsidR="00866779" w:rsidRDefault="00F466DD" w:rsidP="00E072A5">
      <w:pPr>
        <w:pStyle w:val="Reasons"/>
        <w:rPr>
          <w:spacing w:val="-2"/>
          <w:rtl/>
          <w:lang w:bidi="ar-EG"/>
        </w:rPr>
      </w:pPr>
      <w:r w:rsidRPr="009B5264">
        <w:rPr>
          <w:spacing w:val="-2"/>
          <w:rtl/>
        </w:rPr>
        <w:t>الأسباب:</w:t>
      </w:r>
      <w:r w:rsidRPr="009B5264">
        <w:rPr>
          <w:spacing w:val="-2"/>
        </w:rPr>
        <w:tab/>
      </w:r>
      <w:r w:rsidR="00A4115D" w:rsidRPr="009B5264">
        <w:rPr>
          <w:rFonts w:hint="cs"/>
          <w:b w:val="0"/>
          <w:bCs w:val="0"/>
          <w:spacing w:val="-2"/>
          <w:rtl/>
          <w:lang w:bidi="ar-EG"/>
        </w:rPr>
        <w:t>أظهرت دراسات قطاع الاتصالات الراديوية أن التقاسم غير ممكن بين أنظمة الاتصالات المتنقلة الدولية</w:t>
      </w:r>
      <w:r w:rsidR="00070EB8" w:rsidRPr="009B5264">
        <w:rPr>
          <w:rFonts w:hint="eastAsia"/>
          <w:b w:val="0"/>
          <w:bCs w:val="0"/>
          <w:spacing w:val="-2"/>
          <w:rtl/>
          <w:lang w:bidi="ar-EG"/>
        </w:rPr>
        <w:t> </w:t>
      </w:r>
      <w:r w:rsidR="00070EB8" w:rsidRPr="009B5264">
        <w:rPr>
          <w:b w:val="0"/>
          <w:bCs w:val="0"/>
          <w:spacing w:val="-2"/>
          <w:lang w:bidi="ar-EG"/>
        </w:rPr>
        <w:t>(IMT)</w:t>
      </w:r>
      <w:r w:rsidR="00A4115D" w:rsidRPr="009B5264">
        <w:rPr>
          <w:rFonts w:hint="cs"/>
          <w:b w:val="0"/>
          <w:bCs w:val="0"/>
          <w:spacing w:val="-2"/>
          <w:rtl/>
          <w:lang w:bidi="ar-EG"/>
        </w:rPr>
        <w:t xml:space="preserve"> وأنظمة الخدمات القائمة في النطاق</w:t>
      </w:r>
      <w:r w:rsidR="00E072A5" w:rsidRPr="009B5264">
        <w:rPr>
          <w:rFonts w:hint="eastAsia"/>
          <w:b w:val="0"/>
          <w:bCs w:val="0"/>
          <w:spacing w:val="-2"/>
          <w:rtl/>
          <w:lang w:bidi="ar-EG"/>
        </w:rPr>
        <w:t> </w:t>
      </w:r>
      <w:r w:rsidR="00A4115D" w:rsidRPr="009B5264">
        <w:rPr>
          <w:b w:val="0"/>
          <w:bCs w:val="0"/>
          <w:spacing w:val="-2"/>
          <w:szCs w:val="24"/>
        </w:rPr>
        <w:t>2</w:t>
      </w:r>
      <w:r w:rsidR="00A4115D" w:rsidRPr="009B5264">
        <w:rPr>
          <w:b w:val="0"/>
          <w:bCs w:val="0"/>
          <w:color w:val="000000"/>
          <w:spacing w:val="-2"/>
          <w:szCs w:val="24"/>
        </w:rPr>
        <w:t> </w:t>
      </w:r>
      <w:r w:rsidR="00A4115D" w:rsidRPr="009B5264">
        <w:rPr>
          <w:b w:val="0"/>
          <w:bCs w:val="0"/>
          <w:spacing w:val="-2"/>
          <w:szCs w:val="24"/>
        </w:rPr>
        <w:t>200</w:t>
      </w:r>
      <w:r w:rsidR="00A4115D" w:rsidRPr="009B5264">
        <w:rPr>
          <w:rFonts w:hint="cs"/>
          <w:b w:val="0"/>
          <w:bCs w:val="0"/>
          <w:spacing w:val="-2"/>
          <w:szCs w:val="24"/>
          <w:rtl/>
        </w:rPr>
        <w:t>-</w:t>
      </w:r>
      <w:r w:rsidR="00E072A5" w:rsidRPr="009B5264">
        <w:rPr>
          <w:b w:val="0"/>
          <w:bCs w:val="0"/>
          <w:spacing w:val="-2"/>
          <w:szCs w:val="24"/>
        </w:rPr>
        <w:t>MHz </w:t>
      </w:r>
      <w:r w:rsidR="00A4115D" w:rsidRPr="009B5264">
        <w:rPr>
          <w:b w:val="0"/>
          <w:bCs w:val="0"/>
          <w:spacing w:val="-2"/>
          <w:szCs w:val="24"/>
        </w:rPr>
        <w:t>2</w:t>
      </w:r>
      <w:r w:rsidR="00A4115D" w:rsidRPr="009B5264">
        <w:rPr>
          <w:b w:val="0"/>
          <w:bCs w:val="0"/>
          <w:color w:val="000000"/>
          <w:spacing w:val="-2"/>
          <w:szCs w:val="24"/>
        </w:rPr>
        <w:t> </w:t>
      </w:r>
      <w:r w:rsidR="00A4115D" w:rsidRPr="009B5264">
        <w:rPr>
          <w:b w:val="0"/>
          <w:bCs w:val="0"/>
          <w:spacing w:val="-2"/>
          <w:szCs w:val="24"/>
        </w:rPr>
        <w:t>290</w:t>
      </w:r>
      <w:r w:rsidR="00A4115D" w:rsidRPr="009B5264">
        <w:rPr>
          <w:rFonts w:hint="cs"/>
          <w:b w:val="0"/>
          <w:bCs w:val="0"/>
          <w:spacing w:val="-2"/>
          <w:szCs w:val="24"/>
          <w:rtl/>
        </w:rPr>
        <w:t>.</w:t>
      </w:r>
    </w:p>
    <w:p w:rsidR="00C502A0" w:rsidRPr="00C502A0" w:rsidRDefault="00C502A0" w:rsidP="00C502A0">
      <w:pPr>
        <w:pStyle w:val="Reasons"/>
        <w:rPr>
          <w:rtl/>
          <w:lang w:bidi="ar-EG"/>
        </w:rPr>
      </w:pPr>
    </w:p>
    <w:p w:rsidR="002934EE" w:rsidRPr="002934EE" w:rsidRDefault="002934EE" w:rsidP="002934EE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934EE" w:rsidRPr="002934EE" w:rsidSect="006A408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D7C7D" w:rsidRDefault="00281F5F" w:rsidP="004D7C7D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4D7C7D">
      <w:instrText xml:space="preserve"> FILENAME \p \* MERGEFORMAT </w:instrText>
    </w:r>
    <w:r w:rsidRPr="00CB4300">
      <w:fldChar w:fldCharType="separate"/>
    </w:r>
    <w:r w:rsidR="00914F3D">
      <w:rPr>
        <w:noProof/>
      </w:rPr>
      <w:t>P:\ARA\ITU-R\CONF-R\CMR15\000\007ADD01ADD05A.docx</w:t>
    </w:r>
    <w:r w:rsidRPr="00CB4300">
      <w:fldChar w:fldCharType="end"/>
    </w:r>
    <w:r w:rsidRPr="004D7C7D">
      <w:t xml:space="preserve">  (</w:t>
    </w:r>
    <w:r w:rsidR="004D7C7D" w:rsidRPr="004D7C7D">
      <w:t>387577</w:t>
    </w:r>
    <w:r w:rsidRPr="004D7C7D">
      <w:t>)</w:t>
    </w:r>
    <w:r w:rsidRPr="004D7C7D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14F3D">
      <w:rPr>
        <w:noProof/>
      </w:rPr>
      <w:t>26.10.15</w:t>
    </w:r>
    <w:r w:rsidRPr="00CB4300">
      <w:fldChar w:fldCharType="end"/>
    </w:r>
    <w:r w:rsidRPr="004D7C7D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14F3D">
      <w:rPr>
        <w:noProof/>
      </w:rPr>
      <w:t>26.10.15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D7C7D" w:rsidRDefault="00281F5F" w:rsidP="006A408A">
    <w:pPr>
      <w:pStyle w:val="Footer"/>
      <w:spacing w:before="0"/>
    </w:pPr>
    <w:r>
      <w:fldChar w:fldCharType="begin"/>
    </w:r>
    <w:r w:rsidRPr="004D7C7D">
      <w:instrText xml:space="preserve"> FILENAME \p \* MERGEFORMAT </w:instrText>
    </w:r>
    <w:r>
      <w:fldChar w:fldCharType="separate"/>
    </w:r>
    <w:r w:rsidR="00914F3D">
      <w:rPr>
        <w:noProof/>
      </w:rPr>
      <w:t>P:\ARA\ITU-R\CONF-R\CMR15\000\007ADD01ADD05A.docx</w:t>
    </w:r>
    <w:r>
      <w:fldChar w:fldCharType="end"/>
    </w:r>
    <w:r w:rsidRPr="004D7C7D">
      <w:t xml:space="preserve">   (</w:t>
    </w:r>
    <w:r w:rsidR="004D7C7D">
      <w:t>387577</w:t>
    </w:r>
    <w:r w:rsidRPr="004D7C7D">
      <w:t>)</w:t>
    </w:r>
    <w:r w:rsidRPr="004D7C7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14F3D">
      <w:rPr>
        <w:noProof/>
      </w:rPr>
      <w:t>26.10.15</w:t>
    </w:r>
    <w:r w:rsidRPr="00B12661">
      <w:fldChar w:fldCharType="end"/>
    </w:r>
    <w:r w:rsidRPr="004D7C7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14F3D">
      <w:rPr>
        <w:noProof/>
      </w:rPr>
      <w:t>26.10.15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14F3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0EB8"/>
    <w:rsid w:val="00075A3F"/>
    <w:rsid w:val="000A1B16"/>
    <w:rsid w:val="000B5404"/>
    <w:rsid w:val="000D1708"/>
    <w:rsid w:val="000D5B0A"/>
    <w:rsid w:val="000E2AFC"/>
    <w:rsid w:val="000E6D30"/>
    <w:rsid w:val="000F05F5"/>
    <w:rsid w:val="000F28EA"/>
    <w:rsid w:val="000F518F"/>
    <w:rsid w:val="000F6637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314B"/>
    <w:rsid w:val="002934EE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206C"/>
    <w:rsid w:val="0047407D"/>
    <w:rsid w:val="004909DD"/>
    <w:rsid w:val="00491596"/>
    <w:rsid w:val="00493BF4"/>
    <w:rsid w:val="004A05E6"/>
    <w:rsid w:val="004A6C66"/>
    <w:rsid w:val="004A7AA0"/>
    <w:rsid w:val="004C11BC"/>
    <w:rsid w:val="004D4AE6"/>
    <w:rsid w:val="004D7C7D"/>
    <w:rsid w:val="004E34FA"/>
    <w:rsid w:val="004E7C4D"/>
    <w:rsid w:val="00505FCA"/>
    <w:rsid w:val="00510C2D"/>
    <w:rsid w:val="005169F4"/>
    <w:rsid w:val="005210D1"/>
    <w:rsid w:val="00523146"/>
    <w:rsid w:val="00523275"/>
    <w:rsid w:val="005264FB"/>
    <w:rsid w:val="00526F39"/>
    <w:rsid w:val="00531DC7"/>
    <w:rsid w:val="005350B0"/>
    <w:rsid w:val="00546A99"/>
    <w:rsid w:val="00553411"/>
    <w:rsid w:val="00554AE7"/>
    <w:rsid w:val="00561629"/>
    <w:rsid w:val="00564746"/>
    <w:rsid w:val="0056512C"/>
    <w:rsid w:val="00576D0A"/>
    <w:rsid w:val="00576FCC"/>
    <w:rsid w:val="00584333"/>
    <w:rsid w:val="005930D8"/>
    <w:rsid w:val="005953EC"/>
    <w:rsid w:val="005B00A1"/>
    <w:rsid w:val="005C0067"/>
    <w:rsid w:val="005C29C8"/>
    <w:rsid w:val="005C5D25"/>
    <w:rsid w:val="005D6272"/>
    <w:rsid w:val="005D6D48"/>
    <w:rsid w:val="005D72A4"/>
    <w:rsid w:val="005F05CC"/>
    <w:rsid w:val="005F65DE"/>
    <w:rsid w:val="00613492"/>
    <w:rsid w:val="006315B5"/>
    <w:rsid w:val="00651343"/>
    <w:rsid w:val="0065562F"/>
    <w:rsid w:val="00672E91"/>
    <w:rsid w:val="00680A66"/>
    <w:rsid w:val="00681391"/>
    <w:rsid w:val="00692450"/>
    <w:rsid w:val="006A12AC"/>
    <w:rsid w:val="006A2162"/>
    <w:rsid w:val="006A408A"/>
    <w:rsid w:val="006B0D94"/>
    <w:rsid w:val="006B4B90"/>
    <w:rsid w:val="006B658C"/>
    <w:rsid w:val="006C0C43"/>
    <w:rsid w:val="006D2674"/>
    <w:rsid w:val="006E38D0"/>
    <w:rsid w:val="006E465B"/>
    <w:rsid w:val="006F70BF"/>
    <w:rsid w:val="0071296C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1FB"/>
    <w:rsid w:val="00786A7E"/>
    <w:rsid w:val="00790633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779"/>
    <w:rsid w:val="00866A15"/>
    <w:rsid w:val="0088384B"/>
    <w:rsid w:val="00884AED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4F3D"/>
    <w:rsid w:val="00951718"/>
    <w:rsid w:val="00954CCB"/>
    <w:rsid w:val="00960962"/>
    <w:rsid w:val="00972CE0"/>
    <w:rsid w:val="009A3D30"/>
    <w:rsid w:val="009B0BD8"/>
    <w:rsid w:val="009B5264"/>
    <w:rsid w:val="009D6348"/>
    <w:rsid w:val="009E613F"/>
    <w:rsid w:val="009F042B"/>
    <w:rsid w:val="009F58A4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115D"/>
    <w:rsid w:val="00A65E5A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21FA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02A0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26507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72A5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259D"/>
    <w:rsid w:val="00EA1B76"/>
    <w:rsid w:val="00EA77D7"/>
    <w:rsid w:val="00EC09B9"/>
    <w:rsid w:val="00ED048C"/>
    <w:rsid w:val="00ED4B29"/>
    <w:rsid w:val="00ED66EE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66DD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A61D30B-22E8-4B1B-8743-F1DD447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">
    <w:name w:val="Table_text"/>
    <w:basedOn w:val="Normal"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styleId="Hyperlink">
    <w:name w:val="Hyperlink"/>
    <w:basedOn w:val="DefaultParagraphFont"/>
    <w:uiPriority w:val="99"/>
    <w:unhideWhenUsed/>
    <w:rsid w:val="00493BF4"/>
    <w:rPr>
      <w:color w:val="0000FA"/>
      <w:u w:val="single"/>
    </w:rPr>
  </w:style>
  <w:style w:type="character" w:styleId="CommentReference">
    <w:name w:val="annotation reference"/>
    <w:basedOn w:val="DefaultParagraphFont"/>
    <w:semiHidden/>
    <w:unhideWhenUsed/>
    <w:rsid w:val="00672E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2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2E91"/>
    <w:rPr>
      <w:rFonts w:ascii="Times New Roman" w:hAnsi="Times New Roman" w:cs="Traditional Arab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E91"/>
    <w:rPr>
      <w:rFonts w:ascii="Times New Roman" w:hAnsi="Times New Roman" w:cs="Traditional Arabic"/>
      <w:b/>
      <w:bCs/>
      <w:lang w:eastAsia="en-US"/>
    </w:rPr>
  </w:style>
  <w:style w:type="paragraph" w:styleId="Revision">
    <w:name w:val="Revision"/>
    <w:hidden/>
    <w:uiPriority w:val="99"/>
    <w:semiHidden/>
    <w:rsid w:val="00672E91"/>
    <w:rPr>
      <w:rFonts w:ascii="Times New Roman" w:hAnsi="Times New Roman" w:cs="Traditional Arabic"/>
      <w:sz w:val="22"/>
      <w:szCs w:val="3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72E9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2E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R15-WRC15-C-0007!A1-A5!MSW-A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6C681-CF08-42CB-AA33-5A60527F3772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E697C2-5EB1-435F-9A91-587FB5B3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440</Words>
  <Characters>2447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R15-WRC15-C-0007!A1-A5!MSW-A</vt:lpstr>
    </vt:vector>
  </TitlesOfParts>
  <Manager>General Secretariat - Pool</Manager>
  <Company>International Telecommunication Union (ITU)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R15-WRC15-C-0007!A1-A5!MSW-A</dc:title>
  <dc:creator>Documents Proposals Manager (DPM)</dc:creator>
  <cp:keywords>DPM_v5.2015.9.16_prod</cp:keywords>
  <cp:lastModifiedBy>Awad, Samy</cp:lastModifiedBy>
  <cp:revision>20</cp:revision>
  <cp:lastPrinted>2015-10-26T16:27:00Z</cp:lastPrinted>
  <dcterms:created xsi:type="dcterms:W3CDTF">2015-10-26T14:42:00Z</dcterms:created>
  <dcterms:modified xsi:type="dcterms:W3CDTF">2015-10-26T16:27:00Z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