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107"/>
        <w:gridCol w:w="3120"/>
      </w:tblGrid>
      <w:tr w:rsidR="0090121B" w:rsidRPr="0002785D" w:rsidTr="0050008E">
        <w:trPr>
          <w:cantSplit/>
        </w:trPr>
        <w:tc>
          <w:tcPr>
            <w:tcW w:w="6911" w:type="dxa"/>
            <w:gridSpan w:val="2"/>
          </w:tcPr>
          <w:p w:rsidR="0090121B" w:rsidRPr="00414207"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7617AE8D" wp14:editId="059054A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E61218">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gridSpan w:val="2"/>
            <w:shd w:val="clear" w:color="auto" w:fill="auto"/>
          </w:tcPr>
          <w:p w:rsidR="0090121B" w:rsidRPr="00414207" w:rsidRDefault="00AE658F" w:rsidP="0045384C">
            <w:pPr>
              <w:spacing w:before="0"/>
              <w:rPr>
                <w:rFonts w:ascii="Verdana" w:hAnsi="Verdana"/>
                <w:sz w:val="20"/>
              </w:rPr>
            </w:pPr>
            <w:r w:rsidRPr="00414207">
              <w:rPr>
                <w:rFonts w:ascii="Verdana" w:eastAsia="SimSun" w:hAnsi="Verdana" w:cs="Traditional Arabic"/>
                <w:b/>
                <w:sz w:val="20"/>
              </w:rPr>
              <w:t>Addéndum 2 al</w:t>
            </w:r>
            <w:r w:rsidRPr="00414207">
              <w:rPr>
                <w:rFonts w:ascii="Verdana" w:eastAsia="SimSun" w:hAnsi="Verdana" w:cs="Traditional Arabic"/>
                <w:b/>
                <w:sz w:val="20"/>
              </w:rPr>
              <w:br/>
              <w:t>Documento 7(Add.1)</w:t>
            </w:r>
            <w:r w:rsidR="0090121B" w:rsidRPr="00414207">
              <w:rPr>
                <w:rFonts w:ascii="Verdana" w:hAnsi="Verdana"/>
                <w:b/>
                <w:sz w:val="20"/>
              </w:rPr>
              <w:t>-</w:t>
            </w:r>
            <w:r w:rsidRPr="00414207">
              <w:rPr>
                <w:rFonts w:ascii="Verdana" w:hAnsi="Verdana"/>
                <w:b/>
                <w:sz w:val="20"/>
              </w:rPr>
              <w:t>S</w:t>
            </w:r>
          </w:p>
        </w:tc>
      </w:tr>
      <w:bookmarkEnd w:id="1"/>
      <w:tr w:rsidR="000A5B9A" w:rsidRPr="0002785D" w:rsidTr="00E61218">
        <w:trPr>
          <w:cantSplit/>
        </w:trPr>
        <w:tc>
          <w:tcPr>
            <w:tcW w:w="6804" w:type="dxa"/>
            <w:shd w:val="clear" w:color="auto" w:fill="auto"/>
          </w:tcPr>
          <w:p w:rsidR="000A5B9A" w:rsidRPr="00414207" w:rsidRDefault="000A5B9A" w:rsidP="0045384C">
            <w:pPr>
              <w:spacing w:before="0" w:after="48"/>
              <w:rPr>
                <w:rFonts w:ascii="Verdana" w:hAnsi="Verdana"/>
                <w:b/>
                <w:smallCaps/>
                <w:sz w:val="20"/>
              </w:rPr>
            </w:pPr>
          </w:p>
        </w:tc>
        <w:tc>
          <w:tcPr>
            <w:tcW w:w="3227"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E61218">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3"/>
          </w:tcPr>
          <w:p w:rsidR="000A5B9A" w:rsidRPr="00414207" w:rsidRDefault="000A5B9A" w:rsidP="000A5B9A">
            <w:pPr>
              <w:pStyle w:val="Source"/>
            </w:pPr>
            <w:bookmarkStart w:id="2" w:name="dsource" w:colFirst="0" w:colLast="0"/>
            <w:r w:rsidRPr="00414207">
              <w:t>Estados Miembros de la Comisión Interamericana de Telecomunicaciones (CITEL)</w:t>
            </w:r>
          </w:p>
        </w:tc>
      </w:tr>
      <w:tr w:rsidR="000A5B9A" w:rsidRPr="00414207" w:rsidTr="0050008E">
        <w:trPr>
          <w:cantSplit/>
        </w:trPr>
        <w:tc>
          <w:tcPr>
            <w:tcW w:w="10031" w:type="dxa"/>
            <w:gridSpan w:val="3"/>
          </w:tcPr>
          <w:p w:rsidR="000A5B9A" w:rsidRPr="00653B2B" w:rsidRDefault="00653B2B" w:rsidP="000A5B9A">
            <w:pPr>
              <w:pStyle w:val="Title1"/>
            </w:pPr>
            <w:bookmarkStart w:id="3" w:name="dtitle1" w:colFirst="0" w:colLast="0"/>
            <w:bookmarkEnd w:id="2"/>
            <w:r w:rsidRPr="0055279A">
              <w:t>Propuestas para los trabajos de la Conferencia</w:t>
            </w:r>
          </w:p>
        </w:tc>
      </w:tr>
      <w:tr w:rsidR="000A5B9A" w:rsidRPr="00414207" w:rsidTr="0050008E">
        <w:trPr>
          <w:cantSplit/>
        </w:trPr>
        <w:tc>
          <w:tcPr>
            <w:tcW w:w="10031" w:type="dxa"/>
            <w:gridSpan w:val="3"/>
          </w:tcPr>
          <w:p w:rsidR="000A5B9A" w:rsidRPr="00653B2B" w:rsidRDefault="000A5B9A" w:rsidP="000A5B9A">
            <w:pPr>
              <w:pStyle w:val="Title2"/>
            </w:pPr>
            <w:bookmarkStart w:id="4" w:name="dtitle2" w:colFirst="0" w:colLast="0"/>
            <w:bookmarkEnd w:id="3"/>
          </w:p>
        </w:tc>
      </w:tr>
      <w:tr w:rsidR="000A5B9A" w:rsidTr="0050008E">
        <w:trPr>
          <w:cantSplit/>
        </w:trPr>
        <w:tc>
          <w:tcPr>
            <w:tcW w:w="10031" w:type="dxa"/>
            <w:gridSpan w:val="3"/>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C26A0A" w:rsidRDefault="002A7A63"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E61218" w:rsidRDefault="00E61218" w:rsidP="00E61218">
      <w:pPr>
        <w:rPr>
          <w:lang w:val="es-UY"/>
        </w:rPr>
      </w:pPr>
    </w:p>
    <w:p w:rsidR="00653B2B" w:rsidRPr="006A4B06" w:rsidRDefault="00653B2B" w:rsidP="00E61218">
      <w:pPr>
        <w:pStyle w:val="Headingb"/>
        <w:rPr>
          <w:lang w:val="es-UY"/>
        </w:rPr>
      </w:pPr>
      <w:r>
        <w:rPr>
          <w:lang w:val="es-UY"/>
        </w:rPr>
        <w:t>Antecedentes</w:t>
      </w:r>
    </w:p>
    <w:p w:rsidR="00653B2B" w:rsidRPr="006A4B06" w:rsidRDefault="00653B2B" w:rsidP="008C5A52">
      <w:pPr>
        <w:rPr>
          <w:szCs w:val="24"/>
          <w:lang w:val="es-UY" w:eastAsia="x-none"/>
        </w:rPr>
      </w:pPr>
      <w:r w:rsidRPr="006A4B06">
        <w:rPr>
          <w:szCs w:val="24"/>
          <w:lang w:val="es-UY"/>
        </w:rPr>
        <w:t>La Conferencia Mundial de Radiocomunicaciones 2012 (CMR</w:t>
      </w:r>
      <w:r w:rsidRPr="006A4B06">
        <w:rPr>
          <w:szCs w:val="24"/>
          <w:lang w:val="es-UY"/>
        </w:rPr>
        <w:noBreakHyphen/>
        <w:t>12) reconoció la necesidad de espectro radioeléctrico adicional para encarar el tráfico creciente de datos del servicio móvil, e introdujo la consideración de atribuciones adicionales de espectro para aplicaciones de banda ancha móvil terrenal en el orden del día de la CMR</w:t>
      </w:r>
      <w:r w:rsidRPr="006A4B06">
        <w:rPr>
          <w:szCs w:val="24"/>
          <w:lang w:val="es-UY"/>
        </w:rPr>
        <w:noBreakHyphen/>
        <w:t>15. El Grupo Mixto de Tareas Especiales (GMTE)</w:t>
      </w:r>
      <w:r w:rsidRPr="006A4B06">
        <w:rPr>
          <w:szCs w:val="24"/>
          <w:lang w:val="es-UY" w:eastAsia="x-none"/>
        </w:rPr>
        <w:t xml:space="preserve"> 4</w:t>
      </w:r>
      <w:r w:rsidR="008C5A52">
        <w:rPr>
          <w:szCs w:val="24"/>
          <w:lang w:val="es-UY" w:eastAsia="x-none"/>
        </w:rPr>
        <w:noBreakHyphen/>
      </w:r>
      <w:r w:rsidRPr="006A4B06">
        <w:rPr>
          <w:szCs w:val="24"/>
          <w:lang w:val="es-UY" w:eastAsia="x-none"/>
        </w:rPr>
        <w:t>5-6-7 consideró las necesidades de espectro para aplicaciones de IMT/banda ancha móvil terrenal y preparó estudios de compartición y compatibilidad, teniendo en cuenta los requisitos de protección de otros servicios de acuerdo con Grupos de Trabajo afectados del UIT</w:t>
      </w:r>
      <w:r w:rsidRPr="006A4B06">
        <w:rPr>
          <w:szCs w:val="24"/>
          <w:lang w:val="es-UY" w:eastAsia="x-none"/>
        </w:rPr>
        <w:noBreakHyphen/>
        <w:t>R.</w:t>
      </w:r>
    </w:p>
    <w:p w:rsidR="00653B2B" w:rsidRPr="006A4B06" w:rsidRDefault="00653B2B" w:rsidP="00653B2B">
      <w:pPr>
        <w:rPr>
          <w:szCs w:val="24"/>
          <w:lang w:val="es-UY"/>
        </w:rPr>
      </w:pPr>
      <w:r w:rsidRPr="006A4B06">
        <w:rPr>
          <w:szCs w:val="24"/>
          <w:lang w:val="es-UY"/>
        </w:rPr>
        <w:t>Las bandas de 1</w:t>
      </w:r>
      <w:r w:rsidRPr="006A4B06">
        <w:rPr>
          <w:b/>
          <w:szCs w:val="24"/>
          <w:lang w:val="es-UY"/>
        </w:rPr>
        <w:t> </w:t>
      </w:r>
      <w:r w:rsidRPr="006A4B06">
        <w:rPr>
          <w:szCs w:val="24"/>
          <w:lang w:val="es-UY"/>
        </w:rPr>
        <w:t>164-1</w:t>
      </w:r>
      <w:r w:rsidRPr="006A4B06">
        <w:rPr>
          <w:b/>
          <w:szCs w:val="24"/>
          <w:lang w:val="es-UY"/>
        </w:rPr>
        <w:t> </w:t>
      </w:r>
      <w:r w:rsidRPr="006A4B06">
        <w:rPr>
          <w:szCs w:val="24"/>
          <w:lang w:val="es-UY"/>
        </w:rPr>
        <w:t>215 MHz, 1</w:t>
      </w:r>
      <w:r w:rsidRPr="006A4B06">
        <w:rPr>
          <w:b/>
          <w:szCs w:val="24"/>
          <w:lang w:val="es-UY"/>
        </w:rPr>
        <w:t> </w:t>
      </w:r>
      <w:r w:rsidRPr="006A4B06">
        <w:rPr>
          <w:szCs w:val="24"/>
          <w:lang w:val="es-UY"/>
        </w:rPr>
        <w:t>215-1</w:t>
      </w:r>
      <w:r w:rsidRPr="006A4B06">
        <w:rPr>
          <w:b/>
          <w:szCs w:val="24"/>
          <w:lang w:val="es-UY"/>
        </w:rPr>
        <w:t> </w:t>
      </w:r>
      <w:r w:rsidRPr="006A4B06">
        <w:rPr>
          <w:szCs w:val="24"/>
          <w:lang w:val="es-UY"/>
        </w:rPr>
        <w:t>300 MHz y 1</w:t>
      </w:r>
      <w:r w:rsidRPr="006A4B06">
        <w:rPr>
          <w:b/>
          <w:szCs w:val="24"/>
          <w:lang w:val="es-UY"/>
        </w:rPr>
        <w:t> </w:t>
      </w:r>
      <w:r w:rsidRPr="006A4B06">
        <w:rPr>
          <w:szCs w:val="24"/>
          <w:lang w:val="es-UY"/>
        </w:rPr>
        <w:t>559-1</w:t>
      </w:r>
      <w:r w:rsidRPr="006A4B06">
        <w:rPr>
          <w:b/>
          <w:szCs w:val="24"/>
          <w:lang w:val="es-UY"/>
        </w:rPr>
        <w:t> </w:t>
      </w:r>
      <w:r w:rsidRPr="006A4B06">
        <w:rPr>
          <w:szCs w:val="24"/>
          <w:lang w:val="es-UY"/>
        </w:rPr>
        <w:t>610 MHz son activamente utilizadas por los servicios de radionavegación por satélite (SRNS) en las tres Regiones de UIT.. Las empresas explotadoras proyectan o actualmente operan varios sistemas SRNS mundiales y regionales por satélites no geoestacionarios, entre ellos GPS, GLONASS, Beidou, QZSS, Galileo y IRNSS, así como un número de redes de satélites geoestacionarios que proporcionan servicios espaciales de aumento dentro de dichas bandas. Las empresas explotadoras despliegan cientos de millones de  receptores y aplicaciones SRNS en todo el mundo, que se hallan presentes en todas las facetas de la vida diaria. El público usa receptores SRNS para aplicaciones de seguridad (entre ellas el Sistema de Navegación Mundial por Satélite [GNSS]), y otras aplicaciones para la agrimensura de precisión, la construcción, la agricultura y la minería, la observación ambiental (incluso de terremotos y maremotos), aplicaciones de cronometría de precisión, frecuentemente en dispositivos de banda ancha móvil o en conjunto con estos, y otros microteléfonos. El SRNS comparte sus atribuciones en 1</w:t>
      </w:r>
      <w:r w:rsidRPr="006A4B06">
        <w:rPr>
          <w:b/>
          <w:szCs w:val="24"/>
          <w:lang w:val="es-UY"/>
        </w:rPr>
        <w:t> </w:t>
      </w:r>
      <w:r w:rsidRPr="006A4B06">
        <w:rPr>
          <w:szCs w:val="24"/>
          <w:lang w:val="es-UY"/>
        </w:rPr>
        <w:t>559-1</w:t>
      </w:r>
      <w:r w:rsidRPr="006A4B06">
        <w:rPr>
          <w:b/>
          <w:szCs w:val="24"/>
          <w:lang w:val="es-UY"/>
        </w:rPr>
        <w:t> </w:t>
      </w:r>
      <w:r w:rsidRPr="006A4B06">
        <w:rPr>
          <w:szCs w:val="24"/>
          <w:lang w:val="es-UY"/>
        </w:rPr>
        <w:t>610 MHz y 1</w:t>
      </w:r>
      <w:r w:rsidRPr="006A4B06">
        <w:rPr>
          <w:b/>
          <w:szCs w:val="24"/>
          <w:lang w:val="es-UY"/>
        </w:rPr>
        <w:t> </w:t>
      </w:r>
      <w:r w:rsidRPr="006A4B06">
        <w:rPr>
          <w:szCs w:val="24"/>
          <w:lang w:val="es-UY"/>
        </w:rPr>
        <w:t>164-1</w:t>
      </w:r>
      <w:r w:rsidRPr="006A4B06">
        <w:rPr>
          <w:b/>
          <w:szCs w:val="24"/>
          <w:lang w:val="es-UY"/>
        </w:rPr>
        <w:t> </w:t>
      </w:r>
      <w:r w:rsidRPr="006A4B06">
        <w:rPr>
          <w:szCs w:val="24"/>
          <w:lang w:val="es-UY"/>
        </w:rPr>
        <w:t>215 MHz con el servicio de radionavegación aeronáutica (SRNA), que es un servicio de seguridad.</w:t>
      </w:r>
    </w:p>
    <w:p w:rsidR="00653B2B" w:rsidRPr="006A4B06" w:rsidRDefault="00653B2B" w:rsidP="00653B2B">
      <w:pPr>
        <w:rPr>
          <w:szCs w:val="24"/>
          <w:lang w:val="es-UY"/>
        </w:rPr>
      </w:pPr>
      <w:r w:rsidRPr="006A4B06">
        <w:rPr>
          <w:szCs w:val="24"/>
          <w:lang w:val="es-UY"/>
        </w:rPr>
        <w:lastRenderedPageBreak/>
        <w:t>En la UIT hay una larga historia de proteger las operaciones del SRNS. Sistemas y redes múltiples de SRNS transmiten señales constantemente en las tres regiones de la UIT, radiando sobre toda la superficie de la Tierra. Los sistemas y redes SRNS funcionan en todo momento en todos los lugares de la Tierra. Las señales SRNS son de baja potencia, de espectro ensanchado, provenientes del espacio y son difíciles de detectar. Se requiere un procesamiento especial de receptores SRNS para extraer la señal del ruido de fondo. Si una señal de alta potencia, continua en el tiempo, en la misma banda de frecuencias, o en una adyacente, se transmite cerca de un receptor SRNS, podría insensibilizar el receptor SRNS a tal grado que ese receptor estaría imposibilitado de extraer la señal SRNS procedente del espacio.</w:t>
      </w:r>
    </w:p>
    <w:p w:rsidR="00653B2B" w:rsidRPr="006A4B06" w:rsidRDefault="00653B2B" w:rsidP="008C5A52">
      <w:pPr>
        <w:rPr>
          <w:szCs w:val="24"/>
          <w:lang w:val="es-UY"/>
        </w:rPr>
      </w:pPr>
      <w:r w:rsidRPr="006A4B06">
        <w:rPr>
          <w:szCs w:val="24"/>
          <w:lang w:val="es-UY"/>
        </w:rPr>
        <w:t>En los estudios de la UIT en preparación para la CMR</w:t>
      </w:r>
      <w:r w:rsidRPr="006A4B06">
        <w:rPr>
          <w:szCs w:val="24"/>
          <w:lang w:val="es-UY"/>
        </w:rPr>
        <w:noBreakHyphen/>
        <w:t>2000 se concluyó que incluso señales continuas en el tiempo relativamente débiles de satélites del servicio móvil por satélite no podrían suministrarse en cofrecuencia con el SRNS y SRNA en la banda de 1 559-1 610 MHz. La RPC</w:t>
      </w:r>
      <w:r w:rsidRPr="006A4B06">
        <w:rPr>
          <w:szCs w:val="24"/>
          <w:lang w:val="es-UY"/>
        </w:rPr>
        <w:noBreakHyphen/>
        <w:t xml:space="preserve">99 concluyó, en la </w:t>
      </w:r>
      <w:r w:rsidR="008C5A52">
        <w:rPr>
          <w:szCs w:val="24"/>
          <w:lang w:val="es-UY"/>
        </w:rPr>
        <w:t>s</w:t>
      </w:r>
      <w:r w:rsidRPr="006A4B06">
        <w:rPr>
          <w:szCs w:val="24"/>
          <w:lang w:val="es-UY"/>
        </w:rPr>
        <w:t>ección 2.2.1.3 del Informe de la RPC para la CMR</w:t>
      </w:r>
      <w:r w:rsidRPr="006A4B06">
        <w:rPr>
          <w:szCs w:val="24"/>
          <w:lang w:val="es-UY"/>
        </w:rPr>
        <w:noBreakHyphen/>
        <w:t xml:space="preserve">2000, que </w:t>
      </w:r>
      <w:r w:rsidR="008C5A52">
        <w:rPr>
          <w:szCs w:val="24"/>
          <w:lang w:val="es-UY"/>
        </w:rPr>
        <w:t>«</w:t>
      </w:r>
      <w:r w:rsidRPr="006A4B06">
        <w:rPr>
          <w:i/>
          <w:szCs w:val="24"/>
          <w:lang w:val="es-UY"/>
        </w:rPr>
        <w:t>aunque no se llevaron a cabo estudios en cada tipo diferente de receptor SRNS usado en las numerosas aplicaciones del SRNS, pudo sin embargo concluirse que la compartición entre SRNA/SRNS y el SMS (espacio-Tierra) no es viable en ninguna parte de la banda de 1</w:t>
      </w:r>
      <w:r w:rsidRPr="006A4B06">
        <w:rPr>
          <w:b/>
          <w:i/>
          <w:szCs w:val="24"/>
          <w:lang w:val="es-UY"/>
        </w:rPr>
        <w:t> </w:t>
      </w:r>
      <w:r w:rsidRPr="006A4B06">
        <w:rPr>
          <w:i/>
          <w:szCs w:val="24"/>
          <w:lang w:val="es-UY"/>
        </w:rPr>
        <w:t>559-1</w:t>
      </w:r>
      <w:r w:rsidRPr="006A4B06">
        <w:rPr>
          <w:b/>
          <w:i/>
          <w:szCs w:val="24"/>
          <w:lang w:val="es-UY"/>
        </w:rPr>
        <w:t> </w:t>
      </w:r>
      <w:r w:rsidRPr="006A4B06">
        <w:rPr>
          <w:i/>
          <w:szCs w:val="24"/>
          <w:lang w:val="es-UY"/>
        </w:rPr>
        <w:t>567 MHz</w:t>
      </w:r>
      <w:r w:rsidR="008C5A52">
        <w:rPr>
          <w:szCs w:val="24"/>
          <w:lang w:val="es-UY"/>
        </w:rPr>
        <w:t>»</w:t>
      </w:r>
      <w:r w:rsidRPr="006A4B06">
        <w:rPr>
          <w:szCs w:val="24"/>
          <w:lang w:val="es-UY"/>
        </w:rPr>
        <w:t>. La CMR</w:t>
      </w:r>
      <w:r w:rsidR="008C5A52">
        <w:rPr>
          <w:szCs w:val="24"/>
          <w:lang w:val="es-UY"/>
        </w:rPr>
        <w:noBreakHyphen/>
      </w:r>
      <w:r w:rsidRPr="006A4B06">
        <w:rPr>
          <w:szCs w:val="24"/>
          <w:lang w:val="es-UY"/>
        </w:rPr>
        <w:t>2000 declinó agregar una atribución SMS coprimaria a una parte de la banda del SRNS. Para proteger al SRNS en la banda de 1</w:t>
      </w:r>
      <w:r w:rsidRPr="006A4B06">
        <w:rPr>
          <w:b/>
          <w:szCs w:val="24"/>
          <w:lang w:val="es-UY"/>
        </w:rPr>
        <w:t> </w:t>
      </w:r>
      <w:r w:rsidRPr="006A4B06">
        <w:rPr>
          <w:szCs w:val="24"/>
          <w:lang w:val="es-UY"/>
        </w:rPr>
        <w:t>164-1</w:t>
      </w:r>
      <w:r w:rsidRPr="006A4B06">
        <w:rPr>
          <w:b/>
          <w:szCs w:val="24"/>
          <w:lang w:val="es-UY"/>
        </w:rPr>
        <w:t> </w:t>
      </w:r>
      <w:r w:rsidRPr="006A4B06">
        <w:rPr>
          <w:szCs w:val="24"/>
          <w:lang w:val="es-UY"/>
        </w:rPr>
        <w:t xml:space="preserve">215 MHz, la CMR-12 modificó la Resolución </w:t>
      </w:r>
      <w:r w:rsidRPr="006A4B06">
        <w:rPr>
          <w:b/>
          <w:szCs w:val="24"/>
          <w:lang w:val="es-UY"/>
        </w:rPr>
        <w:t>417</w:t>
      </w:r>
      <w:r w:rsidRPr="006A4B06">
        <w:rPr>
          <w:szCs w:val="24"/>
          <w:lang w:val="es-UY"/>
        </w:rPr>
        <w:t xml:space="preserve"> para incluir límites estrictos de la potencia en los transmisores terrenales de alta potencia en la banda adyacente del servicio de radionavegación aeronáutica en 960-1</w:t>
      </w:r>
      <w:r w:rsidRPr="006A4B06">
        <w:rPr>
          <w:b/>
          <w:szCs w:val="24"/>
          <w:lang w:val="es-UY"/>
        </w:rPr>
        <w:t> </w:t>
      </w:r>
      <w:r w:rsidRPr="006A4B06">
        <w:rPr>
          <w:szCs w:val="24"/>
          <w:lang w:val="es-UY"/>
        </w:rPr>
        <w:t xml:space="preserve">164 MHz. </w:t>
      </w:r>
    </w:p>
    <w:p w:rsidR="00653B2B" w:rsidRPr="006A4B06" w:rsidRDefault="00653B2B" w:rsidP="00653B2B">
      <w:pPr>
        <w:rPr>
          <w:szCs w:val="24"/>
          <w:lang w:val="es-UY"/>
        </w:rPr>
      </w:pPr>
      <w:r w:rsidRPr="006A4B06">
        <w:rPr>
          <w:szCs w:val="24"/>
          <w:lang w:val="es-UY"/>
        </w:rPr>
        <w:t>Aunque todas las atribuciones del SRNS están en bandas de propagación favorable y otras características para la banda ancha móvil terrenal, la UIT no estudió el uso de ésas o de bandas adyacentes.</w:t>
      </w:r>
    </w:p>
    <w:p w:rsidR="00653B2B" w:rsidRPr="006A4B06" w:rsidRDefault="00653B2B" w:rsidP="00653B2B">
      <w:pPr>
        <w:tabs>
          <w:tab w:val="clear" w:pos="1134"/>
          <w:tab w:val="clear" w:pos="1871"/>
          <w:tab w:val="clear" w:pos="2268"/>
          <w:tab w:val="left" w:pos="1138"/>
          <w:tab w:val="left" w:pos="1872"/>
          <w:tab w:val="left" w:pos="2275"/>
        </w:tabs>
        <w:rPr>
          <w:szCs w:val="24"/>
          <w:lang w:val="es-UY"/>
        </w:rPr>
      </w:pPr>
      <w:r w:rsidRPr="006A4B06">
        <w:rPr>
          <w:szCs w:val="24"/>
          <w:lang w:val="es-UY"/>
        </w:rPr>
        <w:t>Debido a la función vital y mundial que cumple el SRNS, a la naturaleza sensible de los receptores SRNS y a los estudios anteriores del UIT</w:t>
      </w:r>
      <w:r w:rsidRPr="006A4B06">
        <w:rPr>
          <w:szCs w:val="24"/>
          <w:lang w:val="es-UY"/>
        </w:rPr>
        <w:noBreakHyphen/>
        <w:t>R en la banda y en banda adyacente que demostraban que la compartición/compatibilidad no eran factibles, no deben considerarse atribuciones al servicio móvil o a la identificación para las IMT en las bandas de 1</w:t>
      </w:r>
      <w:r w:rsidRPr="006A4B06">
        <w:rPr>
          <w:b/>
          <w:szCs w:val="24"/>
          <w:lang w:val="es-UY"/>
        </w:rPr>
        <w:t> </w:t>
      </w:r>
      <w:r w:rsidRPr="006A4B06">
        <w:rPr>
          <w:szCs w:val="24"/>
          <w:lang w:val="es-UY"/>
        </w:rPr>
        <w:t>164-1</w:t>
      </w:r>
      <w:r w:rsidRPr="006A4B06">
        <w:rPr>
          <w:b/>
          <w:szCs w:val="24"/>
          <w:lang w:val="es-UY"/>
        </w:rPr>
        <w:t> </w:t>
      </w:r>
      <w:r w:rsidRPr="006A4B06">
        <w:rPr>
          <w:szCs w:val="24"/>
          <w:lang w:val="es-UY"/>
        </w:rPr>
        <w:t>215 MHz, 1</w:t>
      </w:r>
      <w:r w:rsidRPr="006A4B06">
        <w:rPr>
          <w:b/>
          <w:szCs w:val="24"/>
          <w:lang w:val="es-UY"/>
        </w:rPr>
        <w:t> </w:t>
      </w:r>
      <w:r w:rsidRPr="006A4B06">
        <w:rPr>
          <w:szCs w:val="24"/>
          <w:lang w:val="es-UY"/>
        </w:rPr>
        <w:t>215-1</w:t>
      </w:r>
      <w:r w:rsidRPr="006A4B06">
        <w:rPr>
          <w:b/>
          <w:szCs w:val="24"/>
          <w:lang w:val="es-UY"/>
        </w:rPr>
        <w:t> </w:t>
      </w:r>
      <w:r w:rsidRPr="006A4B06">
        <w:rPr>
          <w:szCs w:val="24"/>
          <w:lang w:val="es-UY"/>
        </w:rPr>
        <w:t>300 MHz y 1</w:t>
      </w:r>
      <w:r w:rsidRPr="006A4B06">
        <w:rPr>
          <w:b/>
          <w:szCs w:val="24"/>
          <w:lang w:val="es-UY"/>
        </w:rPr>
        <w:t> </w:t>
      </w:r>
      <w:r w:rsidRPr="006A4B06">
        <w:rPr>
          <w:szCs w:val="24"/>
          <w:lang w:val="es-UY"/>
        </w:rPr>
        <w:t>559-1</w:t>
      </w:r>
      <w:r w:rsidRPr="006A4B06">
        <w:rPr>
          <w:b/>
          <w:szCs w:val="24"/>
          <w:lang w:val="es-UY"/>
        </w:rPr>
        <w:t> </w:t>
      </w:r>
      <w:r w:rsidRPr="006A4B06">
        <w:rPr>
          <w:szCs w:val="24"/>
          <w:lang w:val="es-UY"/>
        </w:rPr>
        <w:t>610 MHz. Además, cualquier uso propuesto nuevo de una banda adyacente a cualquiera de dichas bandas SRNS tendría que incluir reglamentaciones para asegurarse de que los sistemas móviles terrenales de banda ancha no causaran interferencia perjudicial a los receptores SRNS (por ejemplo, bandas de guarda, límites de potencia, etc.).</w:t>
      </w:r>
    </w:p>
    <w:p w:rsidR="00653B2B" w:rsidRPr="006A4B06" w:rsidRDefault="00653B2B" w:rsidP="009D50EC">
      <w:pPr>
        <w:pStyle w:val="Headingb"/>
        <w:rPr>
          <w:lang w:val="es-UY"/>
        </w:rPr>
      </w:pPr>
      <w:r>
        <w:rPr>
          <w:lang w:val="es-UY"/>
        </w:rPr>
        <w:t>Propuestas</w:t>
      </w:r>
    </w:p>
    <w:p w:rsidR="00363A65" w:rsidRPr="00653B2B" w:rsidRDefault="00363A65" w:rsidP="009144C9">
      <w:pPr>
        <w:rPr>
          <w:lang w:val="es-UY"/>
        </w:rPr>
      </w:pP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2A7A63" w:rsidP="00D44B91">
      <w:pPr>
        <w:pStyle w:val="ArtNo"/>
      </w:pPr>
      <w:r w:rsidRPr="00245062">
        <w:lastRenderedPageBreak/>
        <w:t xml:space="preserve">ARTÍCULO </w:t>
      </w:r>
      <w:r w:rsidRPr="00245062">
        <w:rPr>
          <w:rStyle w:val="href"/>
        </w:rPr>
        <w:t>5</w:t>
      </w:r>
    </w:p>
    <w:p w:rsidR="00F008F3" w:rsidRPr="00F63BD5" w:rsidRDefault="002A7A63" w:rsidP="00D44B91">
      <w:pPr>
        <w:pStyle w:val="Arttitle"/>
      </w:pPr>
      <w:r w:rsidRPr="00245062">
        <w:t>Atribuciones de frecuencia</w:t>
      </w:r>
    </w:p>
    <w:p w:rsidR="00F008F3" w:rsidRPr="00245062" w:rsidRDefault="002A7A63"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3C6A12" w:rsidRDefault="002A7A63" w:rsidP="00B21AD5">
      <w:pPr>
        <w:pStyle w:val="Proposal"/>
      </w:pPr>
      <w:r>
        <w:rPr>
          <w:u w:val="single"/>
        </w:rPr>
        <w:t>NOC</w:t>
      </w:r>
      <w:r>
        <w:tab/>
        <w:t>IAP/7A1/2</w:t>
      </w:r>
    </w:p>
    <w:p w:rsidR="00F008F3" w:rsidRPr="004D72B7" w:rsidRDefault="002A7A63" w:rsidP="00F008F3">
      <w:pPr>
        <w:pStyle w:val="Tabletitle"/>
      </w:pPr>
      <w:r w:rsidRPr="004D72B7">
        <w:t>890-1</w:t>
      </w:r>
      <w:r w:rsidRPr="00F63BD5">
        <w:t> </w:t>
      </w:r>
      <w:r w:rsidRPr="004D72B7">
        <w:t>300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E13541">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2A7A63" w:rsidP="00E13541">
            <w:pPr>
              <w:pStyle w:val="Tablehead"/>
              <w:rPr>
                <w:color w:val="000000"/>
              </w:rPr>
            </w:pPr>
            <w:r w:rsidRPr="00245062">
              <w:rPr>
                <w:color w:val="000000"/>
              </w:rPr>
              <w:t>Atribución a los servicios</w:t>
            </w:r>
          </w:p>
        </w:tc>
      </w:tr>
      <w:tr w:rsidR="00F008F3" w:rsidRPr="00245062" w:rsidTr="00E13541">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2A7A63" w:rsidP="00E13541">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2A7A63" w:rsidP="00E13541">
            <w:pPr>
              <w:pStyle w:val="Tablehead"/>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2A7A63" w:rsidP="00E13541">
            <w:pPr>
              <w:pStyle w:val="Tablehead"/>
              <w:rPr>
                <w:color w:val="000000"/>
              </w:rPr>
            </w:pPr>
            <w:r w:rsidRPr="00245062">
              <w:rPr>
                <w:color w:val="000000"/>
              </w:rPr>
              <w:t>Región 3</w:t>
            </w:r>
          </w:p>
        </w:tc>
      </w:tr>
      <w:tr w:rsidR="00F008F3" w:rsidRPr="00245062" w:rsidTr="00E13541">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2A7A63" w:rsidP="00E13541">
            <w:pPr>
              <w:pStyle w:val="TableTextS5"/>
              <w:tabs>
                <w:tab w:val="clear" w:pos="170"/>
                <w:tab w:val="clear" w:pos="567"/>
                <w:tab w:val="clear" w:pos="737"/>
                <w:tab w:val="clear" w:pos="2977"/>
                <w:tab w:val="clear" w:pos="3266"/>
                <w:tab w:val="left" w:pos="3005"/>
              </w:tabs>
              <w:rPr>
                <w:color w:val="000000"/>
              </w:rPr>
            </w:pPr>
            <w:r w:rsidRPr="00245062">
              <w:rPr>
                <w:rStyle w:val="Tablefreq"/>
                <w:color w:val="000000"/>
              </w:rPr>
              <w:t>1 164-1 215</w:t>
            </w:r>
            <w:r w:rsidRPr="00245062">
              <w:rPr>
                <w:color w:val="000000"/>
              </w:rPr>
              <w:tab/>
              <w:t xml:space="preserve">RADIONAVEGACIÓN AERONÁUTICA  </w:t>
            </w:r>
            <w:r w:rsidRPr="0071678E">
              <w:rPr>
                <w:rStyle w:val="Artref10pt"/>
              </w:rPr>
              <w:t>5.328</w:t>
            </w:r>
          </w:p>
          <w:p w:rsidR="00F008F3" w:rsidRPr="00245062" w:rsidRDefault="002A7A63" w:rsidP="00E13541">
            <w:pPr>
              <w:pStyle w:val="TableTextS5"/>
              <w:tabs>
                <w:tab w:val="clear" w:pos="170"/>
                <w:tab w:val="clear" w:pos="567"/>
                <w:tab w:val="clear" w:pos="737"/>
                <w:tab w:val="clear" w:pos="2977"/>
                <w:tab w:val="left" w:pos="3005"/>
              </w:tabs>
              <w:ind w:left="3266" w:hanging="3266"/>
              <w:rPr>
                <w:color w:val="000000"/>
              </w:rPr>
            </w:pPr>
            <w:r w:rsidRPr="00245062">
              <w:rPr>
                <w:color w:val="000000"/>
              </w:rPr>
              <w:tab/>
              <w:t>RADIONAVEGACIÓN POR SATÉLITE (espacio-Tierra)</w:t>
            </w:r>
            <w:r w:rsidRPr="00245062">
              <w:rPr>
                <w:color w:val="000000"/>
              </w:rPr>
              <w:br/>
              <w:t xml:space="preserve">(espacio-espacio)  </w:t>
            </w:r>
            <w:r w:rsidRPr="00245062">
              <w:rPr>
                <w:rStyle w:val="Artref"/>
                <w:color w:val="000000"/>
              </w:rPr>
              <w:t>5.328B</w:t>
            </w:r>
          </w:p>
          <w:p w:rsidR="00F008F3" w:rsidRPr="0071678E" w:rsidRDefault="002A7A63" w:rsidP="00E13541">
            <w:pPr>
              <w:pStyle w:val="TableTextS5"/>
              <w:tabs>
                <w:tab w:val="clear" w:pos="170"/>
                <w:tab w:val="clear" w:pos="567"/>
                <w:tab w:val="clear" w:pos="737"/>
              </w:tabs>
              <w:rPr>
                <w:rStyle w:val="Artref10pt"/>
              </w:rPr>
            </w:pPr>
            <w:r w:rsidRPr="00245062">
              <w:rPr>
                <w:color w:val="000000"/>
              </w:rPr>
              <w:tab/>
            </w:r>
            <w:r w:rsidRPr="0071678E">
              <w:rPr>
                <w:rStyle w:val="Artref10pt"/>
              </w:rPr>
              <w:t>5.328A</w:t>
            </w:r>
          </w:p>
        </w:tc>
      </w:tr>
      <w:tr w:rsidR="00F008F3" w:rsidRPr="00245062" w:rsidTr="00E13541">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2A7A63" w:rsidP="00E13541">
            <w:pPr>
              <w:pStyle w:val="TableTextS5"/>
              <w:rPr>
                <w:color w:val="000000"/>
              </w:rPr>
            </w:pPr>
            <w:r w:rsidRPr="00245062">
              <w:rPr>
                <w:rStyle w:val="Tablefreq"/>
                <w:color w:val="000000"/>
              </w:rPr>
              <w:t>1 215-1 240</w:t>
            </w:r>
            <w:r w:rsidRPr="00245062">
              <w:rPr>
                <w:color w:val="000000"/>
              </w:rPr>
              <w:tab/>
              <w:t>EXPLORACIÓN DE LA TIERRA POR SATÉLITE (activo)</w:t>
            </w:r>
          </w:p>
          <w:p w:rsidR="00F008F3" w:rsidRPr="00245062" w:rsidRDefault="002A7A63" w:rsidP="00E13541">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RADIOLOCALIZACIÓN</w:t>
            </w:r>
          </w:p>
          <w:p w:rsidR="00F008F3" w:rsidRPr="00245062" w:rsidRDefault="002A7A63" w:rsidP="00E13541">
            <w:pPr>
              <w:pStyle w:val="TableTextS5"/>
              <w:ind w:left="170" w:hanging="170"/>
              <w:rPr>
                <w:color w:val="000000"/>
              </w:rPr>
            </w:pPr>
            <w:r w:rsidRPr="00245062">
              <w:rPr>
                <w:color w:val="000000"/>
              </w:rPr>
              <w:tab/>
            </w:r>
            <w:r w:rsidRPr="00245062">
              <w:rPr>
                <w:color w:val="000000"/>
              </w:rPr>
              <w:tab/>
            </w:r>
            <w:r w:rsidRPr="00245062">
              <w:rPr>
                <w:color w:val="000000"/>
              </w:rPr>
              <w:tab/>
            </w:r>
            <w:r w:rsidRPr="00245062">
              <w:rPr>
                <w:color w:val="000000"/>
              </w:rPr>
              <w:tab/>
              <w:t>RADIONAVEGACIÓN POR SATÉLITE (espacio-Tierra)</w:t>
            </w:r>
            <w:r w:rsidRPr="00245062">
              <w:rPr>
                <w:color w:val="000000"/>
              </w:rPr>
              <w:br/>
            </w:r>
            <w:r w:rsidRPr="00245062">
              <w:rPr>
                <w:color w:val="000000"/>
              </w:rPr>
              <w:tab/>
            </w:r>
            <w:r w:rsidRPr="00245062">
              <w:rPr>
                <w:color w:val="000000"/>
              </w:rPr>
              <w:tab/>
            </w:r>
            <w:r w:rsidRPr="00245062">
              <w:rPr>
                <w:color w:val="000000"/>
              </w:rPr>
              <w:tab/>
            </w:r>
            <w:r w:rsidRPr="00245062">
              <w:rPr>
                <w:color w:val="000000"/>
              </w:rPr>
              <w:tab/>
              <w:t>(espacio</w:t>
            </w:r>
            <w:r w:rsidRPr="00245062">
              <w:rPr>
                <w:color w:val="000000"/>
              </w:rPr>
              <w:noBreakHyphen/>
              <w:t xml:space="preserve">espacio)  </w:t>
            </w:r>
            <w:r w:rsidRPr="00245062">
              <w:rPr>
                <w:rStyle w:val="Artref"/>
                <w:color w:val="000000"/>
              </w:rPr>
              <w:t>5.328B  5.329  5.329A</w:t>
            </w:r>
          </w:p>
          <w:p w:rsidR="00F008F3" w:rsidRPr="00245062" w:rsidRDefault="002A7A63" w:rsidP="00E13541">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(activo)</w:t>
            </w:r>
          </w:p>
          <w:p w:rsidR="00F008F3" w:rsidRPr="00245062" w:rsidRDefault="002A7A63" w:rsidP="00E13541">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5.330</w:t>
            </w:r>
            <w:r w:rsidRPr="00245062">
              <w:rPr>
                <w:color w:val="000000"/>
              </w:rPr>
              <w:t xml:space="preserve">  </w:t>
            </w:r>
            <w:r w:rsidRPr="0071678E">
              <w:rPr>
                <w:rStyle w:val="Artref10pt"/>
              </w:rPr>
              <w:t>5.331</w:t>
            </w:r>
            <w:r w:rsidRPr="00245062">
              <w:rPr>
                <w:color w:val="000000"/>
              </w:rPr>
              <w:t xml:space="preserve">  </w:t>
            </w:r>
            <w:r w:rsidRPr="0071678E">
              <w:rPr>
                <w:rStyle w:val="Artref10pt"/>
              </w:rPr>
              <w:t>5.332</w:t>
            </w:r>
          </w:p>
        </w:tc>
      </w:tr>
      <w:tr w:rsidR="00F008F3" w:rsidRPr="00245062" w:rsidTr="00E13541">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2A7A63" w:rsidP="00E13541">
            <w:pPr>
              <w:pStyle w:val="TableTextS5"/>
              <w:rPr>
                <w:color w:val="000000"/>
              </w:rPr>
            </w:pPr>
            <w:r w:rsidRPr="00245062">
              <w:rPr>
                <w:rStyle w:val="Tablefreq"/>
                <w:color w:val="000000"/>
              </w:rPr>
              <w:t>1 240-1 300</w:t>
            </w:r>
            <w:r w:rsidRPr="00245062">
              <w:rPr>
                <w:color w:val="000000"/>
              </w:rPr>
              <w:tab/>
              <w:t>EXPLORACIÓN DE LA TIERRA POR SATÉLITE (activo)</w:t>
            </w:r>
          </w:p>
          <w:p w:rsidR="00F008F3" w:rsidRPr="00245062" w:rsidRDefault="002A7A63" w:rsidP="00E13541">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RADIOLOCALIZACIÓN</w:t>
            </w:r>
          </w:p>
          <w:p w:rsidR="00F008F3" w:rsidRPr="00245062" w:rsidRDefault="002A7A63" w:rsidP="00E13541">
            <w:pPr>
              <w:pStyle w:val="TableTextS5"/>
              <w:ind w:left="170" w:hanging="170"/>
              <w:rPr>
                <w:color w:val="000000"/>
              </w:rPr>
            </w:pPr>
            <w:r w:rsidRPr="00245062">
              <w:rPr>
                <w:color w:val="000000"/>
              </w:rPr>
              <w:tab/>
            </w:r>
            <w:r w:rsidRPr="00245062">
              <w:rPr>
                <w:color w:val="000000"/>
              </w:rPr>
              <w:tab/>
            </w:r>
            <w:r w:rsidRPr="00245062">
              <w:rPr>
                <w:color w:val="000000"/>
              </w:rPr>
              <w:tab/>
            </w:r>
            <w:r w:rsidRPr="00245062">
              <w:rPr>
                <w:color w:val="000000"/>
              </w:rPr>
              <w:tab/>
              <w:t xml:space="preserve">RADIONAVEGACIÓN POR SATÉLITE  (espacio-Tierra) </w:t>
            </w:r>
            <w:r w:rsidRPr="00245062">
              <w:rPr>
                <w:color w:val="000000"/>
              </w:rPr>
              <w:br/>
            </w:r>
            <w:r w:rsidRPr="00245062">
              <w:rPr>
                <w:color w:val="000000"/>
              </w:rPr>
              <w:tab/>
            </w:r>
            <w:r w:rsidRPr="00245062">
              <w:rPr>
                <w:color w:val="000000"/>
              </w:rPr>
              <w:tab/>
            </w:r>
            <w:r w:rsidRPr="00245062">
              <w:rPr>
                <w:color w:val="000000"/>
              </w:rPr>
              <w:tab/>
            </w:r>
            <w:r w:rsidRPr="00245062">
              <w:rPr>
                <w:color w:val="000000"/>
              </w:rPr>
              <w:tab/>
              <w:t>(espacio</w:t>
            </w:r>
            <w:r w:rsidRPr="00245062">
              <w:rPr>
                <w:color w:val="000000"/>
              </w:rPr>
              <w:noBreakHyphen/>
              <w:t xml:space="preserve">espacio)  </w:t>
            </w:r>
            <w:r w:rsidRPr="00245062">
              <w:rPr>
                <w:rStyle w:val="Artref"/>
                <w:color w:val="000000"/>
              </w:rPr>
              <w:t>5.328B</w:t>
            </w:r>
            <w:r w:rsidRPr="00245062">
              <w:rPr>
                <w:color w:val="000000"/>
              </w:rPr>
              <w:t xml:space="preserve">  </w:t>
            </w:r>
            <w:r w:rsidRPr="00245062">
              <w:rPr>
                <w:rStyle w:val="Artref"/>
                <w:color w:val="000000"/>
              </w:rPr>
              <w:t>5.329  5.329A</w:t>
            </w:r>
          </w:p>
          <w:p w:rsidR="00F008F3" w:rsidRPr="00245062" w:rsidRDefault="002A7A63" w:rsidP="00E13541">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(activo)</w:t>
            </w:r>
          </w:p>
          <w:p w:rsidR="00F008F3" w:rsidRPr="00245062" w:rsidRDefault="002A7A63" w:rsidP="00E13541">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Aficionados</w:t>
            </w:r>
          </w:p>
          <w:p w:rsidR="00F008F3" w:rsidRPr="00245062" w:rsidRDefault="002A7A63" w:rsidP="00E13541">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5.282</w:t>
            </w:r>
            <w:r w:rsidRPr="00245062">
              <w:rPr>
                <w:color w:val="000000"/>
              </w:rPr>
              <w:t xml:space="preserve">  </w:t>
            </w:r>
            <w:r w:rsidRPr="0071678E">
              <w:rPr>
                <w:rStyle w:val="Artref10pt"/>
              </w:rPr>
              <w:t>5.330</w:t>
            </w:r>
            <w:r w:rsidRPr="00245062">
              <w:rPr>
                <w:color w:val="000000"/>
              </w:rPr>
              <w:t xml:space="preserve">  </w:t>
            </w:r>
            <w:r w:rsidRPr="0071678E">
              <w:rPr>
                <w:rStyle w:val="Artref10pt"/>
              </w:rPr>
              <w:t>5.331</w:t>
            </w:r>
            <w:r w:rsidRPr="00245062">
              <w:rPr>
                <w:color w:val="000000"/>
              </w:rPr>
              <w:t xml:space="preserve">  </w:t>
            </w:r>
            <w:r w:rsidRPr="0071678E">
              <w:rPr>
                <w:rStyle w:val="Artref10pt"/>
              </w:rPr>
              <w:t>5.332</w:t>
            </w:r>
            <w:r w:rsidRPr="00245062">
              <w:rPr>
                <w:color w:val="000000"/>
              </w:rPr>
              <w:t xml:space="preserve">  </w:t>
            </w:r>
            <w:r w:rsidRPr="0071678E">
              <w:rPr>
                <w:rStyle w:val="Artref10pt"/>
              </w:rPr>
              <w:t>5.335  5.335A</w:t>
            </w:r>
          </w:p>
        </w:tc>
      </w:tr>
    </w:tbl>
    <w:p w:rsidR="00653B2B" w:rsidRDefault="00653B2B" w:rsidP="00653B2B">
      <w:pPr>
        <w:pStyle w:val="Reasons"/>
        <w:rPr>
          <w:bCs/>
          <w:szCs w:val="24"/>
          <w:lang w:val="es-UY"/>
        </w:rPr>
      </w:pPr>
      <w:r>
        <w:rPr>
          <w:b/>
        </w:rPr>
        <w:t>Motivos:</w:t>
      </w:r>
      <w:r>
        <w:tab/>
      </w:r>
      <w:r w:rsidRPr="006A4B06">
        <w:rPr>
          <w:bCs/>
          <w:szCs w:val="24"/>
          <w:lang w:val="es-UY"/>
        </w:rPr>
        <w:t>No debería considerarse una atribución al servicio móvil ni la designación para IMT en las bandas 1 164-1 215 MHz, 1 215-1 300 MHz y 1 559-1 610 MHz debido a la incompatibilidad de los SRNS con los servicios móviles.</w:t>
      </w:r>
    </w:p>
    <w:p w:rsidR="003C6A12" w:rsidRDefault="002A7A63" w:rsidP="00B21AD5">
      <w:pPr>
        <w:pStyle w:val="Proposal"/>
      </w:pPr>
      <w:r>
        <w:rPr>
          <w:u w:val="single"/>
        </w:rPr>
        <w:t>NOC</w:t>
      </w:r>
      <w:r>
        <w:tab/>
        <w:t>IAP/7A1/3</w:t>
      </w:r>
    </w:p>
    <w:p w:rsidR="00F008F3" w:rsidRPr="004D72B7" w:rsidRDefault="002A7A63" w:rsidP="007C29E4">
      <w:pPr>
        <w:pStyle w:val="Tabletitle"/>
      </w:pPr>
      <w:r w:rsidRPr="004D72B7">
        <w:t>1</w:t>
      </w:r>
      <w:r w:rsidRPr="00F63BD5">
        <w:t> </w:t>
      </w:r>
      <w:r w:rsidRPr="004D72B7">
        <w:t>525-1</w:t>
      </w:r>
      <w:r w:rsidRPr="00F63BD5">
        <w:t> </w:t>
      </w:r>
      <w:r w:rsidRPr="004D72B7">
        <w:t>610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3371F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2A7A63" w:rsidP="00B03713">
            <w:pPr>
              <w:pStyle w:val="Tablehead"/>
              <w:rPr>
                <w:color w:val="000000"/>
              </w:rPr>
            </w:pPr>
            <w:r w:rsidRPr="00245062">
              <w:rPr>
                <w:color w:val="000000"/>
              </w:rPr>
              <w:t>Atribución a los servicios</w:t>
            </w:r>
          </w:p>
        </w:tc>
      </w:tr>
      <w:tr w:rsidR="00F008F3" w:rsidRPr="00245062" w:rsidTr="003371FF">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2A7A63" w:rsidP="00B03713">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2A7A63" w:rsidP="00B03713">
            <w:pPr>
              <w:pStyle w:val="Tablehead"/>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2A7A63" w:rsidP="00B03713">
            <w:pPr>
              <w:pStyle w:val="Tablehead"/>
              <w:rPr>
                <w:color w:val="000000"/>
              </w:rPr>
            </w:pPr>
            <w:r w:rsidRPr="00245062">
              <w:rPr>
                <w:color w:val="000000"/>
              </w:rPr>
              <w:t>Región 3</w:t>
            </w:r>
          </w:p>
        </w:tc>
      </w:tr>
      <w:tr w:rsidR="00F008F3" w:rsidRPr="00245062" w:rsidTr="003371F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2A7A63" w:rsidP="00001E1B">
            <w:pPr>
              <w:pStyle w:val="TableTextS5"/>
              <w:rPr>
                <w:color w:val="000000"/>
              </w:rPr>
            </w:pPr>
            <w:r w:rsidRPr="00245062">
              <w:rPr>
                <w:rStyle w:val="Tablefreq"/>
                <w:color w:val="000000"/>
              </w:rPr>
              <w:t>1 559-1 610</w:t>
            </w:r>
            <w:r w:rsidRPr="00245062">
              <w:rPr>
                <w:color w:val="000000"/>
              </w:rPr>
              <w:tab/>
              <w:t>RADIONAVEGACIÓN AERONÁUTICA</w:t>
            </w:r>
          </w:p>
          <w:p w:rsidR="00F008F3" w:rsidRPr="00245062" w:rsidRDefault="002A7A63" w:rsidP="00001E1B">
            <w:pPr>
              <w:pStyle w:val="TableTextS5"/>
              <w:ind w:left="3266" w:hanging="3266"/>
              <w:rPr>
                <w:color w:val="000000"/>
              </w:rPr>
            </w:pPr>
            <w:r w:rsidRPr="00245062">
              <w:rPr>
                <w:color w:val="000000"/>
              </w:rPr>
              <w:tab/>
            </w:r>
            <w:r w:rsidRPr="00245062">
              <w:rPr>
                <w:color w:val="000000"/>
              </w:rPr>
              <w:tab/>
            </w:r>
            <w:r w:rsidRPr="00245062">
              <w:rPr>
                <w:color w:val="000000"/>
              </w:rPr>
              <w:tab/>
            </w:r>
            <w:r w:rsidRPr="00245062">
              <w:rPr>
                <w:color w:val="000000"/>
              </w:rPr>
              <w:tab/>
              <w:t>RADIONAVEGACIÓN POR SATÉLITE (espacio-Tierra) (espacio</w:t>
            </w:r>
            <w:r w:rsidRPr="00245062">
              <w:rPr>
                <w:color w:val="000000"/>
              </w:rPr>
              <w:noBreakHyphen/>
              <w:t xml:space="preserve">espacio)  5.208B  </w:t>
            </w:r>
            <w:r w:rsidRPr="00245062">
              <w:rPr>
                <w:rStyle w:val="Artref"/>
                <w:color w:val="000000"/>
              </w:rPr>
              <w:t>5.328B</w:t>
            </w:r>
            <w:r w:rsidRPr="00245062">
              <w:rPr>
                <w:color w:val="000000"/>
              </w:rPr>
              <w:t xml:space="preserve">  </w:t>
            </w:r>
            <w:r w:rsidRPr="00245062">
              <w:rPr>
                <w:rStyle w:val="Artref"/>
                <w:color w:val="000000"/>
              </w:rPr>
              <w:t>5.329A</w:t>
            </w:r>
          </w:p>
          <w:p w:rsidR="00F008F3" w:rsidRPr="00245062" w:rsidRDefault="002A7A63" w:rsidP="008D3D83">
            <w:pPr>
              <w:pStyle w:val="TableTextS5"/>
              <w:tabs>
                <w:tab w:val="clear" w:pos="170"/>
                <w:tab w:val="left" w:pos="3146"/>
              </w:tabs>
              <w:rPr>
                <w:color w:val="000000"/>
              </w:rPr>
            </w:pPr>
            <w:r w:rsidRPr="0071678E">
              <w:rPr>
                <w:rStyle w:val="Artref10pt"/>
              </w:rPr>
              <w:tab/>
            </w:r>
            <w:r w:rsidRPr="0071678E">
              <w:rPr>
                <w:rStyle w:val="Artref10pt"/>
              </w:rPr>
              <w:tab/>
            </w:r>
            <w:r w:rsidRPr="0071678E">
              <w:rPr>
                <w:rStyle w:val="Artref10pt"/>
              </w:rPr>
              <w:tab/>
              <w:t>5.341</w:t>
            </w:r>
            <w:r w:rsidRPr="00245062">
              <w:rPr>
                <w:color w:val="000000"/>
              </w:rPr>
              <w:t xml:space="preserve">  </w:t>
            </w:r>
            <w:r w:rsidRPr="0071678E">
              <w:rPr>
                <w:rStyle w:val="Artref10pt"/>
              </w:rPr>
              <w:t>5.362B</w:t>
            </w:r>
            <w:r w:rsidRPr="00245062">
              <w:rPr>
                <w:color w:val="000000"/>
              </w:rPr>
              <w:t xml:space="preserve">  </w:t>
            </w:r>
            <w:r w:rsidRPr="0071678E">
              <w:rPr>
                <w:rStyle w:val="Artref10pt"/>
              </w:rPr>
              <w:t>5.362C</w:t>
            </w:r>
          </w:p>
        </w:tc>
      </w:tr>
    </w:tbl>
    <w:p w:rsidR="003371FF" w:rsidRDefault="002A7A63" w:rsidP="001A6616">
      <w:pPr>
        <w:pStyle w:val="Reasons"/>
        <w:rPr>
          <w:lang w:val="es-UY"/>
        </w:rPr>
      </w:pPr>
      <w:r>
        <w:rPr>
          <w:b/>
        </w:rPr>
        <w:t>Motivos:</w:t>
      </w:r>
      <w:r>
        <w:tab/>
      </w:r>
      <w:r w:rsidR="003371FF" w:rsidRPr="006A4B06">
        <w:rPr>
          <w:lang w:val="es-UY"/>
        </w:rPr>
        <w:t>Garan</w:t>
      </w:r>
      <w:bookmarkStart w:id="6" w:name="_GoBack"/>
      <w:bookmarkEnd w:id="6"/>
      <w:r w:rsidR="003371FF" w:rsidRPr="006A4B06">
        <w:rPr>
          <w:lang w:val="es-UY"/>
        </w:rPr>
        <w:t>tizar la protección del funcionamiento actual y futuro de los sistemas SRNS de todo el mundo.</w:t>
      </w:r>
    </w:p>
    <w:p w:rsidR="00B21AD5" w:rsidRDefault="00B21AD5" w:rsidP="0032202E">
      <w:pPr>
        <w:pStyle w:val="Reasons"/>
      </w:pPr>
    </w:p>
    <w:p w:rsidR="00B21AD5" w:rsidRDefault="00B21AD5">
      <w:pPr>
        <w:jc w:val="center"/>
      </w:pPr>
      <w:r>
        <w:t>______________</w:t>
      </w:r>
    </w:p>
    <w:p w:rsidR="00B21AD5" w:rsidRPr="006A4B06" w:rsidRDefault="00B21AD5" w:rsidP="003371FF">
      <w:pPr>
        <w:rPr>
          <w:szCs w:val="24"/>
          <w:lang w:val="es-UY"/>
        </w:rPr>
      </w:pPr>
    </w:p>
    <w:sectPr w:rsidR="00B21AD5" w:rsidRPr="006A4B0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A6616">
      <w:rPr>
        <w:noProof/>
      </w:rPr>
      <w:t>19.10.15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0C" w:rsidRPr="00E61218" w:rsidRDefault="008B160C" w:rsidP="008B160C">
    <w:pPr>
      <w:pStyle w:val="Footer"/>
      <w:rPr>
        <w:lang w:val="en-GB"/>
      </w:rPr>
    </w:pPr>
    <w:r>
      <w:fldChar w:fldCharType="begin"/>
    </w:r>
    <w:r w:rsidRPr="00E61218">
      <w:rPr>
        <w:lang w:val="en-GB"/>
      </w:rPr>
      <w:instrText xml:space="preserve"> FILENAME \p  \* MERGEFORMAT </w:instrText>
    </w:r>
    <w:r>
      <w:fldChar w:fldCharType="separate"/>
    </w:r>
    <w:r>
      <w:rPr>
        <w:lang w:val="en-GB"/>
      </w:rPr>
      <w:t>P:\ESP\ITU-R\CONF-R\CMR15\000\007ADD01ADD02S.docx</w:t>
    </w:r>
    <w:r>
      <w:fldChar w:fldCharType="end"/>
    </w:r>
    <w:r>
      <w:t xml:space="preserve"> (387574)</w:t>
    </w:r>
    <w:r w:rsidRPr="00E61218">
      <w:rPr>
        <w:lang w:val="en-GB"/>
      </w:rPr>
      <w:tab/>
    </w:r>
    <w:r>
      <w:fldChar w:fldCharType="begin"/>
    </w:r>
    <w:r>
      <w:instrText xml:space="preserve"> SAVEDATE \@ DD.MM.YY </w:instrText>
    </w:r>
    <w:r>
      <w:fldChar w:fldCharType="separate"/>
    </w:r>
    <w:r w:rsidR="001A6616">
      <w:t>19.10.15</w:t>
    </w:r>
    <w:r>
      <w:fldChar w:fldCharType="end"/>
    </w:r>
    <w:r w:rsidRPr="00E61218">
      <w:rPr>
        <w:lang w:val="en-GB"/>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18" w:rsidRPr="00E61218" w:rsidRDefault="00E61218">
    <w:pPr>
      <w:pStyle w:val="Footer"/>
      <w:rPr>
        <w:lang w:val="en-GB"/>
      </w:rPr>
    </w:pPr>
    <w:r>
      <w:fldChar w:fldCharType="begin"/>
    </w:r>
    <w:r w:rsidRPr="00E61218">
      <w:rPr>
        <w:lang w:val="en-GB"/>
      </w:rPr>
      <w:instrText xml:space="preserve"> FILENAME \p  \* MERGEFORMAT </w:instrText>
    </w:r>
    <w:r>
      <w:fldChar w:fldCharType="separate"/>
    </w:r>
    <w:r w:rsidR="008B160C">
      <w:rPr>
        <w:lang w:val="en-GB"/>
      </w:rPr>
      <w:t>P:\ESP\ITU-R\CONF-R\CMR15\000\007ADD01ADD02S.docx</w:t>
    </w:r>
    <w:r>
      <w:fldChar w:fldCharType="end"/>
    </w:r>
    <w:r w:rsidR="008B160C">
      <w:t xml:space="preserve"> (387574)</w:t>
    </w:r>
    <w:r w:rsidRPr="00E61218">
      <w:rPr>
        <w:lang w:val="en-GB"/>
      </w:rPr>
      <w:tab/>
    </w:r>
    <w:r>
      <w:fldChar w:fldCharType="begin"/>
    </w:r>
    <w:r>
      <w:instrText xml:space="preserve"> SAVEDATE \@ DD.MM.YY </w:instrText>
    </w:r>
    <w:r>
      <w:fldChar w:fldCharType="separate"/>
    </w:r>
    <w:r w:rsidR="001A6616">
      <w:t>19.10.15</w:t>
    </w:r>
    <w:r>
      <w:fldChar w:fldCharType="end"/>
    </w:r>
    <w:r w:rsidRPr="00E61218">
      <w:rPr>
        <w:lang w:val="en-GB"/>
      </w:rPr>
      <w:tab/>
    </w:r>
    <w:r>
      <w:fldChar w:fldCharType="begin"/>
    </w:r>
    <w:r>
      <w:instrText xml:space="preserve"> PRINTDATE \@ DD.MM.YY </w:instrText>
    </w:r>
    <w:r>
      <w:fldChar w:fldCharType="separate"/>
    </w:r>
    <w:r w:rsidR="008B160C">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A6616">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09C3"/>
    <w:rsid w:val="00087AE8"/>
    <w:rsid w:val="000A5B9A"/>
    <w:rsid w:val="000E5BF9"/>
    <w:rsid w:val="000F0E6D"/>
    <w:rsid w:val="00121170"/>
    <w:rsid w:val="00123CC5"/>
    <w:rsid w:val="0015142D"/>
    <w:rsid w:val="001616DC"/>
    <w:rsid w:val="00163962"/>
    <w:rsid w:val="00191A97"/>
    <w:rsid w:val="001A083F"/>
    <w:rsid w:val="001A6616"/>
    <w:rsid w:val="001C41FA"/>
    <w:rsid w:val="001E2B52"/>
    <w:rsid w:val="001E3F27"/>
    <w:rsid w:val="001F6CDB"/>
    <w:rsid w:val="00236D2A"/>
    <w:rsid w:val="00255F12"/>
    <w:rsid w:val="00262C09"/>
    <w:rsid w:val="002A791F"/>
    <w:rsid w:val="002A7A63"/>
    <w:rsid w:val="002C1B26"/>
    <w:rsid w:val="002C5D6C"/>
    <w:rsid w:val="002E701F"/>
    <w:rsid w:val="003248A9"/>
    <w:rsid w:val="00324FFA"/>
    <w:rsid w:val="0032680B"/>
    <w:rsid w:val="003371FF"/>
    <w:rsid w:val="00363A65"/>
    <w:rsid w:val="003B1E8C"/>
    <w:rsid w:val="003C2508"/>
    <w:rsid w:val="003C6A12"/>
    <w:rsid w:val="003D0AA3"/>
    <w:rsid w:val="00414207"/>
    <w:rsid w:val="00440B3A"/>
    <w:rsid w:val="0045384C"/>
    <w:rsid w:val="00454553"/>
    <w:rsid w:val="004B124A"/>
    <w:rsid w:val="005133B5"/>
    <w:rsid w:val="00532097"/>
    <w:rsid w:val="0058350F"/>
    <w:rsid w:val="00583C7E"/>
    <w:rsid w:val="005D46FB"/>
    <w:rsid w:val="005F2605"/>
    <w:rsid w:val="005F3B0E"/>
    <w:rsid w:val="005F559C"/>
    <w:rsid w:val="00653B2B"/>
    <w:rsid w:val="00662BA0"/>
    <w:rsid w:val="00692441"/>
    <w:rsid w:val="00692AAE"/>
    <w:rsid w:val="006A3287"/>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B160C"/>
    <w:rsid w:val="008C5A52"/>
    <w:rsid w:val="008E5AF2"/>
    <w:rsid w:val="008E6B31"/>
    <w:rsid w:val="0090121B"/>
    <w:rsid w:val="009144C9"/>
    <w:rsid w:val="0094091F"/>
    <w:rsid w:val="00973754"/>
    <w:rsid w:val="009C0BED"/>
    <w:rsid w:val="009D50EC"/>
    <w:rsid w:val="009E11EC"/>
    <w:rsid w:val="00A118DB"/>
    <w:rsid w:val="00A4450C"/>
    <w:rsid w:val="00AA5E6C"/>
    <w:rsid w:val="00AE5677"/>
    <w:rsid w:val="00AE658F"/>
    <w:rsid w:val="00AF2F78"/>
    <w:rsid w:val="00B21AD5"/>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61218"/>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D9992E3-8071-4E67-86A5-40C97337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FooterChar">
    <w:name w:val="Footer Char"/>
    <w:basedOn w:val="DefaultParagraphFont"/>
    <w:link w:val="Footer"/>
    <w:uiPriority w:val="99"/>
    <w:rsid w:val="002A7A63"/>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R15-WRC15-C-0007!A1-A2!MSW-S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4E077-34BA-4077-9189-3902B18AA0B1}">
  <ds:schemaRefs>
    <ds:schemaRef ds:uri="http://purl.org/dc/dcmitype/"/>
    <ds:schemaRef ds:uri="http://schemas.openxmlformats.org/package/2006/metadata/core-properties"/>
    <ds:schemaRef ds:uri="32a1a8c5-2265-4ebc-b7a0-2071e2c5c9bb"/>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53A54CA0-9692-4701-AF9F-231CD856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1041</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R15-WRC15-C-0007!A1-A2!MSW-S</vt:lpstr>
    </vt:vector>
  </TitlesOfParts>
  <Manager>Secretaría General - Pool</Manager>
  <Company>Unión Internacional de Telecomunicaciones (UIT)</Company>
  <LinksUpToDate>false</LinksUpToDate>
  <CharactersWithSpaces>6872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R15-WRC15-C-0007!A1-A2!MSW-S</dc:title>
  <dc:subject>Conferencia Mundial de Radiocomunicaciones - 2015</dc:subject>
  <dc:creator>Documents Proposals Manager (DPM)</dc:creator>
  <cp:keywords>DPM_v5.2015.10.8_prod</cp:keywords>
  <dc:description/>
  <cp:lastModifiedBy>Jones, Jacqueline</cp:lastModifiedBy>
  <cp:revision>9</cp:revision>
  <cp:lastPrinted>2003-02-19T20:20:00Z</cp:lastPrinted>
  <dcterms:created xsi:type="dcterms:W3CDTF">2015-10-19T13:06:00Z</dcterms:created>
  <dcterms:modified xsi:type="dcterms:W3CDTF">2015-10-19T13:53:00Z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