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696A73"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696A73" w:rsidRDefault="00AE658F" w:rsidP="0045384C">
            <w:pPr>
              <w:spacing w:before="0"/>
              <w:rPr>
                <w:rFonts w:ascii="Verdana" w:hAnsi="Verdana"/>
                <w:sz w:val="20"/>
              </w:rPr>
            </w:pPr>
            <w:r w:rsidRPr="00696A73">
              <w:rPr>
                <w:rFonts w:ascii="Verdana" w:eastAsia="SimSun" w:hAnsi="Verdana" w:cs="Traditional Arabic"/>
                <w:b/>
                <w:sz w:val="20"/>
              </w:rPr>
              <w:t>Addéndum 1 al</w:t>
            </w:r>
            <w:r w:rsidRPr="00696A73">
              <w:rPr>
                <w:rFonts w:ascii="Verdana" w:eastAsia="SimSun" w:hAnsi="Verdana" w:cs="Traditional Arabic"/>
                <w:b/>
                <w:sz w:val="20"/>
              </w:rPr>
              <w:br/>
              <w:t>Documento 7(Add.1)</w:t>
            </w:r>
            <w:r w:rsidR="0090121B" w:rsidRPr="00696A73">
              <w:rPr>
                <w:rFonts w:ascii="Verdana" w:hAnsi="Verdana"/>
                <w:b/>
                <w:sz w:val="20"/>
              </w:rPr>
              <w:t>-</w:t>
            </w:r>
            <w:r w:rsidRPr="00696A73">
              <w:rPr>
                <w:rFonts w:ascii="Verdana" w:hAnsi="Verdana"/>
                <w:b/>
                <w:sz w:val="20"/>
              </w:rPr>
              <w:t>S</w:t>
            </w:r>
          </w:p>
        </w:tc>
      </w:tr>
      <w:bookmarkEnd w:id="1"/>
      <w:tr w:rsidR="000A5B9A" w:rsidRPr="0002785D" w:rsidTr="0090121B">
        <w:trPr>
          <w:cantSplit/>
        </w:trPr>
        <w:tc>
          <w:tcPr>
            <w:tcW w:w="6911" w:type="dxa"/>
            <w:shd w:val="clear" w:color="auto" w:fill="auto"/>
          </w:tcPr>
          <w:p w:rsidR="000A5B9A" w:rsidRPr="00696A73" w:rsidRDefault="000A5B9A" w:rsidP="0045384C">
            <w:pPr>
              <w:spacing w:before="0" w:after="48"/>
              <w:rPr>
                <w:rFonts w:ascii="Verdana" w:hAnsi="Verdana"/>
                <w:b/>
                <w:smallCaps/>
                <w:sz w:val="20"/>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29 de septiembre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696A73" w:rsidRDefault="000A5B9A" w:rsidP="000A5B9A">
            <w:pPr>
              <w:pStyle w:val="Source"/>
            </w:pPr>
            <w:bookmarkStart w:id="2" w:name="dsource" w:colFirst="0" w:colLast="0"/>
            <w:r w:rsidRPr="00696A73">
              <w:t>Estados Miembros de la Comisión Interamericana de Telecomunicaciones (CITEL)</w:t>
            </w:r>
          </w:p>
        </w:tc>
      </w:tr>
      <w:tr w:rsidR="000A5B9A" w:rsidRPr="0002785D" w:rsidTr="0050008E">
        <w:trPr>
          <w:cantSplit/>
        </w:trPr>
        <w:tc>
          <w:tcPr>
            <w:tcW w:w="10031" w:type="dxa"/>
            <w:gridSpan w:val="2"/>
          </w:tcPr>
          <w:p w:rsidR="000A5B9A" w:rsidRPr="00696A73" w:rsidRDefault="00696A73" w:rsidP="000A5B9A">
            <w:pPr>
              <w:pStyle w:val="Title1"/>
            </w:pPr>
            <w:bookmarkStart w:id="3" w:name="dtitle1" w:colFirst="0" w:colLast="0"/>
            <w:bookmarkEnd w:id="2"/>
            <w:r w:rsidRPr="00696A73">
              <w:t>Propuestas para los trabajos de la Conferencia</w:t>
            </w:r>
          </w:p>
        </w:tc>
      </w:tr>
      <w:tr w:rsidR="000A5B9A" w:rsidRPr="0002785D" w:rsidTr="0050008E">
        <w:trPr>
          <w:cantSplit/>
        </w:trPr>
        <w:tc>
          <w:tcPr>
            <w:tcW w:w="10031" w:type="dxa"/>
            <w:gridSpan w:val="2"/>
          </w:tcPr>
          <w:p w:rsidR="000A5B9A" w:rsidRPr="00696A73"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 del orden del día</w:t>
            </w:r>
          </w:p>
        </w:tc>
      </w:tr>
    </w:tbl>
    <w:bookmarkEnd w:id="5"/>
    <w:p w:rsidR="001C0E40" w:rsidRPr="00C26A0A" w:rsidRDefault="008238B4" w:rsidP="00C26A0A">
      <w:r w:rsidRPr="00211854">
        <w:t>1.1</w:t>
      </w:r>
      <w:r w:rsidRPr="00211854">
        <w:tab/>
      </w:r>
      <w:r w:rsidRPr="00211854">
        <w:t>examinar atribuciones adicionales de espectro al servicio móvil a título primario e identificar bandas de frecuencias adicionales para las telecomunicaciones móviles internacionales (IMT) así como las disposiciones transitorias conexas, para facilitar el d</w:t>
      </w:r>
      <w:r w:rsidRPr="00211854">
        <w:t xml:space="preserve">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8238B4" w:rsidRDefault="008238B4" w:rsidP="008238B4">
      <w:pPr>
        <w:rPr>
          <w:lang w:val="es-UY"/>
        </w:rPr>
      </w:pPr>
    </w:p>
    <w:p w:rsidR="00696A73" w:rsidRPr="006617FF" w:rsidRDefault="00696A73" w:rsidP="008238B4">
      <w:pPr>
        <w:pStyle w:val="Headingb"/>
        <w:rPr>
          <w:lang w:val="es-UY"/>
        </w:rPr>
      </w:pPr>
      <w:r>
        <w:rPr>
          <w:lang w:val="es-UY"/>
        </w:rPr>
        <w:t>Antecedentes</w:t>
      </w:r>
    </w:p>
    <w:p w:rsidR="00696A73" w:rsidRPr="006617FF" w:rsidRDefault="00696A73" w:rsidP="00696A73">
      <w:pPr>
        <w:rPr>
          <w:szCs w:val="24"/>
          <w:lang w:val="es-UY"/>
        </w:rPr>
      </w:pPr>
      <w:r w:rsidRPr="006617FF">
        <w:rPr>
          <w:szCs w:val="24"/>
          <w:lang w:val="es-UY"/>
        </w:rPr>
        <w:t>La CMR</w:t>
      </w:r>
      <w:r w:rsidRPr="006617FF">
        <w:rPr>
          <w:szCs w:val="24"/>
          <w:lang w:val="es-UY"/>
        </w:rPr>
        <w:noBreakHyphen/>
        <w:t xml:space="preserve">15 considerará atribuciones adicionales al servicio móvil a título primario y la identificación de bandas de frecuencias adicionales para IMT de acuerdo con la Resolución </w:t>
      </w:r>
      <w:r w:rsidRPr="0054203C">
        <w:rPr>
          <w:bCs/>
          <w:szCs w:val="24"/>
          <w:lang w:val="es-UY"/>
        </w:rPr>
        <w:t>233 (CMR-12).</w:t>
      </w:r>
    </w:p>
    <w:p w:rsidR="00696A73" w:rsidRPr="006617FF" w:rsidRDefault="00696A73" w:rsidP="00696A73">
      <w:pPr>
        <w:rPr>
          <w:szCs w:val="24"/>
          <w:lang w:val="es-UY"/>
        </w:rPr>
      </w:pPr>
      <w:r w:rsidRPr="006617FF">
        <w:rPr>
          <w:szCs w:val="24"/>
          <w:lang w:val="es-UY"/>
        </w:rPr>
        <w:t xml:space="preserve">En el Artículo </w:t>
      </w:r>
      <w:r w:rsidRPr="0054203C">
        <w:rPr>
          <w:bCs/>
          <w:szCs w:val="24"/>
          <w:lang w:val="es-UY"/>
        </w:rPr>
        <w:t>5</w:t>
      </w:r>
      <w:r w:rsidRPr="006617FF">
        <w:rPr>
          <w:szCs w:val="24"/>
          <w:lang w:val="es-UY"/>
        </w:rPr>
        <w:t xml:space="preserve"> se atribuye la gama de frecuencias de 410-430 MHz al servicio móvil (salvo el móvil aeronáutico) a título primario, pero dichas bandas no están identificadas para IMT. Algunas Administraciones introdujeron puntos de vista preliminares a favor de que se considere la identificación de la gama de frecuencias </w:t>
      </w:r>
      <w:bookmarkStart w:id="6" w:name="OLE_LINK1"/>
      <w:bookmarkStart w:id="7" w:name="OLE_LINK2"/>
      <w:r w:rsidRPr="006617FF">
        <w:rPr>
          <w:szCs w:val="24"/>
          <w:lang w:val="es-UY"/>
        </w:rPr>
        <w:t xml:space="preserve">410-430 MHz </w:t>
      </w:r>
      <w:bookmarkEnd w:id="6"/>
      <w:bookmarkEnd w:id="7"/>
      <w:r w:rsidRPr="006617FF">
        <w:rPr>
          <w:szCs w:val="24"/>
          <w:lang w:val="es-UY"/>
        </w:rPr>
        <w:t>para IMT. Hasta ahora no se han iniciado nuevos estudios del UIT</w:t>
      </w:r>
      <w:r w:rsidRPr="006617FF">
        <w:rPr>
          <w:szCs w:val="24"/>
          <w:lang w:val="es-UY"/>
        </w:rPr>
        <w:noBreakHyphen/>
        <w:t>R para demostrar la compatibilidad entre IMT y los servicios existentes en dicha gama de frecuencias desde la adopción del informe UIT</w:t>
      </w:r>
      <w:r w:rsidRPr="006617FF">
        <w:rPr>
          <w:szCs w:val="24"/>
          <w:lang w:val="es-UY"/>
        </w:rPr>
        <w:noBreakHyphen/>
        <w:t>R M.2110, en el que sólo se encaraba la gama de frecuencias de 420-450 MHz en cuanto a la compatibilidad de bandas de frecuencias adyacentes.</w:t>
      </w:r>
    </w:p>
    <w:p w:rsidR="00696A73" w:rsidRPr="006617FF" w:rsidRDefault="00696A73" w:rsidP="00696A73">
      <w:pPr>
        <w:rPr>
          <w:szCs w:val="24"/>
          <w:lang w:val="es-UY"/>
        </w:rPr>
      </w:pPr>
      <w:r w:rsidRPr="006617FF">
        <w:rPr>
          <w:szCs w:val="24"/>
          <w:lang w:val="es-UY"/>
        </w:rPr>
        <w:t xml:space="preserve">El No. </w:t>
      </w:r>
      <w:r w:rsidRPr="0054203C">
        <w:rPr>
          <w:bCs/>
          <w:szCs w:val="24"/>
          <w:lang w:val="es-UY"/>
        </w:rPr>
        <w:t>5.269</w:t>
      </w:r>
      <w:r w:rsidRPr="006617FF">
        <w:rPr>
          <w:b/>
          <w:szCs w:val="24"/>
          <w:lang w:val="es-UY"/>
        </w:rPr>
        <w:t xml:space="preserve"> </w:t>
      </w:r>
      <w:r w:rsidRPr="006617FF">
        <w:rPr>
          <w:szCs w:val="24"/>
          <w:lang w:val="es-UY"/>
        </w:rPr>
        <w:t xml:space="preserve">atribuyen las bandas de 420-430 MHz y 440-450 MHz al servicio de radiolocalización a título primario en determinados países. En el Artículo </w:t>
      </w:r>
      <w:r w:rsidRPr="0054203C">
        <w:rPr>
          <w:bCs/>
          <w:szCs w:val="24"/>
          <w:lang w:val="es-UY"/>
        </w:rPr>
        <w:t>5</w:t>
      </w:r>
      <w:r w:rsidRPr="006617FF">
        <w:rPr>
          <w:szCs w:val="24"/>
          <w:lang w:val="es-UY"/>
        </w:rPr>
        <w:t xml:space="preserve"> se atribuyen mundialmente a título primario las bandas de 430-440 MHz al servicio de radiolocalización. Las bandas de 420-450 MHz se usan en algunos países para radares de alta potencia que detectan y rastrean satélites en órbita terrestre y residuos espaciales. Esos radares también ayudan a identificar posibles riesgos de que tales residuos espaciales pudieran dañar la Estación Espacial Internacional.</w:t>
      </w:r>
    </w:p>
    <w:p w:rsidR="00696A73" w:rsidRPr="006617FF" w:rsidRDefault="00696A73" w:rsidP="00696A73">
      <w:pPr>
        <w:rPr>
          <w:szCs w:val="24"/>
          <w:lang w:val="es-UY"/>
        </w:rPr>
      </w:pPr>
      <w:r w:rsidRPr="006617FF">
        <w:rPr>
          <w:szCs w:val="24"/>
          <w:lang w:val="es-UY"/>
        </w:rPr>
        <w:t xml:space="preserve">Actualmente la banda de frecuencias de 410-450 MHz es ampliamente utilizada en países específicos por diversos sistemas de radiocomunicaciones fijas y móviles pertenecientes a entidades </w:t>
      </w:r>
      <w:r w:rsidRPr="006617FF">
        <w:rPr>
          <w:szCs w:val="24"/>
          <w:lang w:val="es-UY"/>
        </w:rPr>
        <w:lastRenderedPageBreak/>
        <w:t xml:space="preserve">gubernamentales y a usuarios privados, así como también por sistemas empleados para la prestación de servicios comerciales de radiocomunicaciones de banda angosta o sistemas troncalizados. </w:t>
      </w:r>
    </w:p>
    <w:p w:rsidR="00696A73" w:rsidRPr="006617FF" w:rsidRDefault="00696A73" w:rsidP="00696A73">
      <w:pPr>
        <w:rPr>
          <w:szCs w:val="24"/>
          <w:lang w:val="es-UY"/>
        </w:rPr>
      </w:pPr>
      <w:r w:rsidRPr="006617FF">
        <w:rPr>
          <w:szCs w:val="24"/>
          <w:lang w:val="es-UY"/>
        </w:rPr>
        <w:t>La banda de frecuencias 410-430 MHz, ha sido identificada como una de las bandas alternativas para la reubicación de las operaciones de los sistemas comerciales y oficiales del servicio de radiocomunicaciones de banda angosta o sistemas troncalizados pr</w:t>
      </w:r>
      <w:r w:rsidR="0054203C">
        <w:rPr>
          <w:szCs w:val="24"/>
          <w:lang w:val="es-UY"/>
        </w:rPr>
        <w:t>ovenientes de los segmentos 806</w:t>
      </w:r>
      <w:r w:rsidR="0054203C">
        <w:rPr>
          <w:szCs w:val="24"/>
          <w:lang w:val="es-UY"/>
        </w:rPr>
        <w:noBreakHyphen/>
      </w:r>
      <w:r w:rsidRPr="006617FF">
        <w:rPr>
          <w:szCs w:val="24"/>
          <w:lang w:val="es-UY"/>
        </w:rPr>
        <w:t>821/851-866 MHz que forman parte de la banda 698-960 MHz, identificada para las IMT.</w:t>
      </w:r>
    </w:p>
    <w:p w:rsidR="00696A73" w:rsidRPr="006617FF" w:rsidRDefault="00696A73" w:rsidP="00696A73">
      <w:pPr>
        <w:rPr>
          <w:szCs w:val="24"/>
          <w:lang w:val="es-UY"/>
        </w:rPr>
      </w:pPr>
      <w:r w:rsidRPr="006617FF">
        <w:rPr>
          <w:szCs w:val="24"/>
          <w:lang w:val="es-UY"/>
        </w:rPr>
        <w:t>En el Informe UIT</w:t>
      </w:r>
      <w:r w:rsidRPr="006617FF">
        <w:rPr>
          <w:szCs w:val="24"/>
          <w:lang w:val="es-UY"/>
        </w:rPr>
        <w:noBreakHyphen/>
        <w:t>R M. 2110 se abordó la factibilidad de la compartición entre un sistema IMT</w:t>
      </w:r>
      <w:r w:rsidRPr="006617FF">
        <w:rPr>
          <w:szCs w:val="24"/>
          <w:lang w:val="es-UY"/>
        </w:rPr>
        <w:noBreakHyphen/>
        <w:t>2000</w:t>
      </w:r>
      <w:r w:rsidR="0054203C">
        <w:rPr>
          <w:szCs w:val="24"/>
          <w:lang w:val="es-UY"/>
        </w:rPr>
        <w:t xml:space="preserve"> </w:t>
      </w:r>
      <w:r w:rsidRPr="006617FF">
        <w:rPr>
          <w:szCs w:val="24"/>
          <w:lang w:val="es-UY"/>
        </w:rPr>
        <w:t>funcionando en la banda de 450-470 MHz y los servicios de radiocomunicaciones con una atribución primaria en el Artículo 5 del Reglamento de Radiocomunicaciones en la banda de 450-470 MHz y en las bandas adyacentes de 420-450 MHz y 470-480 MHz. Los resultados indican que, en la mayoría de los casos, la compartición entre .las estaciones base/móviles IMT</w:t>
      </w:r>
      <w:r w:rsidRPr="006617FF">
        <w:rPr>
          <w:szCs w:val="24"/>
          <w:lang w:val="es-UY"/>
        </w:rPr>
        <w:noBreakHyphen/>
        <w:t>2000 y los diversos tipos de radares cuando estos se sitúan en espectro adyacente, no es factible cuando no hay mitigación. En base al Informe UIT</w:t>
      </w:r>
      <w:r w:rsidRPr="006617FF">
        <w:rPr>
          <w:szCs w:val="24"/>
          <w:lang w:val="es-UY"/>
        </w:rPr>
        <w:noBreakHyphen/>
        <w:t>R M.2110, es lógico concluir que la compartición cofrecuencias entre IMT y el servicio de radiolocalización en las bandas de 420-450 MHz no es factible.</w:t>
      </w:r>
    </w:p>
    <w:p w:rsidR="00696A73" w:rsidRPr="006617FF" w:rsidRDefault="00696A73" w:rsidP="00696A73">
      <w:pPr>
        <w:rPr>
          <w:szCs w:val="24"/>
          <w:lang w:val="es-UY"/>
        </w:rPr>
      </w:pPr>
      <w:r w:rsidRPr="006617FF">
        <w:rPr>
          <w:szCs w:val="24"/>
          <w:lang w:val="es-UY"/>
        </w:rPr>
        <w:t>Es importante señalar que en la más reciente versión del proyecto de texto para la Reunión Preparatoria de la Conferencia publicado en el informe de la última reunión de trabajo del Grupo Conjunto de Tareas 4-5-6-7, la banda de frecuencias 410-450 MHz, o partes de la misma, no es considerada entre los rangos de frecuencias adecuados para ser identificados para las IMT. Las bandas de frecuencias que ahí se incluyen fueron proporcionadas por la UIT-R después de haber sido propuestas por una o más administraciones y estudiadas en los Grupos de Trabajo del Sector de Radiocomunicaciones.</w:t>
      </w:r>
    </w:p>
    <w:p w:rsidR="00696A73" w:rsidRPr="006617FF" w:rsidRDefault="00696A73" w:rsidP="00696A73">
      <w:pPr>
        <w:rPr>
          <w:szCs w:val="24"/>
          <w:lang w:val="es-UY"/>
        </w:rPr>
      </w:pPr>
      <w:r w:rsidRPr="006617FF">
        <w:rPr>
          <w:szCs w:val="24"/>
          <w:lang w:val="es-UY"/>
        </w:rPr>
        <w:t xml:space="preserve">Con base en lo expuesto anteriormente se propone que la banda de 410-450 MHz no sea identificada como espectro para las IMT </w:t>
      </w:r>
      <w:r w:rsidRPr="006617FF">
        <w:rPr>
          <w:szCs w:val="24"/>
          <w:lang w:val="es-UY" w:eastAsia="es-ES"/>
        </w:rPr>
        <w:t>bajo el punto 1.1 del Orden del Día de la CMR-15,</w:t>
      </w:r>
      <w:r w:rsidRPr="006617FF">
        <w:rPr>
          <w:szCs w:val="24"/>
          <w:lang w:val="es-UY"/>
        </w:rPr>
        <w:t xml:space="preserve"> en virtud de que la misma no está siendo considerada en la UIT-R como uno de los rangos de frecuencias adecuados para ser identificados como IMT, además de que será empleada por algunas Administraciones para dar cabida a las operaciones provenientes de otras bandas que ya han sido identificadas para las IMT.</w:t>
      </w:r>
    </w:p>
    <w:p w:rsidR="00696A73" w:rsidRPr="006617FF" w:rsidRDefault="00696A73" w:rsidP="008238B4">
      <w:pPr>
        <w:pStyle w:val="Headingb"/>
        <w:rPr>
          <w:lang w:val="es-UY"/>
        </w:rPr>
      </w:pPr>
      <w:r>
        <w:rPr>
          <w:lang w:val="es-UY"/>
        </w:rPr>
        <w:t>Propuestas</w:t>
      </w:r>
    </w:p>
    <w:p w:rsidR="008750A8" w:rsidRDefault="008750A8" w:rsidP="008750A8">
      <w:pPr>
        <w:tabs>
          <w:tab w:val="clear" w:pos="1134"/>
          <w:tab w:val="clear" w:pos="1871"/>
          <w:tab w:val="clear" w:pos="2268"/>
        </w:tabs>
        <w:overflowPunct/>
        <w:autoSpaceDE/>
        <w:autoSpaceDN/>
        <w:adjustRightInd/>
        <w:spacing w:before="0"/>
        <w:textAlignment w:val="auto"/>
      </w:pPr>
      <w:bookmarkStart w:id="8" w:name="_GoBack"/>
      <w:bookmarkEnd w:id="8"/>
      <w:r>
        <w:br w:type="page"/>
      </w:r>
    </w:p>
    <w:p w:rsidR="00F008F3" w:rsidRPr="00245062" w:rsidRDefault="008238B4" w:rsidP="00D44B91">
      <w:pPr>
        <w:pStyle w:val="ArtNo"/>
      </w:pPr>
      <w:r w:rsidRPr="00245062">
        <w:lastRenderedPageBreak/>
        <w:t xml:space="preserve">ARTÍCULO </w:t>
      </w:r>
      <w:r w:rsidRPr="00245062">
        <w:rPr>
          <w:rStyle w:val="href"/>
        </w:rPr>
        <w:t>5</w:t>
      </w:r>
    </w:p>
    <w:p w:rsidR="00F008F3" w:rsidRPr="00F63BD5" w:rsidRDefault="008238B4" w:rsidP="00D44B91">
      <w:pPr>
        <w:pStyle w:val="Arttitle"/>
      </w:pPr>
      <w:r w:rsidRPr="00245062">
        <w:t>Atribuciones de frecuencia</w:t>
      </w:r>
    </w:p>
    <w:p w:rsidR="00F008F3" w:rsidRPr="00245062" w:rsidRDefault="008238B4" w:rsidP="00417F4D">
      <w:pPr>
        <w:pStyle w:val="Section1"/>
      </w:pPr>
      <w:r w:rsidRPr="00245062">
        <w:t xml:space="preserve">Sección IV – </w:t>
      </w:r>
      <w:r w:rsidRPr="00245062">
        <w:t>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660BAB" w:rsidRDefault="008238B4">
      <w:pPr>
        <w:pStyle w:val="Proposal"/>
      </w:pPr>
      <w:r>
        <w:rPr>
          <w:u w:val="single"/>
        </w:rPr>
        <w:t>NOC</w:t>
      </w:r>
      <w:r w:rsidR="00F61538">
        <w:tab/>
        <w:t>IAP/7A1</w:t>
      </w:r>
      <w:r>
        <w:t>/1</w:t>
      </w:r>
    </w:p>
    <w:p w:rsidR="00F008F3" w:rsidRPr="00245062" w:rsidRDefault="008238B4" w:rsidP="004D72B7">
      <w:pPr>
        <w:pStyle w:val="Tabletitle"/>
      </w:pPr>
      <w:r w:rsidRPr="00245062">
        <w:t xml:space="preserve">410-460 </w:t>
      </w:r>
      <w:r w:rsidRPr="00245062">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245062" w:rsidTr="00EA77F7">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8238B4" w:rsidP="00EA77F7">
            <w:pPr>
              <w:pStyle w:val="Tablehead"/>
              <w:spacing w:line="190" w:lineRule="exact"/>
              <w:rPr>
                <w:color w:val="000000"/>
              </w:rPr>
            </w:pPr>
            <w:r w:rsidRPr="00245062">
              <w:rPr>
                <w:color w:val="000000"/>
              </w:rPr>
              <w:t>Atribución a los servicios</w:t>
            </w:r>
          </w:p>
        </w:tc>
      </w:tr>
      <w:tr w:rsidR="00F008F3" w:rsidRPr="00245062" w:rsidTr="00EA77F7">
        <w:trPr>
          <w:cantSplit/>
        </w:trPr>
        <w:tc>
          <w:tcPr>
            <w:tcW w:w="3101" w:type="dxa"/>
            <w:tcBorders>
              <w:top w:val="single" w:sz="6" w:space="0" w:color="auto"/>
              <w:left w:val="single" w:sz="6" w:space="0" w:color="auto"/>
              <w:bottom w:val="single" w:sz="6" w:space="0" w:color="auto"/>
              <w:right w:val="single" w:sz="6" w:space="0" w:color="auto"/>
            </w:tcBorders>
          </w:tcPr>
          <w:p w:rsidR="00F008F3" w:rsidRPr="00245062" w:rsidRDefault="008238B4" w:rsidP="00EA77F7">
            <w:pPr>
              <w:pStyle w:val="Tablehead"/>
              <w:spacing w:line="190" w:lineRule="exact"/>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245062" w:rsidRDefault="008238B4" w:rsidP="00EA77F7">
            <w:pPr>
              <w:pStyle w:val="Tablehead"/>
              <w:spacing w:line="190" w:lineRule="exact"/>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245062" w:rsidRDefault="008238B4" w:rsidP="00EA77F7">
            <w:pPr>
              <w:pStyle w:val="Tablehead"/>
              <w:spacing w:line="190" w:lineRule="exact"/>
              <w:rPr>
                <w:color w:val="000000"/>
              </w:rPr>
            </w:pPr>
            <w:r w:rsidRPr="00245062">
              <w:rPr>
                <w:color w:val="000000"/>
              </w:rPr>
              <w:t>Región 3</w:t>
            </w:r>
          </w:p>
        </w:tc>
      </w:tr>
      <w:tr w:rsidR="00F008F3" w:rsidRPr="00245062" w:rsidTr="00EA77F7">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8238B4" w:rsidP="00EA77F7">
            <w:pPr>
              <w:pStyle w:val="TableTextS5"/>
              <w:spacing w:line="190" w:lineRule="exact"/>
              <w:rPr>
                <w:color w:val="000000"/>
              </w:rPr>
            </w:pPr>
            <w:r w:rsidRPr="00245062">
              <w:rPr>
                <w:rStyle w:val="Tablefreq"/>
                <w:color w:val="000000"/>
              </w:rPr>
              <w:t>410-420</w:t>
            </w:r>
            <w:r w:rsidRPr="00245062">
              <w:rPr>
                <w:color w:val="000000"/>
              </w:rPr>
              <w:tab/>
            </w:r>
            <w:r w:rsidRPr="00245062">
              <w:rPr>
                <w:color w:val="000000"/>
              </w:rPr>
              <w:tab/>
              <w:t>FIJO</w:t>
            </w:r>
          </w:p>
          <w:p w:rsidR="00F008F3" w:rsidRPr="00F5608E" w:rsidRDefault="008238B4" w:rsidP="00F5608E">
            <w:pPr>
              <w:pStyle w:val="TableTextS5"/>
            </w:pPr>
            <w:r w:rsidRPr="00F5608E">
              <w:tab/>
            </w:r>
            <w:r w:rsidRPr="00F5608E">
              <w:tab/>
            </w:r>
            <w:r w:rsidRPr="00F5608E">
              <w:tab/>
            </w:r>
            <w:r w:rsidRPr="00F5608E">
              <w:tab/>
              <w:t>MÓVIL salvo móvil aeronáutico</w:t>
            </w:r>
          </w:p>
          <w:p w:rsidR="00F008F3" w:rsidRPr="00245062" w:rsidRDefault="008238B4" w:rsidP="00F5608E">
            <w:pPr>
              <w:pStyle w:val="TableTextS5"/>
            </w:pPr>
            <w:r w:rsidRPr="00F5608E">
              <w:tab/>
            </w:r>
            <w:r w:rsidRPr="00F5608E">
              <w:tab/>
            </w:r>
            <w:r w:rsidRPr="00F5608E">
              <w:tab/>
            </w:r>
            <w:r w:rsidRPr="00F5608E">
              <w:tab/>
              <w:t>INVESTIGACIÓN ESPACIAL (espacio-espacio)</w:t>
            </w:r>
            <w:r w:rsidRPr="00245062">
              <w:t xml:space="preserve">  </w:t>
            </w:r>
            <w:r w:rsidRPr="00F5608E">
              <w:rPr>
                <w:rStyle w:val="Artref"/>
              </w:rPr>
              <w:t>5.268</w:t>
            </w:r>
          </w:p>
        </w:tc>
      </w:tr>
      <w:tr w:rsidR="00F008F3" w:rsidRPr="00245062" w:rsidTr="00EA77F7">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8238B4" w:rsidP="00EA77F7">
            <w:pPr>
              <w:pStyle w:val="TableTextS5"/>
              <w:spacing w:line="190" w:lineRule="exact"/>
              <w:rPr>
                <w:color w:val="000000"/>
              </w:rPr>
            </w:pPr>
            <w:r w:rsidRPr="00245062">
              <w:rPr>
                <w:rStyle w:val="Tablefreq"/>
                <w:color w:val="000000"/>
              </w:rPr>
              <w:t>420-430</w:t>
            </w:r>
            <w:r w:rsidRPr="00245062">
              <w:rPr>
                <w:color w:val="000000"/>
              </w:rPr>
              <w:tab/>
            </w:r>
            <w:r w:rsidRPr="00245062">
              <w:rPr>
                <w:color w:val="000000"/>
              </w:rPr>
              <w:tab/>
              <w:t>FIJO</w:t>
            </w:r>
          </w:p>
          <w:p w:rsidR="00F008F3" w:rsidRPr="00F5608E" w:rsidRDefault="008238B4" w:rsidP="00F5608E">
            <w:pPr>
              <w:pStyle w:val="TableTextS5"/>
            </w:pPr>
            <w:r w:rsidRPr="00F5608E">
              <w:tab/>
            </w:r>
            <w:r w:rsidRPr="00F5608E">
              <w:tab/>
            </w:r>
            <w:r w:rsidRPr="00F5608E">
              <w:tab/>
            </w:r>
            <w:r w:rsidRPr="00F5608E">
              <w:tab/>
              <w:t>MÓVIL salvo móvil aeronáutico</w:t>
            </w:r>
          </w:p>
          <w:p w:rsidR="00F008F3" w:rsidRPr="00245062" w:rsidRDefault="008238B4" w:rsidP="00F5608E">
            <w:pPr>
              <w:pStyle w:val="TableTextS5"/>
            </w:pPr>
            <w:r w:rsidRPr="00F5608E">
              <w:tab/>
            </w:r>
            <w:r w:rsidRPr="00F5608E">
              <w:tab/>
            </w:r>
            <w:r w:rsidRPr="00F5608E">
              <w:tab/>
            </w:r>
            <w:r w:rsidRPr="00F5608E">
              <w:tab/>
              <w:t>Radiolocalización</w:t>
            </w:r>
          </w:p>
          <w:p w:rsidR="00F008F3" w:rsidRPr="00F5608E" w:rsidRDefault="008238B4" w:rsidP="00EA77F7">
            <w:pPr>
              <w:pStyle w:val="TableTextS5"/>
              <w:spacing w:line="190" w:lineRule="exact"/>
              <w:rPr>
                <w:rStyle w:val="Artref"/>
              </w:rPr>
            </w:pPr>
            <w:r w:rsidRPr="00F5608E">
              <w:tab/>
            </w:r>
            <w:r w:rsidRPr="00F5608E">
              <w:tab/>
            </w:r>
            <w:r w:rsidRPr="00F5608E">
              <w:tab/>
            </w:r>
            <w:r w:rsidRPr="00F5608E">
              <w:tab/>
            </w:r>
            <w:r w:rsidRPr="00F5608E">
              <w:rPr>
                <w:rStyle w:val="Artref"/>
              </w:rPr>
              <w:t>5.269  5.270  5.271</w:t>
            </w:r>
          </w:p>
        </w:tc>
      </w:tr>
      <w:tr w:rsidR="00F008F3" w:rsidRPr="00245062" w:rsidTr="00EA77F7">
        <w:trPr>
          <w:cantSplit/>
        </w:trPr>
        <w:tc>
          <w:tcPr>
            <w:tcW w:w="3101" w:type="dxa"/>
            <w:tcBorders>
              <w:top w:val="single" w:sz="6" w:space="0" w:color="auto"/>
              <w:left w:val="single" w:sz="6" w:space="0" w:color="auto"/>
              <w:right w:val="single" w:sz="6" w:space="0" w:color="auto"/>
            </w:tcBorders>
          </w:tcPr>
          <w:p w:rsidR="00F008F3" w:rsidRPr="00245062" w:rsidRDefault="008238B4" w:rsidP="00EA77F7">
            <w:pPr>
              <w:pStyle w:val="TableTextS5"/>
              <w:spacing w:line="190" w:lineRule="exact"/>
              <w:rPr>
                <w:rStyle w:val="Tablefreq"/>
                <w:color w:val="000000"/>
              </w:rPr>
            </w:pPr>
            <w:r w:rsidRPr="00245062">
              <w:rPr>
                <w:rStyle w:val="Tablefreq"/>
                <w:color w:val="000000"/>
              </w:rPr>
              <w:t>430-432</w:t>
            </w:r>
          </w:p>
          <w:p w:rsidR="00F008F3" w:rsidRPr="00F5608E" w:rsidRDefault="008238B4" w:rsidP="00F5608E">
            <w:pPr>
              <w:pStyle w:val="TableTextS5"/>
            </w:pPr>
            <w:r w:rsidRPr="00F5608E">
              <w:t>AFICIONADOS</w:t>
            </w:r>
          </w:p>
          <w:p w:rsidR="00F008F3" w:rsidRPr="00245062" w:rsidRDefault="008238B4" w:rsidP="00F5608E">
            <w:pPr>
              <w:pStyle w:val="TableTextS5"/>
            </w:pPr>
            <w:r w:rsidRPr="00F5608E">
              <w:t>RADIOLOCALIZACIÓN</w:t>
            </w:r>
          </w:p>
        </w:tc>
        <w:tc>
          <w:tcPr>
            <w:tcW w:w="6203" w:type="dxa"/>
            <w:gridSpan w:val="2"/>
            <w:tcBorders>
              <w:top w:val="single" w:sz="6" w:space="0" w:color="auto"/>
              <w:left w:val="single" w:sz="6" w:space="0" w:color="auto"/>
              <w:right w:val="single" w:sz="6" w:space="0" w:color="auto"/>
            </w:tcBorders>
          </w:tcPr>
          <w:p w:rsidR="00F008F3" w:rsidRPr="00245062" w:rsidRDefault="008238B4" w:rsidP="00EA77F7">
            <w:pPr>
              <w:pStyle w:val="TableTextS5"/>
              <w:tabs>
                <w:tab w:val="clear" w:pos="170"/>
                <w:tab w:val="clear" w:pos="737"/>
                <w:tab w:val="clear" w:pos="2977"/>
                <w:tab w:val="clear" w:pos="3266"/>
              </w:tabs>
              <w:spacing w:line="190" w:lineRule="exact"/>
              <w:rPr>
                <w:color w:val="000000"/>
              </w:rPr>
            </w:pPr>
            <w:r w:rsidRPr="00245062">
              <w:rPr>
                <w:rStyle w:val="Tablefreq"/>
                <w:color w:val="000000"/>
              </w:rPr>
              <w:t>430-432</w:t>
            </w:r>
          </w:p>
          <w:p w:rsidR="00F008F3" w:rsidRPr="00F5608E" w:rsidRDefault="008238B4" w:rsidP="00F5608E">
            <w:pPr>
              <w:pStyle w:val="TableTextS5"/>
              <w:tabs>
                <w:tab w:val="clear" w:pos="170"/>
                <w:tab w:val="left" w:pos="470"/>
              </w:tabs>
            </w:pPr>
            <w:r w:rsidRPr="00F5608E">
              <w:tab/>
              <w:t>RADIOLOCALIZACIÓN</w:t>
            </w:r>
          </w:p>
          <w:p w:rsidR="00F008F3" w:rsidRPr="00245062" w:rsidRDefault="008238B4" w:rsidP="00F5608E">
            <w:pPr>
              <w:pStyle w:val="TableTextS5"/>
              <w:tabs>
                <w:tab w:val="clear" w:pos="170"/>
                <w:tab w:val="left" w:pos="470"/>
              </w:tabs>
            </w:pPr>
            <w:r w:rsidRPr="00F5608E">
              <w:tab/>
              <w:t>Aficionados</w:t>
            </w:r>
          </w:p>
        </w:tc>
      </w:tr>
      <w:tr w:rsidR="00F008F3" w:rsidRPr="00245062" w:rsidTr="00EA77F7">
        <w:trPr>
          <w:cantSplit/>
        </w:trPr>
        <w:tc>
          <w:tcPr>
            <w:tcW w:w="3101" w:type="dxa"/>
            <w:tcBorders>
              <w:left w:val="single" w:sz="6" w:space="0" w:color="auto"/>
              <w:bottom w:val="single" w:sz="6" w:space="0" w:color="auto"/>
              <w:right w:val="single" w:sz="6" w:space="0" w:color="auto"/>
            </w:tcBorders>
          </w:tcPr>
          <w:p w:rsidR="00F008F3" w:rsidRPr="00245062" w:rsidRDefault="008238B4" w:rsidP="00EA77F7">
            <w:pPr>
              <w:pStyle w:val="TableTextS5"/>
              <w:spacing w:line="190" w:lineRule="exact"/>
              <w:rPr>
                <w:rStyle w:val="Tablefreq"/>
                <w:color w:val="000000"/>
              </w:rPr>
            </w:pPr>
            <w:r w:rsidRPr="0071678E">
              <w:rPr>
                <w:rStyle w:val="Artref10pt"/>
              </w:rPr>
              <w:t>5.271</w:t>
            </w:r>
            <w:r w:rsidRPr="00245062">
              <w:rPr>
                <w:color w:val="000000"/>
              </w:rPr>
              <w:t xml:space="preserve">  </w:t>
            </w:r>
            <w:r w:rsidRPr="0071678E">
              <w:rPr>
                <w:rStyle w:val="Artref10pt"/>
              </w:rPr>
              <w:t>5.272</w:t>
            </w:r>
            <w:r w:rsidRPr="00245062">
              <w:rPr>
                <w:color w:val="000000"/>
              </w:rPr>
              <w:t xml:space="preserve">  </w:t>
            </w:r>
            <w:r w:rsidRPr="0071678E">
              <w:rPr>
                <w:rStyle w:val="Artref10pt"/>
              </w:rPr>
              <w:t>5.273</w:t>
            </w:r>
            <w:r w:rsidRPr="00245062">
              <w:rPr>
                <w:color w:val="000000"/>
              </w:rPr>
              <w:t xml:space="preserve">  </w:t>
            </w:r>
            <w:r w:rsidRPr="0071678E">
              <w:rPr>
                <w:rStyle w:val="Artref10pt"/>
              </w:rPr>
              <w:t>5.274</w:t>
            </w:r>
            <w:r w:rsidRPr="0071678E">
              <w:rPr>
                <w:rStyle w:val="Artref10pt"/>
              </w:rPr>
              <w:br/>
              <w:t>5.275</w:t>
            </w:r>
            <w:r w:rsidRPr="00245062">
              <w:rPr>
                <w:color w:val="000000"/>
              </w:rPr>
              <w:t xml:space="preserve">  </w:t>
            </w:r>
            <w:r w:rsidRPr="0071678E">
              <w:rPr>
                <w:rStyle w:val="Artref10pt"/>
              </w:rPr>
              <w:t>5.276</w:t>
            </w:r>
            <w:r w:rsidRPr="00245062">
              <w:rPr>
                <w:color w:val="000000"/>
              </w:rPr>
              <w:t xml:space="preserve">  </w:t>
            </w:r>
            <w:r w:rsidRPr="0071678E">
              <w:rPr>
                <w:rStyle w:val="Artref10pt"/>
              </w:rPr>
              <w:t>5.277</w:t>
            </w:r>
            <w:r w:rsidRPr="00245062">
              <w:rPr>
                <w:color w:val="000000"/>
              </w:rPr>
              <w:t xml:space="preserve">  </w:t>
            </w:r>
          </w:p>
        </w:tc>
        <w:tc>
          <w:tcPr>
            <w:tcW w:w="6203" w:type="dxa"/>
            <w:gridSpan w:val="2"/>
            <w:tcBorders>
              <w:left w:val="single" w:sz="6" w:space="0" w:color="auto"/>
              <w:bottom w:val="single" w:sz="6" w:space="0" w:color="auto"/>
              <w:right w:val="single" w:sz="6" w:space="0" w:color="auto"/>
            </w:tcBorders>
          </w:tcPr>
          <w:p w:rsidR="00F008F3" w:rsidRPr="00245062" w:rsidRDefault="008238B4" w:rsidP="0068626A">
            <w:pPr>
              <w:pStyle w:val="TableTextS5"/>
              <w:tabs>
                <w:tab w:val="clear" w:pos="170"/>
                <w:tab w:val="clear" w:pos="737"/>
                <w:tab w:val="clear" w:pos="2977"/>
                <w:tab w:val="clear" w:pos="3266"/>
              </w:tabs>
              <w:spacing w:line="190" w:lineRule="exact"/>
              <w:ind w:left="459" w:hanging="459"/>
              <w:rPr>
                <w:rStyle w:val="Tablefreq"/>
                <w:color w:val="000000"/>
              </w:rPr>
            </w:pPr>
            <w:r w:rsidRPr="00245062">
              <w:rPr>
                <w:color w:val="000000"/>
              </w:rPr>
              <w:br/>
            </w:r>
            <w:r w:rsidRPr="0071678E">
              <w:rPr>
                <w:rStyle w:val="Artref10pt"/>
              </w:rPr>
              <w:t>5.271</w:t>
            </w:r>
            <w:r w:rsidRPr="00245062">
              <w:rPr>
                <w:color w:val="000000"/>
              </w:rPr>
              <w:t xml:space="preserve">  </w:t>
            </w:r>
            <w:r w:rsidRPr="0071678E">
              <w:rPr>
                <w:rStyle w:val="Artref10pt"/>
              </w:rPr>
              <w:t>5.276</w:t>
            </w:r>
            <w:r w:rsidRPr="00245062">
              <w:rPr>
                <w:color w:val="000000"/>
              </w:rPr>
              <w:t xml:space="preserve">  </w:t>
            </w:r>
            <w:r w:rsidRPr="0071678E">
              <w:rPr>
                <w:rStyle w:val="Artref10pt"/>
              </w:rPr>
              <w:t>5.278</w:t>
            </w:r>
            <w:r w:rsidRPr="00245062">
              <w:rPr>
                <w:color w:val="000000"/>
              </w:rPr>
              <w:t xml:space="preserve">  </w:t>
            </w:r>
            <w:r w:rsidRPr="0071678E">
              <w:rPr>
                <w:rStyle w:val="Artref10pt"/>
              </w:rPr>
              <w:t>5.279</w:t>
            </w:r>
          </w:p>
        </w:tc>
      </w:tr>
      <w:tr w:rsidR="00F008F3" w:rsidRPr="00245062" w:rsidTr="00EA77F7">
        <w:trPr>
          <w:cantSplit/>
        </w:trPr>
        <w:tc>
          <w:tcPr>
            <w:tcW w:w="3101" w:type="dxa"/>
            <w:tcBorders>
              <w:top w:val="single" w:sz="6" w:space="0" w:color="auto"/>
              <w:left w:val="single" w:sz="6" w:space="0" w:color="auto"/>
              <w:right w:val="single" w:sz="6" w:space="0" w:color="auto"/>
            </w:tcBorders>
          </w:tcPr>
          <w:p w:rsidR="00F008F3" w:rsidRPr="00245062" w:rsidRDefault="008238B4" w:rsidP="00EA77F7">
            <w:pPr>
              <w:pStyle w:val="TableTextS5"/>
              <w:spacing w:line="190" w:lineRule="exact"/>
              <w:rPr>
                <w:color w:val="000000"/>
              </w:rPr>
            </w:pPr>
            <w:r w:rsidRPr="00245062">
              <w:rPr>
                <w:rStyle w:val="Tablefreq"/>
                <w:color w:val="000000"/>
              </w:rPr>
              <w:t>432-438</w:t>
            </w:r>
          </w:p>
          <w:p w:rsidR="00F008F3" w:rsidRPr="00F5608E" w:rsidRDefault="008238B4" w:rsidP="00F5608E">
            <w:pPr>
              <w:pStyle w:val="TableTextS5"/>
            </w:pPr>
            <w:r w:rsidRPr="00F5608E">
              <w:t>AFICIONADOS</w:t>
            </w:r>
          </w:p>
          <w:p w:rsidR="00F008F3" w:rsidRPr="00F5608E" w:rsidRDefault="008238B4" w:rsidP="00F5608E">
            <w:pPr>
              <w:pStyle w:val="TableTextS5"/>
            </w:pPr>
            <w:r w:rsidRPr="00F5608E">
              <w:t>RADIOLOCALIZACIÓN</w:t>
            </w:r>
          </w:p>
          <w:p w:rsidR="00F008F3" w:rsidRPr="00245062" w:rsidRDefault="008238B4" w:rsidP="00EA77F7">
            <w:pPr>
              <w:pStyle w:val="TableTextS5"/>
              <w:spacing w:line="190" w:lineRule="exact"/>
              <w:ind w:left="170" w:hanging="170"/>
              <w:rPr>
                <w:color w:val="000000"/>
              </w:rPr>
            </w:pPr>
            <w:r w:rsidRPr="00245062">
              <w:rPr>
                <w:color w:val="000000"/>
              </w:rPr>
              <w:t xml:space="preserve">Exploración de la Tierra por satélite (activo)  </w:t>
            </w:r>
            <w:r w:rsidRPr="00245062">
              <w:rPr>
                <w:rStyle w:val="Artref"/>
                <w:color w:val="000000"/>
              </w:rPr>
              <w:t>5.279A</w:t>
            </w:r>
          </w:p>
        </w:tc>
        <w:tc>
          <w:tcPr>
            <w:tcW w:w="6203" w:type="dxa"/>
            <w:gridSpan w:val="2"/>
            <w:tcBorders>
              <w:top w:val="single" w:sz="6" w:space="0" w:color="auto"/>
              <w:left w:val="single" w:sz="6" w:space="0" w:color="auto"/>
              <w:right w:val="single" w:sz="6" w:space="0" w:color="auto"/>
            </w:tcBorders>
          </w:tcPr>
          <w:p w:rsidR="00F008F3" w:rsidRPr="00245062" w:rsidRDefault="008238B4" w:rsidP="00EA77F7">
            <w:pPr>
              <w:pStyle w:val="TableTextS5"/>
              <w:tabs>
                <w:tab w:val="clear" w:pos="170"/>
                <w:tab w:val="clear" w:pos="737"/>
                <w:tab w:val="clear" w:pos="2977"/>
                <w:tab w:val="clear" w:pos="3266"/>
              </w:tabs>
              <w:spacing w:line="190" w:lineRule="exact"/>
              <w:rPr>
                <w:color w:val="000000"/>
              </w:rPr>
            </w:pPr>
            <w:r w:rsidRPr="00245062">
              <w:rPr>
                <w:rStyle w:val="Tablefreq"/>
                <w:color w:val="000000"/>
              </w:rPr>
              <w:t>432-438</w:t>
            </w:r>
          </w:p>
          <w:p w:rsidR="00F008F3" w:rsidRPr="00F5608E" w:rsidRDefault="008238B4" w:rsidP="00F5608E">
            <w:pPr>
              <w:pStyle w:val="TableTextS5"/>
              <w:tabs>
                <w:tab w:val="clear" w:pos="170"/>
                <w:tab w:val="left" w:pos="470"/>
              </w:tabs>
            </w:pPr>
            <w:r w:rsidRPr="00F5608E">
              <w:tab/>
              <w:t>RADIOLOCALIZACIÓN</w:t>
            </w:r>
          </w:p>
          <w:p w:rsidR="00F008F3" w:rsidRPr="00F5608E" w:rsidRDefault="008238B4" w:rsidP="00F5608E">
            <w:pPr>
              <w:pStyle w:val="TableTextS5"/>
              <w:tabs>
                <w:tab w:val="clear" w:pos="170"/>
                <w:tab w:val="left" w:pos="470"/>
              </w:tabs>
            </w:pPr>
            <w:r w:rsidRPr="00F5608E">
              <w:tab/>
              <w:t>Aficionados</w:t>
            </w:r>
          </w:p>
          <w:p w:rsidR="00F008F3" w:rsidRPr="00245062" w:rsidRDefault="008238B4" w:rsidP="00EA77F7">
            <w:pPr>
              <w:pStyle w:val="TableTextS5"/>
              <w:tabs>
                <w:tab w:val="clear" w:pos="170"/>
                <w:tab w:val="clear" w:pos="737"/>
                <w:tab w:val="clear" w:pos="2977"/>
                <w:tab w:val="clear" w:pos="3266"/>
                <w:tab w:val="left" w:pos="459"/>
              </w:tabs>
              <w:spacing w:line="190" w:lineRule="exact"/>
              <w:rPr>
                <w:color w:val="000000"/>
              </w:rPr>
            </w:pPr>
            <w:r w:rsidRPr="00F5608E">
              <w:tab/>
              <w:t>Exploración de la Tierra por satélite (activo)</w:t>
            </w:r>
            <w:r w:rsidRPr="00245062">
              <w:rPr>
                <w:color w:val="000000"/>
              </w:rPr>
              <w:t xml:space="preserve">  </w:t>
            </w:r>
            <w:r w:rsidRPr="00F5608E">
              <w:rPr>
                <w:rStyle w:val="Artref"/>
              </w:rPr>
              <w:t>5.279A</w:t>
            </w:r>
          </w:p>
        </w:tc>
      </w:tr>
      <w:tr w:rsidR="00F008F3" w:rsidRPr="00245062" w:rsidTr="00EA77F7">
        <w:trPr>
          <w:cantSplit/>
        </w:trPr>
        <w:tc>
          <w:tcPr>
            <w:tcW w:w="3101" w:type="dxa"/>
            <w:tcBorders>
              <w:left w:val="single" w:sz="6" w:space="0" w:color="auto"/>
              <w:bottom w:val="single" w:sz="6" w:space="0" w:color="auto"/>
              <w:right w:val="single" w:sz="6" w:space="0" w:color="auto"/>
            </w:tcBorders>
          </w:tcPr>
          <w:p w:rsidR="00F008F3" w:rsidRPr="00245062" w:rsidRDefault="008238B4" w:rsidP="00EA77F7">
            <w:pPr>
              <w:pStyle w:val="TableTextS5"/>
              <w:spacing w:line="190" w:lineRule="exact"/>
              <w:rPr>
                <w:rStyle w:val="Tablefreq"/>
                <w:color w:val="000000"/>
              </w:rPr>
            </w:pPr>
            <w:r w:rsidRPr="0071678E">
              <w:rPr>
                <w:rStyle w:val="Artref10pt"/>
              </w:rPr>
              <w:t>5.138</w:t>
            </w:r>
            <w:r w:rsidRPr="00245062">
              <w:rPr>
                <w:color w:val="000000"/>
              </w:rPr>
              <w:t xml:space="preserve">  </w:t>
            </w:r>
            <w:r w:rsidRPr="0071678E">
              <w:rPr>
                <w:rStyle w:val="Artref10pt"/>
              </w:rPr>
              <w:t>5.271</w:t>
            </w:r>
            <w:r w:rsidRPr="00245062">
              <w:rPr>
                <w:color w:val="000000"/>
              </w:rPr>
              <w:t xml:space="preserve">  </w:t>
            </w:r>
            <w:r w:rsidRPr="0071678E">
              <w:rPr>
                <w:rStyle w:val="Artref10pt"/>
              </w:rPr>
              <w:t>5.272</w:t>
            </w:r>
            <w:r w:rsidRPr="00245062">
              <w:rPr>
                <w:color w:val="000000"/>
              </w:rPr>
              <w:t xml:space="preserve">  </w:t>
            </w:r>
            <w:r w:rsidRPr="0071678E">
              <w:rPr>
                <w:rStyle w:val="Artref10pt"/>
              </w:rPr>
              <w:t>5.276</w:t>
            </w:r>
            <w:r w:rsidRPr="0071678E">
              <w:rPr>
                <w:rStyle w:val="Artref10pt"/>
              </w:rPr>
              <w:br/>
              <w:t>5.277</w:t>
            </w:r>
            <w:r w:rsidRPr="00245062">
              <w:rPr>
                <w:color w:val="000000"/>
              </w:rPr>
              <w:t xml:space="preserve">  </w:t>
            </w:r>
            <w:r w:rsidRPr="0071678E">
              <w:rPr>
                <w:rStyle w:val="Artref10pt"/>
              </w:rPr>
              <w:t>5.280</w:t>
            </w:r>
            <w:r w:rsidRPr="00245062">
              <w:rPr>
                <w:color w:val="000000"/>
              </w:rPr>
              <w:t xml:space="preserve">  </w:t>
            </w:r>
            <w:r w:rsidRPr="0071678E">
              <w:rPr>
                <w:rStyle w:val="Artref10pt"/>
              </w:rPr>
              <w:t>5.281</w:t>
            </w:r>
            <w:r w:rsidRPr="00245062">
              <w:rPr>
                <w:color w:val="000000"/>
              </w:rPr>
              <w:t xml:space="preserve">  </w:t>
            </w:r>
            <w:r w:rsidRPr="0071678E">
              <w:rPr>
                <w:rStyle w:val="Artref10pt"/>
              </w:rPr>
              <w:t>5.282</w:t>
            </w:r>
          </w:p>
        </w:tc>
        <w:tc>
          <w:tcPr>
            <w:tcW w:w="6203" w:type="dxa"/>
            <w:gridSpan w:val="2"/>
            <w:tcBorders>
              <w:left w:val="single" w:sz="6" w:space="0" w:color="auto"/>
              <w:bottom w:val="single" w:sz="6" w:space="0" w:color="auto"/>
              <w:right w:val="single" w:sz="6" w:space="0" w:color="auto"/>
            </w:tcBorders>
          </w:tcPr>
          <w:p w:rsidR="00F008F3" w:rsidRPr="00245062" w:rsidRDefault="008238B4" w:rsidP="0068626A">
            <w:pPr>
              <w:pStyle w:val="TableTextS5"/>
              <w:tabs>
                <w:tab w:val="clear" w:pos="170"/>
                <w:tab w:val="clear" w:pos="737"/>
                <w:tab w:val="clear" w:pos="2977"/>
                <w:tab w:val="clear" w:pos="3266"/>
                <w:tab w:val="left" w:pos="459"/>
              </w:tabs>
              <w:spacing w:line="190" w:lineRule="exact"/>
              <w:rPr>
                <w:rStyle w:val="Tablefreq"/>
                <w:color w:val="000000"/>
              </w:rPr>
            </w:pPr>
            <w:r w:rsidRPr="00245062">
              <w:rPr>
                <w:color w:val="000000"/>
              </w:rPr>
              <w:br/>
            </w:r>
            <w:r w:rsidRPr="00245062">
              <w:rPr>
                <w:color w:val="000000"/>
              </w:rPr>
              <w:tab/>
            </w:r>
            <w:r w:rsidRPr="0071678E">
              <w:rPr>
                <w:rStyle w:val="Artref10pt"/>
              </w:rPr>
              <w:t>5.271</w:t>
            </w:r>
            <w:r w:rsidRPr="00245062">
              <w:rPr>
                <w:color w:val="000000"/>
              </w:rPr>
              <w:t xml:space="preserve">  </w:t>
            </w:r>
            <w:r w:rsidRPr="0071678E">
              <w:rPr>
                <w:rStyle w:val="Artref10pt"/>
              </w:rPr>
              <w:t>5.276</w:t>
            </w:r>
            <w:r w:rsidRPr="00245062">
              <w:rPr>
                <w:color w:val="000000"/>
              </w:rPr>
              <w:t xml:space="preserve">  </w:t>
            </w:r>
            <w:r w:rsidRPr="0071678E">
              <w:rPr>
                <w:rStyle w:val="Artref10pt"/>
              </w:rPr>
              <w:t>5.278</w:t>
            </w:r>
            <w:r w:rsidRPr="00245062">
              <w:rPr>
                <w:color w:val="000000"/>
              </w:rPr>
              <w:t xml:space="preserve">  </w:t>
            </w:r>
            <w:r w:rsidRPr="0071678E">
              <w:rPr>
                <w:rStyle w:val="Artref10pt"/>
              </w:rPr>
              <w:t>5.279</w:t>
            </w:r>
            <w:r w:rsidRPr="00245062">
              <w:rPr>
                <w:color w:val="000000"/>
              </w:rPr>
              <w:t xml:space="preserve">  </w:t>
            </w:r>
            <w:r w:rsidRPr="0071678E">
              <w:rPr>
                <w:rStyle w:val="Artref10pt"/>
              </w:rPr>
              <w:t>5.281</w:t>
            </w:r>
            <w:r w:rsidRPr="00245062">
              <w:rPr>
                <w:color w:val="000000"/>
              </w:rPr>
              <w:t xml:space="preserve">  </w:t>
            </w:r>
            <w:r w:rsidRPr="0071678E">
              <w:rPr>
                <w:rStyle w:val="Artref10pt"/>
              </w:rPr>
              <w:t>5.282</w:t>
            </w:r>
          </w:p>
        </w:tc>
      </w:tr>
      <w:tr w:rsidR="00F008F3" w:rsidRPr="00245062" w:rsidTr="00EA77F7">
        <w:trPr>
          <w:cantSplit/>
        </w:trPr>
        <w:tc>
          <w:tcPr>
            <w:tcW w:w="3101" w:type="dxa"/>
            <w:tcBorders>
              <w:top w:val="single" w:sz="6" w:space="0" w:color="auto"/>
              <w:left w:val="single" w:sz="6" w:space="0" w:color="auto"/>
              <w:right w:val="single" w:sz="6" w:space="0" w:color="auto"/>
            </w:tcBorders>
          </w:tcPr>
          <w:p w:rsidR="00F008F3" w:rsidRPr="00245062" w:rsidRDefault="008238B4" w:rsidP="00EA77F7">
            <w:pPr>
              <w:pStyle w:val="TableTextS5"/>
              <w:spacing w:line="190" w:lineRule="exact"/>
              <w:rPr>
                <w:color w:val="000000"/>
              </w:rPr>
            </w:pPr>
            <w:r w:rsidRPr="00245062">
              <w:rPr>
                <w:rStyle w:val="Tablefreq"/>
                <w:color w:val="000000"/>
              </w:rPr>
              <w:t>438-440</w:t>
            </w:r>
          </w:p>
          <w:p w:rsidR="00F008F3" w:rsidRPr="00F5608E" w:rsidRDefault="008238B4" w:rsidP="00F5608E">
            <w:pPr>
              <w:pStyle w:val="TableTextS5"/>
            </w:pPr>
            <w:r w:rsidRPr="00F5608E">
              <w:t>AFICIONADOS</w:t>
            </w:r>
          </w:p>
          <w:p w:rsidR="00F008F3" w:rsidRPr="00245062" w:rsidRDefault="008238B4" w:rsidP="00F5608E">
            <w:pPr>
              <w:pStyle w:val="TableTextS5"/>
            </w:pPr>
            <w:r w:rsidRPr="00F5608E">
              <w:t>RADIOLOCALIZACIÓN</w:t>
            </w:r>
          </w:p>
        </w:tc>
        <w:tc>
          <w:tcPr>
            <w:tcW w:w="6203" w:type="dxa"/>
            <w:gridSpan w:val="2"/>
            <w:tcBorders>
              <w:top w:val="single" w:sz="6" w:space="0" w:color="auto"/>
              <w:left w:val="single" w:sz="6" w:space="0" w:color="auto"/>
              <w:right w:val="single" w:sz="6" w:space="0" w:color="auto"/>
            </w:tcBorders>
          </w:tcPr>
          <w:p w:rsidR="00F008F3" w:rsidRPr="00245062" w:rsidRDefault="008238B4" w:rsidP="00EA77F7">
            <w:pPr>
              <w:pStyle w:val="TableTextS5"/>
              <w:tabs>
                <w:tab w:val="clear" w:pos="170"/>
                <w:tab w:val="clear" w:pos="737"/>
                <w:tab w:val="clear" w:pos="2977"/>
                <w:tab w:val="clear" w:pos="3266"/>
              </w:tabs>
              <w:spacing w:line="190" w:lineRule="exact"/>
              <w:rPr>
                <w:color w:val="000000"/>
              </w:rPr>
            </w:pPr>
            <w:r w:rsidRPr="00245062">
              <w:rPr>
                <w:rStyle w:val="Tablefreq"/>
                <w:color w:val="000000"/>
              </w:rPr>
              <w:t>438-440</w:t>
            </w:r>
          </w:p>
          <w:p w:rsidR="00F008F3" w:rsidRPr="00F5608E" w:rsidRDefault="008238B4" w:rsidP="00F5608E">
            <w:pPr>
              <w:pStyle w:val="TableTextS5"/>
              <w:tabs>
                <w:tab w:val="clear" w:pos="170"/>
                <w:tab w:val="left" w:pos="470"/>
              </w:tabs>
            </w:pPr>
            <w:r w:rsidRPr="00F5608E">
              <w:tab/>
            </w:r>
            <w:r w:rsidRPr="00F5608E">
              <w:t>RADIOLOCALIZACIÓN</w:t>
            </w:r>
          </w:p>
          <w:p w:rsidR="00F008F3" w:rsidRPr="00245062" w:rsidRDefault="008238B4" w:rsidP="00F5608E">
            <w:pPr>
              <w:pStyle w:val="TableTextS5"/>
              <w:tabs>
                <w:tab w:val="clear" w:pos="170"/>
                <w:tab w:val="left" w:pos="470"/>
              </w:tabs>
            </w:pPr>
            <w:r w:rsidRPr="00F5608E">
              <w:tab/>
              <w:t>Aficionados</w:t>
            </w:r>
          </w:p>
        </w:tc>
      </w:tr>
      <w:tr w:rsidR="00F008F3" w:rsidRPr="00245062" w:rsidTr="00EA77F7">
        <w:trPr>
          <w:cantSplit/>
        </w:trPr>
        <w:tc>
          <w:tcPr>
            <w:tcW w:w="3101" w:type="dxa"/>
            <w:tcBorders>
              <w:left w:val="single" w:sz="6" w:space="0" w:color="auto"/>
              <w:bottom w:val="single" w:sz="6" w:space="0" w:color="auto"/>
              <w:right w:val="single" w:sz="6" w:space="0" w:color="auto"/>
            </w:tcBorders>
          </w:tcPr>
          <w:p w:rsidR="00F008F3" w:rsidRPr="00245062" w:rsidRDefault="008238B4" w:rsidP="00EA77F7">
            <w:pPr>
              <w:pStyle w:val="TableTextS5"/>
              <w:spacing w:line="190" w:lineRule="exact"/>
              <w:rPr>
                <w:rStyle w:val="Tablefreq"/>
                <w:color w:val="000000"/>
              </w:rPr>
            </w:pPr>
            <w:r w:rsidRPr="0071678E">
              <w:rPr>
                <w:rStyle w:val="Artref10pt"/>
              </w:rPr>
              <w:t>5.271</w:t>
            </w:r>
            <w:r w:rsidRPr="00245062">
              <w:rPr>
                <w:color w:val="000000"/>
              </w:rPr>
              <w:t xml:space="preserve">  </w:t>
            </w:r>
            <w:r w:rsidRPr="0071678E">
              <w:rPr>
                <w:rStyle w:val="Artref10pt"/>
              </w:rPr>
              <w:t>5.273</w:t>
            </w:r>
            <w:r w:rsidRPr="00245062">
              <w:rPr>
                <w:color w:val="000000"/>
              </w:rPr>
              <w:t xml:space="preserve">  </w:t>
            </w:r>
            <w:r w:rsidRPr="0071678E">
              <w:rPr>
                <w:rStyle w:val="Artref10pt"/>
              </w:rPr>
              <w:t>5.274</w:t>
            </w:r>
            <w:r w:rsidRPr="00245062">
              <w:rPr>
                <w:color w:val="000000"/>
              </w:rPr>
              <w:t xml:space="preserve">  </w:t>
            </w:r>
            <w:r w:rsidRPr="0071678E">
              <w:rPr>
                <w:rStyle w:val="Artref10pt"/>
              </w:rPr>
              <w:t>5.275</w:t>
            </w:r>
            <w:r w:rsidRPr="0071678E">
              <w:rPr>
                <w:rStyle w:val="Artref10pt"/>
              </w:rPr>
              <w:br/>
              <w:t>5.276</w:t>
            </w:r>
            <w:r w:rsidRPr="00245062">
              <w:rPr>
                <w:color w:val="000000"/>
              </w:rPr>
              <w:t xml:space="preserve">  </w:t>
            </w:r>
            <w:r w:rsidRPr="0071678E">
              <w:rPr>
                <w:rStyle w:val="Artref10pt"/>
              </w:rPr>
              <w:t>5.277</w:t>
            </w:r>
            <w:r w:rsidRPr="00245062">
              <w:rPr>
                <w:color w:val="000000"/>
              </w:rPr>
              <w:t xml:space="preserve">  </w:t>
            </w:r>
            <w:r w:rsidRPr="0071678E">
              <w:rPr>
                <w:rStyle w:val="Artref10pt"/>
              </w:rPr>
              <w:t>5.283</w:t>
            </w:r>
          </w:p>
        </w:tc>
        <w:tc>
          <w:tcPr>
            <w:tcW w:w="6203" w:type="dxa"/>
            <w:gridSpan w:val="2"/>
            <w:tcBorders>
              <w:left w:val="single" w:sz="6" w:space="0" w:color="auto"/>
              <w:bottom w:val="single" w:sz="6" w:space="0" w:color="auto"/>
              <w:right w:val="single" w:sz="6" w:space="0" w:color="auto"/>
            </w:tcBorders>
          </w:tcPr>
          <w:p w:rsidR="00F008F3" w:rsidRPr="00245062" w:rsidRDefault="008238B4" w:rsidP="00D5271D">
            <w:pPr>
              <w:pStyle w:val="TableTextS5"/>
              <w:tabs>
                <w:tab w:val="clear" w:pos="170"/>
                <w:tab w:val="clear" w:pos="737"/>
                <w:tab w:val="clear" w:pos="2977"/>
                <w:tab w:val="clear" w:pos="3266"/>
                <w:tab w:val="left" w:pos="459"/>
              </w:tabs>
              <w:spacing w:line="190" w:lineRule="exact"/>
              <w:rPr>
                <w:rStyle w:val="Tablefreq"/>
                <w:color w:val="000000"/>
              </w:rPr>
            </w:pPr>
            <w:r w:rsidRPr="00245062">
              <w:rPr>
                <w:color w:val="000000"/>
              </w:rPr>
              <w:br/>
            </w:r>
            <w:r w:rsidRPr="00245062">
              <w:rPr>
                <w:color w:val="000000"/>
              </w:rPr>
              <w:tab/>
            </w:r>
            <w:r w:rsidRPr="0071678E">
              <w:rPr>
                <w:rStyle w:val="Artref10pt"/>
              </w:rPr>
              <w:t>5.271</w:t>
            </w:r>
            <w:r w:rsidRPr="00245062">
              <w:rPr>
                <w:color w:val="000000"/>
              </w:rPr>
              <w:t xml:space="preserve">  </w:t>
            </w:r>
            <w:r w:rsidRPr="0071678E">
              <w:rPr>
                <w:rStyle w:val="Artref10pt"/>
              </w:rPr>
              <w:t>5.276</w:t>
            </w:r>
            <w:r w:rsidRPr="00245062">
              <w:rPr>
                <w:color w:val="000000"/>
              </w:rPr>
              <w:t xml:space="preserve">  </w:t>
            </w:r>
            <w:r w:rsidRPr="0071678E">
              <w:rPr>
                <w:rStyle w:val="Artref10pt"/>
              </w:rPr>
              <w:t>5.278</w:t>
            </w:r>
            <w:r w:rsidRPr="00245062">
              <w:rPr>
                <w:color w:val="000000"/>
              </w:rPr>
              <w:t xml:space="preserve">  </w:t>
            </w:r>
            <w:r w:rsidRPr="0071678E">
              <w:rPr>
                <w:rStyle w:val="Artref10pt"/>
              </w:rPr>
              <w:t>5.279</w:t>
            </w:r>
          </w:p>
        </w:tc>
      </w:tr>
      <w:tr w:rsidR="00F008F3" w:rsidRPr="00245062" w:rsidTr="00EA77F7">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245062" w:rsidRDefault="008238B4" w:rsidP="00EA77F7">
            <w:pPr>
              <w:pStyle w:val="TableTextS5"/>
              <w:spacing w:line="190" w:lineRule="exact"/>
              <w:rPr>
                <w:color w:val="000000"/>
              </w:rPr>
            </w:pPr>
            <w:r w:rsidRPr="00245062">
              <w:rPr>
                <w:rStyle w:val="Tablefreq"/>
                <w:color w:val="000000"/>
              </w:rPr>
              <w:t>440-450</w:t>
            </w:r>
            <w:r w:rsidRPr="00245062">
              <w:rPr>
                <w:color w:val="000000"/>
              </w:rPr>
              <w:tab/>
            </w:r>
            <w:r w:rsidRPr="00245062">
              <w:rPr>
                <w:color w:val="000000"/>
              </w:rPr>
              <w:tab/>
              <w:t>FIJO</w:t>
            </w:r>
          </w:p>
          <w:p w:rsidR="00F008F3" w:rsidRPr="00103E73" w:rsidRDefault="008238B4" w:rsidP="00103E73">
            <w:pPr>
              <w:pStyle w:val="TableTextS5"/>
            </w:pPr>
            <w:r w:rsidRPr="00103E73">
              <w:tab/>
            </w:r>
            <w:r w:rsidRPr="00103E73">
              <w:tab/>
            </w:r>
            <w:r w:rsidRPr="00103E73">
              <w:tab/>
            </w:r>
            <w:r w:rsidRPr="00103E73">
              <w:tab/>
              <w:t>MÓVIL salvo móvil aeronáutico</w:t>
            </w:r>
          </w:p>
          <w:p w:rsidR="00F008F3" w:rsidRPr="00245062" w:rsidRDefault="008238B4" w:rsidP="00103E73">
            <w:pPr>
              <w:pStyle w:val="TableTextS5"/>
            </w:pPr>
            <w:r w:rsidRPr="00103E73">
              <w:tab/>
            </w:r>
            <w:r w:rsidRPr="00103E73">
              <w:tab/>
            </w:r>
            <w:r w:rsidRPr="00103E73">
              <w:tab/>
            </w:r>
            <w:r w:rsidRPr="00103E73">
              <w:tab/>
              <w:t>Radiolocalización</w:t>
            </w:r>
          </w:p>
          <w:p w:rsidR="00F008F3" w:rsidRPr="00103E73" w:rsidRDefault="008238B4" w:rsidP="00EA77F7">
            <w:pPr>
              <w:pStyle w:val="TableTextS5"/>
              <w:spacing w:line="190" w:lineRule="exact"/>
              <w:rPr>
                <w:rStyle w:val="Artref"/>
              </w:rPr>
            </w:pPr>
            <w:r w:rsidRPr="00103E73">
              <w:tab/>
            </w:r>
            <w:r w:rsidRPr="00103E73">
              <w:tab/>
            </w:r>
            <w:r w:rsidRPr="00103E73">
              <w:tab/>
            </w:r>
            <w:r w:rsidRPr="00103E73">
              <w:tab/>
            </w:r>
            <w:r w:rsidRPr="00103E73">
              <w:rPr>
                <w:rStyle w:val="Artref"/>
              </w:rPr>
              <w:t>5.269  5.270  5.271  5.284  5.285  5.286</w:t>
            </w:r>
          </w:p>
        </w:tc>
      </w:tr>
    </w:tbl>
    <w:p w:rsidR="00660BAB" w:rsidRDefault="008238B4">
      <w:pPr>
        <w:pStyle w:val="Reasons"/>
      </w:pPr>
      <w:r>
        <w:rPr>
          <w:b/>
        </w:rPr>
        <w:t>Motivos:</w:t>
      </w:r>
      <w:r>
        <w:tab/>
      </w:r>
      <w:r w:rsidR="00F61538" w:rsidRPr="00F61538">
        <w:t>En base al Informe UIT</w:t>
      </w:r>
      <w:r w:rsidR="00F61538" w:rsidRPr="00F61538">
        <w:noBreakHyphen/>
        <w:t>R M.2110, es lógico concluir que la compartición de cofrecuencias entre IMT y el servicio de radiolocalización en las bandas de 420-450 MHz no es factible. Adicionalmente el segmento 410-450 MHz no ha sido identificado para las IMT. El segmento 410-450 MHz también será empleado para dar cabida a las operaciones provenientes de otras bandas que ya han sido identificadas para las IMT.</w:t>
      </w:r>
    </w:p>
    <w:p w:rsidR="00F61538" w:rsidRDefault="00F61538" w:rsidP="0032202E">
      <w:pPr>
        <w:pStyle w:val="Reasons"/>
      </w:pPr>
    </w:p>
    <w:p w:rsidR="00F61538" w:rsidRDefault="00F61538">
      <w:pPr>
        <w:jc w:val="center"/>
      </w:pPr>
      <w:r>
        <w:t>______________</w:t>
      </w:r>
    </w:p>
    <w:p w:rsidR="00F61538" w:rsidRDefault="00F61538">
      <w:pPr>
        <w:pStyle w:val="Reasons"/>
      </w:pPr>
    </w:p>
    <w:sectPr w:rsidR="00F61538">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52D70">
      <w:rPr>
        <w:noProof/>
      </w:rPr>
      <w:t>14.10.15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73" w:rsidRDefault="00696A73" w:rsidP="00696A73">
    <w:pPr>
      <w:pStyle w:val="Footer"/>
    </w:pPr>
    <w:r>
      <w:rPr>
        <w:noProof w:val="0"/>
        <w:sz w:val="24"/>
      </w:rPr>
      <w:fldChar w:fldCharType="begin"/>
    </w:r>
    <w:r>
      <w:instrText xml:space="preserve"> FILENAME \p  \* MERGEFORMAT </w:instrText>
    </w:r>
    <w:r>
      <w:rPr>
        <w:noProof w:val="0"/>
        <w:sz w:val="24"/>
      </w:rPr>
      <w:fldChar w:fldCharType="separate"/>
    </w:r>
    <w:r>
      <w:t>P:\ESP\ITU-R\CONF-R\CMR15\000\007ADD01ADD01S.docx</w:t>
    </w:r>
    <w:r>
      <w:fldChar w:fldCharType="end"/>
    </w:r>
    <w:r>
      <w:t xml:space="preserve"> (387573)</w:t>
    </w:r>
    <w:r>
      <w:tab/>
    </w:r>
    <w:r>
      <w:fldChar w:fldCharType="begin"/>
    </w:r>
    <w:r>
      <w:instrText xml:space="preserve"> SAVEDATE \@ DD.MM.YY </w:instrText>
    </w:r>
    <w:r>
      <w:fldChar w:fldCharType="separate"/>
    </w:r>
    <w:r>
      <w:t>14.10.15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73" w:rsidRDefault="00696A73">
    <w:pPr>
      <w:pStyle w:val="Footer"/>
    </w:pPr>
    <w:fldSimple w:instr=" FILENAME \p  \* MERGEFORMAT ">
      <w:r>
        <w:t>P:\ESP\ITU-R\CONF-R\CMR15\000\007ADD01ADD01S.docx</w:t>
      </w:r>
    </w:fldSimple>
    <w:r>
      <w:t xml:space="preserve"> (387573)</w:t>
    </w:r>
    <w:r>
      <w:tab/>
    </w:r>
    <w:r>
      <w:fldChar w:fldCharType="begin"/>
    </w:r>
    <w:r>
      <w:instrText xml:space="preserve"> SAVEDATE \@ DD.MM.YY </w:instrText>
    </w:r>
    <w:r>
      <w:fldChar w:fldCharType="separate"/>
    </w:r>
    <w:r>
      <w:t>14.10.15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238B4">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2D70"/>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4203C"/>
    <w:rsid w:val="0058350F"/>
    <w:rsid w:val="00583C7E"/>
    <w:rsid w:val="005D46FB"/>
    <w:rsid w:val="005F2605"/>
    <w:rsid w:val="005F3B0E"/>
    <w:rsid w:val="005F559C"/>
    <w:rsid w:val="00637B17"/>
    <w:rsid w:val="00660BAB"/>
    <w:rsid w:val="00662BA0"/>
    <w:rsid w:val="00692AAE"/>
    <w:rsid w:val="00696A73"/>
    <w:rsid w:val="006D6E67"/>
    <w:rsid w:val="006E1A13"/>
    <w:rsid w:val="00701C20"/>
    <w:rsid w:val="00702F3D"/>
    <w:rsid w:val="0070518E"/>
    <w:rsid w:val="007354E9"/>
    <w:rsid w:val="00765578"/>
    <w:rsid w:val="0077084A"/>
    <w:rsid w:val="007952C7"/>
    <w:rsid w:val="007C0B95"/>
    <w:rsid w:val="007C2317"/>
    <w:rsid w:val="007D330A"/>
    <w:rsid w:val="008238B4"/>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1538"/>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ADDF1D7-3B19-4FEC-B255-77E6B6DC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R15-WRC15-C-0007!A1-A1!MSW-S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EA1D8A7A-5584-4FCD-9A51-A1C5DC322A31}">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B5C33ED5-D855-423C-95B9-2F71DA20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939</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R15-WRC15-C-0007!A1-A1!MSW-S</vt:lpstr>
    </vt:vector>
  </TitlesOfParts>
  <Manager>Secretaría General - Pool</Manager>
  <Company>Unión Internacional de Telecomunicaciones (UIT)</Company>
  <LinksUpToDate>false</LinksUpToDate>
  <CharactersWithSpaces>6333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R15-WRC15-C-0007!A1-A1!MSW-S</dc:title>
  <dc:subject>Conferencia Mundial de Radiocomunicaciones - 2015</dc:subject>
  <dc:creator>Documents Proposals Manager (DPM)</dc:creator>
  <cp:keywords>DPM_v5.2015.10.8_prod</cp:keywords>
  <dc:description/>
  <cp:lastModifiedBy>Spanish</cp:lastModifiedBy>
  <cp:revision>7</cp:revision>
  <cp:lastPrinted>2003-02-19T20:20:00Z</cp:lastPrinted>
  <dcterms:created xsi:type="dcterms:W3CDTF">2015-10-14T12:59:00Z</dcterms:created>
  <dcterms:modified xsi:type="dcterms:W3CDTF">2015-10-14T13:07:00Z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