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DF1749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DF1749">
            <w:pPr>
              <w:spacing w:before="0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DF1749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2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DF1749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DF1749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DF1749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DF1749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052EF3" w:rsidRDefault="006D4724" w:rsidP="00DF1749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052EF3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1 au</w:t>
            </w:r>
            <w:r w:rsidRPr="00052EF3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7(Add.1)</w:t>
            </w:r>
            <w:r w:rsidR="00BB1D82" w:rsidRPr="00052EF3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052EF3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2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052EF3" w:rsidRDefault="00690C7B" w:rsidP="00DF1749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DF1749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29 septembre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DF1749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DF1749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DF1749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052EF3" w:rsidRDefault="00690C7B" w:rsidP="00DF1749">
            <w:pPr>
              <w:pStyle w:val="Source"/>
              <w:rPr>
                <w:lang w:val="fr-CH"/>
              </w:rPr>
            </w:pPr>
            <w:bookmarkStart w:id="3" w:name="dsource" w:colFirst="0" w:colLast="0"/>
            <w:r w:rsidRPr="00052EF3">
              <w:rPr>
                <w:lang w:val="fr-CH"/>
              </w:rPr>
              <w:t>Etats Membres de la Commission interaméricaine des télécommunications (CITEL)</w:t>
            </w:r>
          </w:p>
        </w:tc>
      </w:tr>
      <w:tr w:rsidR="00690C7B" w:rsidRPr="008E23EF" w:rsidTr="0050008E">
        <w:trPr>
          <w:cantSplit/>
        </w:trPr>
        <w:tc>
          <w:tcPr>
            <w:tcW w:w="10031" w:type="dxa"/>
            <w:gridSpan w:val="2"/>
          </w:tcPr>
          <w:p w:rsidR="00690C7B" w:rsidRPr="00DF1749" w:rsidRDefault="00DF1749" w:rsidP="00DF1749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3"/>
            <w:r w:rsidRPr="00DF1749">
              <w:rPr>
                <w:lang w:val="fr-CH"/>
              </w:rPr>
              <w:t>propositions pour les travaux de la conférence</w:t>
            </w:r>
          </w:p>
        </w:tc>
      </w:tr>
      <w:tr w:rsidR="00690C7B" w:rsidRPr="008E23EF" w:rsidTr="0050008E">
        <w:trPr>
          <w:cantSplit/>
        </w:trPr>
        <w:tc>
          <w:tcPr>
            <w:tcW w:w="10031" w:type="dxa"/>
            <w:gridSpan w:val="2"/>
          </w:tcPr>
          <w:p w:rsidR="00690C7B" w:rsidRPr="00DF1749" w:rsidRDefault="00690C7B" w:rsidP="00DF1749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4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DF1749">
            <w:pPr>
              <w:pStyle w:val="Agendaitem"/>
            </w:pPr>
            <w:bookmarkStart w:id="6" w:name="dtitle3" w:colFirst="0" w:colLast="0"/>
            <w:bookmarkEnd w:id="5"/>
            <w:r w:rsidRPr="006D4724">
              <w:t>Point 1.1 de l'ordre du jour</w:t>
            </w:r>
          </w:p>
        </w:tc>
      </w:tr>
    </w:tbl>
    <w:bookmarkEnd w:id="6"/>
    <w:p w:rsidR="00BC7943" w:rsidRDefault="004F37A2" w:rsidP="00DF1749">
      <w:r w:rsidRPr="0000257F">
        <w:rPr>
          <w:lang w:val="fr-CA"/>
        </w:rPr>
        <w:t>1.1</w:t>
      </w:r>
      <w:r w:rsidRPr="0000257F">
        <w:rPr>
          <w:lang w:val="fr-CA"/>
        </w:rPr>
        <w:tab/>
        <w:t>envisager des attributions de fréquences additionnelles au service mobile à titre primaire et identifier des bandes de fréquences additionnelles pour les Télécommunications mobiles internationales (IMT) ainsi que les dispositions réglementaires correspondantes, afin de faciliter le développement des applications mobiles à large bande de Terre, conformément à la Résolution </w:t>
      </w:r>
      <w:r w:rsidRPr="00645CBD">
        <w:rPr>
          <w:b/>
          <w:bCs/>
          <w:lang w:val="fr-CA"/>
        </w:rPr>
        <w:t>233 (CMR</w:t>
      </w:r>
      <w:r w:rsidRPr="00645CBD">
        <w:rPr>
          <w:b/>
          <w:bCs/>
          <w:lang w:val="fr-CA"/>
        </w:rPr>
        <w:noBreakHyphen/>
        <w:t>12)</w:t>
      </w:r>
      <w:r w:rsidRPr="0000257F">
        <w:rPr>
          <w:lang w:val="fr-CA"/>
        </w:rPr>
        <w:t>;</w:t>
      </w:r>
      <w:r w:rsidR="00BC7943" w:rsidRPr="00BC7943">
        <w:t xml:space="preserve"> </w:t>
      </w:r>
    </w:p>
    <w:p w:rsidR="003A583E" w:rsidRPr="00DF1749" w:rsidRDefault="00AC0AE6" w:rsidP="00DF1749">
      <w:pPr>
        <w:pStyle w:val="Headingb"/>
        <w:rPr>
          <w:lang w:val="fr-CH"/>
        </w:rPr>
      </w:pPr>
      <w:r w:rsidRPr="00DF1749">
        <w:rPr>
          <w:lang w:val="fr-CH"/>
        </w:rPr>
        <w:t>Considérations générales</w:t>
      </w:r>
    </w:p>
    <w:p w:rsidR="008E23EF" w:rsidRPr="00AC0AE6" w:rsidRDefault="00AC0AE6" w:rsidP="00DF1749">
      <w:pPr>
        <w:rPr>
          <w:lang w:val="fr-CH"/>
        </w:rPr>
      </w:pPr>
      <w:r w:rsidRPr="00AC0AE6">
        <w:rPr>
          <w:lang w:val="fr-CH"/>
        </w:rPr>
        <w:t xml:space="preserve">La CMR-15 va envisager des attributions de fréquences additionnelles au service mobile à titre primaire et identifier des bandes de fréquences additionnelles pour les IMT, conformément à la Résolution </w:t>
      </w:r>
      <w:r w:rsidR="008E23EF" w:rsidRPr="00AC0AE6">
        <w:rPr>
          <w:bCs/>
          <w:lang w:val="fr-CH"/>
        </w:rPr>
        <w:t>233 (</w:t>
      </w:r>
      <w:r>
        <w:rPr>
          <w:bCs/>
          <w:lang w:val="fr-CH"/>
        </w:rPr>
        <w:t>CMR</w:t>
      </w:r>
      <w:r w:rsidR="008E23EF" w:rsidRPr="00AC0AE6">
        <w:rPr>
          <w:bCs/>
          <w:lang w:val="fr-CH"/>
        </w:rPr>
        <w:t>-12)</w:t>
      </w:r>
      <w:r w:rsidR="00DF1749">
        <w:rPr>
          <w:bCs/>
          <w:lang w:val="fr-CH"/>
        </w:rPr>
        <w:t>.</w:t>
      </w:r>
    </w:p>
    <w:p w:rsidR="00BC7943" w:rsidRPr="002062D6" w:rsidRDefault="00AC0AE6" w:rsidP="00DF1749">
      <w:pPr>
        <w:rPr>
          <w:bCs/>
          <w:lang w:val="fr-CH"/>
        </w:rPr>
      </w:pPr>
      <w:r w:rsidRPr="00AC0AE6">
        <w:rPr>
          <w:bCs/>
          <w:lang w:val="fr-CH"/>
        </w:rPr>
        <w:t xml:space="preserve">Conformément à l’Article </w:t>
      </w:r>
      <w:r w:rsidR="00BC7943" w:rsidRPr="00AC0AE6">
        <w:rPr>
          <w:bCs/>
          <w:lang w:val="fr-CH"/>
        </w:rPr>
        <w:t>5</w:t>
      </w:r>
      <w:r w:rsidRPr="00AC0AE6">
        <w:rPr>
          <w:bCs/>
          <w:lang w:val="fr-CH"/>
        </w:rPr>
        <w:t>, la</w:t>
      </w:r>
      <w:r>
        <w:rPr>
          <w:bCs/>
          <w:lang w:val="fr-CH"/>
        </w:rPr>
        <w:t xml:space="preserve"> gamme de fréquences </w:t>
      </w:r>
      <w:r w:rsidR="00BC7943" w:rsidRPr="00AC0AE6">
        <w:rPr>
          <w:bCs/>
          <w:lang w:val="fr-CH"/>
        </w:rPr>
        <w:t xml:space="preserve">410-430 MHz </w:t>
      </w:r>
      <w:r>
        <w:rPr>
          <w:bCs/>
          <w:lang w:val="fr-CH"/>
        </w:rPr>
        <w:t>est attribuée au service mobile (sauf mobile aéronautique) à titre primaire. Toutefois, ces bandes ne sont pas identifiées pour les IMT. Certaines administrations ont indiqué, dans des points de vues préliminaires, qu’elles étaient favorables</w:t>
      </w:r>
      <w:r w:rsidR="002062D6">
        <w:rPr>
          <w:bCs/>
          <w:lang w:val="fr-CH"/>
        </w:rPr>
        <w:t xml:space="preserve"> à une éventuelle identification de la gamme de fréquences</w:t>
      </w:r>
      <w:r w:rsidR="00BC7943" w:rsidRPr="002062D6">
        <w:rPr>
          <w:bCs/>
          <w:lang w:val="fr-CH"/>
        </w:rPr>
        <w:t xml:space="preserve"> 410</w:t>
      </w:r>
      <w:r w:rsidR="00BC7943" w:rsidRPr="002062D6">
        <w:rPr>
          <w:bCs/>
          <w:lang w:val="fr-CH"/>
        </w:rPr>
        <w:noBreakHyphen/>
        <w:t xml:space="preserve">430 MHz </w:t>
      </w:r>
      <w:r w:rsidR="002062D6">
        <w:rPr>
          <w:bCs/>
          <w:lang w:val="fr-CH"/>
        </w:rPr>
        <w:t xml:space="preserve">pour les IMT. À ce jour, l’UIT–R n’a </w:t>
      </w:r>
      <w:r w:rsidR="00DF1749">
        <w:rPr>
          <w:bCs/>
          <w:lang w:val="fr-CH"/>
        </w:rPr>
        <w:t>effectué</w:t>
      </w:r>
      <w:r w:rsidR="002062D6">
        <w:rPr>
          <w:bCs/>
          <w:lang w:val="fr-CH"/>
        </w:rPr>
        <w:t xml:space="preserve"> aucune nouvelle étude</w:t>
      </w:r>
      <w:r w:rsidR="00DF1749">
        <w:rPr>
          <w:bCs/>
          <w:lang w:val="fr-CH"/>
        </w:rPr>
        <w:t xml:space="preserve"> pour</w:t>
      </w:r>
      <w:r w:rsidR="002062D6">
        <w:rPr>
          <w:bCs/>
          <w:lang w:val="fr-CH"/>
        </w:rPr>
        <w:t xml:space="preserve"> démontr</w:t>
      </w:r>
      <w:r w:rsidR="00DF1749">
        <w:rPr>
          <w:bCs/>
          <w:lang w:val="fr-CH"/>
        </w:rPr>
        <w:t>er</w:t>
      </w:r>
      <w:r w:rsidR="002062D6">
        <w:rPr>
          <w:bCs/>
          <w:lang w:val="fr-CH"/>
        </w:rPr>
        <w:t xml:space="preserve"> la compatibilité entre les IMT et les services existants dans cette gamme de fréquences depuis l’adoption du Rapport UIT–R </w:t>
      </w:r>
      <w:r w:rsidR="00BC7943" w:rsidRPr="002062D6">
        <w:rPr>
          <w:bCs/>
          <w:lang w:val="fr-CH"/>
        </w:rPr>
        <w:t xml:space="preserve">M.2110 </w:t>
      </w:r>
      <w:r w:rsidR="002062D6">
        <w:rPr>
          <w:bCs/>
          <w:lang w:val="fr-CH"/>
        </w:rPr>
        <w:t xml:space="preserve">qui ne concernait que la gamme de fréquences </w:t>
      </w:r>
      <w:r w:rsidR="00BC7943" w:rsidRPr="002062D6">
        <w:rPr>
          <w:bCs/>
          <w:lang w:val="fr-CH"/>
        </w:rPr>
        <w:t>420-450 MHz</w:t>
      </w:r>
      <w:r w:rsidR="002062D6">
        <w:rPr>
          <w:bCs/>
          <w:lang w:val="fr-CH"/>
        </w:rPr>
        <w:t xml:space="preserve"> pour ce qui est de la compatibilité avec la bande adjacente.</w:t>
      </w:r>
    </w:p>
    <w:p w:rsidR="00BC7943" w:rsidRPr="001C788B" w:rsidRDefault="002062D6" w:rsidP="00DF1749">
      <w:pPr>
        <w:rPr>
          <w:bCs/>
          <w:lang w:val="fr-CH"/>
        </w:rPr>
      </w:pPr>
      <w:r w:rsidRPr="002062D6">
        <w:rPr>
          <w:bCs/>
          <w:lang w:val="fr-CH"/>
        </w:rPr>
        <w:t xml:space="preserve">Conformément au numéro </w:t>
      </w:r>
      <w:r w:rsidR="00BC7943" w:rsidRPr="002062D6">
        <w:rPr>
          <w:bCs/>
          <w:lang w:val="fr-CH"/>
        </w:rPr>
        <w:t>5.269</w:t>
      </w:r>
      <w:r w:rsidRPr="002062D6">
        <w:rPr>
          <w:bCs/>
          <w:lang w:val="fr-CH"/>
        </w:rPr>
        <w:t xml:space="preserve"> les bandes </w:t>
      </w:r>
      <w:r w:rsidR="00BC7943" w:rsidRPr="002062D6">
        <w:rPr>
          <w:bCs/>
          <w:lang w:val="fr-CH"/>
        </w:rPr>
        <w:t xml:space="preserve">420-430 MHz </w:t>
      </w:r>
      <w:r w:rsidRPr="002062D6">
        <w:rPr>
          <w:bCs/>
          <w:lang w:val="fr-CH"/>
        </w:rPr>
        <w:t>et</w:t>
      </w:r>
      <w:r w:rsidR="00BC7943" w:rsidRPr="002062D6">
        <w:rPr>
          <w:bCs/>
          <w:lang w:val="fr-CH"/>
        </w:rPr>
        <w:t xml:space="preserve"> 440-450 MHz </w:t>
      </w:r>
      <w:r w:rsidRPr="002062D6">
        <w:rPr>
          <w:bCs/>
          <w:lang w:val="fr-CH"/>
        </w:rPr>
        <w:t xml:space="preserve">sont attribuées au service de radiolocalisation à titre primaire </w:t>
      </w:r>
      <w:r>
        <w:rPr>
          <w:bCs/>
          <w:lang w:val="fr-CH"/>
        </w:rPr>
        <w:t xml:space="preserve">dans un certain nombre de pays. </w:t>
      </w:r>
      <w:r w:rsidRPr="001C788B">
        <w:rPr>
          <w:bCs/>
          <w:lang w:val="fr-CH"/>
        </w:rPr>
        <w:t>Conformément à l’</w:t>
      </w:r>
      <w:r w:rsidR="001C788B">
        <w:rPr>
          <w:bCs/>
          <w:lang w:val="fr-CH"/>
        </w:rPr>
        <w:t>Article 5, les</w:t>
      </w:r>
      <w:r w:rsidRPr="001C788B">
        <w:rPr>
          <w:bCs/>
          <w:lang w:val="fr-CH"/>
        </w:rPr>
        <w:t xml:space="preserve"> bande</w:t>
      </w:r>
      <w:r w:rsidR="001C788B">
        <w:rPr>
          <w:bCs/>
          <w:lang w:val="fr-CH"/>
        </w:rPr>
        <w:t>s</w:t>
      </w:r>
      <w:r w:rsidRPr="001C788B">
        <w:rPr>
          <w:bCs/>
          <w:lang w:val="fr-CH"/>
        </w:rPr>
        <w:t xml:space="preserve"> </w:t>
      </w:r>
      <w:r w:rsidR="00BC7943" w:rsidRPr="001C788B">
        <w:rPr>
          <w:bCs/>
          <w:lang w:val="fr-CH"/>
        </w:rPr>
        <w:t xml:space="preserve">430-440 MHz </w:t>
      </w:r>
      <w:r w:rsidR="001C788B">
        <w:rPr>
          <w:bCs/>
          <w:lang w:val="fr-CH"/>
        </w:rPr>
        <w:t>sont</w:t>
      </w:r>
      <w:r w:rsidR="001C788B" w:rsidRPr="001C788B">
        <w:rPr>
          <w:bCs/>
          <w:lang w:val="fr-CH"/>
        </w:rPr>
        <w:t xml:space="preserve"> attribuée</w:t>
      </w:r>
      <w:r w:rsidR="001C788B">
        <w:rPr>
          <w:bCs/>
          <w:lang w:val="fr-CH"/>
        </w:rPr>
        <w:t>s</w:t>
      </w:r>
      <w:r w:rsidR="001C788B" w:rsidRPr="001C788B">
        <w:rPr>
          <w:bCs/>
          <w:lang w:val="fr-CH"/>
        </w:rPr>
        <w:t xml:space="preserve"> au service de radiolocalisation à titre primaire à l’</w:t>
      </w:r>
      <w:r w:rsidR="001C788B">
        <w:rPr>
          <w:bCs/>
          <w:lang w:val="fr-CH"/>
        </w:rPr>
        <w:t>échelle mondiale</w:t>
      </w:r>
      <w:r w:rsidR="00BC7943" w:rsidRPr="001C788B">
        <w:rPr>
          <w:bCs/>
          <w:lang w:val="fr-CH"/>
        </w:rPr>
        <w:t>.</w:t>
      </w:r>
      <w:r w:rsidR="001C788B" w:rsidRPr="001C788B">
        <w:rPr>
          <w:bCs/>
          <w:lang w:val="fr-CH"/>
        </w:rPr>
        <w:t xml:space="preserve"> Les bandes </w:t>
      </w:r>
      <w:r w:rsidR="00BC7943" w:rsidRPr="001C788B">
        <w:rPr>
          <w:bCs/>
          <w:lang w:val="fr-CH"/>
        </w:rPr>
        <w:t>420-450 MHz</w:t>
      </w:r>
      <w:r w:rsidR="001C788B" w:rsidRPr="001C788B">
        <w:rPr>
          <w:bCs/>
          <w:lang w:val="fr-CH"/>
        </w:rPr>
        <w:t xml:space="preserve"> sont utilisées dans certains pays pour les radars de forte puissance </w:t>
      </w:r>
      <w:r w:rsidR="001C788B">
        <w:rPr>
          <w:bCs/>
          <w:lang w:val="fr-CH"/>
        </w:rPr>
        <w:t xml:space="preserve">qui détectent et poursuivent les satellites en orbite terrestre et les débris spatiaux. </w:t>
      </w:r>
      <w:r w:rsidR="001C788B" w:rsidRPr="001C788B">
        <w:rPr>
          <w:bCs/>
          <w:lang w:val="fr-CH"/>
        </w:rPr>
        <w:t>Ces radars facilitaient également la détection d’éventuels débris dans l’espace qui pourraient endommager la station spatiale internationale.</w:t>
      </w:r>
    </w:p>
    <w:p w:rsidR="00BC7943" w:rsidRPr="001C788B" w:rsidRDefault="001C788B" w:rsidP="005A54E6">
      <w:pPr>
        <w:rPr>
          <w:bCs/>
          <w:lang w:val="fr-CH"/>
        </w:rPr>
      </w:pPr>
      <w:r w:rsidRPr="001C788B">
        <w:rPr>
          <w:bCs/>
          <w:lang w:val="fr-CH"/>
        </w:rPr>
        <w:lastRenderedPageBreak/>
        <w:t xml:space="preserve">Actuellement, la bande de fréquences </w:t>
      </w:r>
      <w:r w:rsidR="00BC7943" w:rsidRPr="001C788B">
        <w:rPr>
          <w:bCs/>
          <w:lang w:val="fr-CH"/>
        </w:rPr>
        <w:t xml:space="preserve">410-450 MHz </w:t>
      </w:r>
      <w:r w:rsidRPr="001C788B">
        <w:rPr>
          <w:bCs/>
          <w:lang w:val="fr-CH"/>
        </w:rPr>
        <w:t xml:space="preserve">est largement utilisée dans certains pays par divers systèmes de radiocommunication fixes ou mobiles appartenant à des organismes publics ou à des utilisateurs privés </w:t>
      </w:r>
      <w:r>
        <w:rPr>
          <w:bCs/>
          <w:lang w:val="fr-CH"/>
        </w:rPr>
        <w:t xml:space="preserve">ainsi que par des systèmes utilisés pour des </w:t>
      </w:r>
      <w:r w:rsidR="005A54E6">
        <w:rPr>
          <w:bCs/>
          <w:lang w:val="fr-CH"/>
        </w:rPr>
        <w:t>systèmes</w:t>
      </w:r>
      <w:r>
        <w:rPr>
          <w:bCs/>
          <w:lang w:val="fr-CH"/>
        </w:rPr>
        <w:t xml:space="preserve"> de radiocommunication commerciaux à bande étroite ou à ressources partagées.</w:t>
      </w:r>
      <w:r w:rsidR="00BC7943" w:rsidRPr="001C788B">
        <w:rPr>
          <w:bCs/>
          <w:lang w:val="fr-CH"/>
        </w:rPr>
        <w:t xml:space="preserve"> </w:t>
      </w:r>
    </w:p>
    <w:p w:rsidR="00BC7943" w:rsidRPr="001C788B" w:rsidRDefault="001C788B" w:rsidP="005A54E6">
      <w:pPr>
        <w:rPr>
          <w:lang w:val="fr-CH"/>
        </w:rPr>
      </w:pPr>
      <w:r w:rsidRPr="001C788B">
        <w:rPr>
          <w:bCs/>
          <w:lang w:val="fr-CH"/>
        </w:rPr>
        <w:t xml:space="preserve">La bande de fréquences </w:t>
      </w:r>
      <w:r w:rsidR="00BC7943" w:rsidRPr="001C788B">
        <w:rPr>
          <w:bCs/>
          <w:lang w:val="fr-CH"/>
        </w:rPr>
        <w:t>410-430 MHz</w:t>
      </w:r>
      <w:r w:rsidRPr="001C788B">
        <w:rPr>
          <w:bCs/>
          <w:lang w:val="fr-CH"/>
        </w:rPr>
        <w:t xml:space="preserve"> a été identifiée dans certains pays comme une des bandes de remplacement possibles pour </w:t>
      </w:r>
      <w:r w:rsidR="005A54E6">
        <w:rPr>
          <w:bCs/>
          <w:lang w:val="fr-CH"/>
        </w:rPr>
        <w:t xml:space="preserve">déplacer </w:t>
      </w:r>
      <w:r w:rsidRPr="001C788B">
        <w:rPr>
          <w:bCs/>
          <w:lang w:val="fr-CH"/>
        </w:rPr>
        <w:t xml:space="preserve">l’exploitation des systèmes commerciaux et officiels </w:t>
      </w:r>
      <w:r>
        <w:rPr>
          <w:bCs/>
          <w:lang w:val="fr-CH"/>
        </w:rPr>
        <w:t>utilisés pour les systèmes de radiocommunication à bande étroite ou à ressources partagées</w:t>
      </w:r>
      <w:r w:rsidR="005A54E6">
        <w:rPr>
          <w:bCs/>
          <w:lang w:val="fr-CH"/>
        </w:rPr>
        <w:t>, des segments</w:t>
      </w:r>
      <w:r w:rsidR="00BC7943" w:rsidRPr="001C788B">
        <w:rPr>
          <w:bCs/>
          <w:lang w:val="fr-CH"/>
        </w:rPr>
        <w:t xml:space="preserve"> 806-821/851-866 MHz</w:t>
      </w:r>
      <w:r>
        <w:rPr>
          <w:bCs/>
          <w:lang w:val="fr-CH"/>
        </w:rPr>
        <w:t xml:space="preserve"> qui font partie de la bande </w:t>
      </w:r>
      <w:r w:rsidR="00BC7943" w:rsidRPr="001C788B">
        <w:rPr>
          <w:lang w:val="fr-CH"/>
        </w:rPr>
        <w:t>698-960 MHz</w:t>
      </w:r>
      <w:r>
        <w:rPr>
          <w:lang w:val="fr-CH"/>
        </w:rPr>
        <w:t xml:space="preserve"> identifiée pour les </w:t>
      </w:r>
      <w:r w:rsidR="00BC7943" w:rsidRPr="001C788B">
        <w:rPr>
          <w:lang w:val="fr-CH"/>
        </w:rPr>
        <w:t>IMT.</w:t>
      </w:r>
    </w:p>
    <w:p w:rsidR="00BC7943" w:rsidRPr="00DC4F00" w:rsidRDefault="001C788B" w:rsidP="005A54E6">
      <w:pPr>
        <w:rPr>
          <w:lang w:val="fr-CH"/>
        </w:rPr>
      </w:pPr>
      <w:r w:rsidRPr="001C788B">
        <w:rPr>
          <w:lang w:val="fr-CH"/>
        </w:rPr>
        <w:t xml:space="preserve">Le Rapport UIT–R </w:t>
      </w:r>
      <w:r w:rsidR="00BC7943" w:rsidRPr="001C788B">
        <w:rPr>
          <w:lang w:val="fr-CH"/>
        </w:rPr>
        <w:t xml:space="preserve">M. 2110 </w:t>
      </w:r>
      <w:r w:rsidR="005A54E6">
        <w:rPr>
          <w:lang w:val="fr-CH"/>
        </w:rPr>
        <w:t>a</w:t>
      </w:r>
      <w:r w:rsidRPr="001C788B">
        <w:rPr>
          <w:lang w:val="fr-CH"/>
        </w:rPr>
        <w:t xml:space="preserve"> évalu</w:t>
      </w:r>
      <w:r w:rsidR="005A54E6">
        <w:rPr>
          <w:lang w:val="fr-CH"/>
        </w:rPr>
        <w:t>é</w:t>
      </w:r>
      <w:r w:rsidRPr="001C788B">
        <w:rPr>
          <w:lang w:val="fr-CH"/>
        </w:rPr>
        <w:t xml:space="preserve"> les possibilités de partage entre un système IMT </w:t>
      </w:r>
      <w:r w:rsidR="00BC7943" w:rsidRPr="001C788B">
        <w:rPr>
          <w:lang w:val="fr-CH"/>
        </w:rPr>
        <w:t xml:space="preserve">-2000 </w:t>
      </w:r>
      <w:r w:rsidRPr="001C788B">
        <w:rPr>
          <w:lang w:val="fr-CH"/>
        </w:rPr>
        <w:t xml:space="preserve">fonctionnant dans la bande </w:t>
      </w:r>
      <w:r w:rsidR="00BC7943" w:rsidRPr="001C788B">
        <w:rPr>
          <w:lang w:val="fr-CH"/>
        </w:rPr>
        <w:t>450-470 MHz</w:t>
      </w:r>
      <w:r>
        <w:rPr>
          <w:lang w:val="fr-CH"/>
        </w:rPr>
        <w:t xml:space="preserve"> et les services de radiocommunication ayant une attribution à titre primaire, conformément à l’Article 5 du Règlement des radiocommunications, dans cette bande et dans les bandes adjacentes </w:t>
      </w:r>
      <w:r w:rsidR="00BC7943" w:rsidRPr="001C788B">
        <w:rPr>
          <w:lang w:val="fr-CH"/>
        </w:rPr>
        <w:t xml:space="preserve">420-450 MHz </w:t>
      </w:r>
      <w:r>
        <w:rPr>
          <w:lang w:val="fr-CH"/>
        </w:rPr>
        <w:t>et</w:t>
      </w:r>
      <w:r w:rsidR="00BC7943" w:rsidRPr="001C788B">
        <w:rPr>
          <w:lang w:val="fr-CH"/>
        </w:rPr>
        <w:t xml:space="preserve"> 470-480 MHz</w:t>
      </w:r>
      <w:r>
        <w:rPr>
          <w:lang w:val="fr-CH"/>
        </w:rPr>
        <w:t xml:space="preserve">. </w:t>
      </w:r>
      <w:r w:rsidRPr="001C788B">
        <w:rPr>
          <w:lang w:val="fr-CH"/>
        </w:rPr>
        <w:t>Les résultats montrent que</w:t>
      </w:r>
      <w:r w:rsidR="005A54E6">
        <w:rPr>
          <w:lang w:val="fr-CH"/>
        </w:rPr>
        <w:t>,</w:t>
      </w:r>
      <w:r w:rsidRPr="001C788B">
        <w:rPr>
          <w:lang w:val="fr-CH"/>
        </w:rPr>
        <w:t xml:space="preserve"> dans la plupart des cas, le partage entre les stations mobiles/de base </w:t>
      </w:r>
      <w:r w:rsidR="00BC7943" w:rsidRPr="001C788B">
        <w:rPr>
          <w:lang w:val="fr-CH"/>
        </w:rPr>
        <w:t xml:space="preserve">IMT-2000 </w:t>
      </w:r>
      <w:r>
        <w:rPr>
          <w:lang w:val="fr-CH"/>
        </w:rPr>
        <w:t>et les divers types de radars, en cas d’exploitation dans des bandes de fréquences adjacentes, n’est pas possible si des techniques d’atténuation des brouillages ne sont pas utilisées.</w:t>
      </w:r>
      <w:r w:rsidR="00DC4F00">
        <w:rPr>
          <w:lang w:val="fr-CH"/>
        </w:rPr>
        <w:t xml:space="preserve"> </w:t>
      </w:r>
      <w:r w:rsidR="00DC4F00" w:rsidRPr="00DC4F00">
        <w:rPr>
          <w:lang w:val="fr-CH"/>
        </w:rPr>
        <w:t xml:space="preserve">En se fondant sur le Rapport UIT–R </w:t>
      </w:r>
      <w:r w:rsidR="00BC7943" w:rsidRPr="00DC4F00">
        <w:rPr>
          <w:lang w:val="fr-CH"/>
        </w:rPr>
        <w:t xml:space="preserve">M.2110, </w:t>
      </w:r>
      <w:r w:rsidR="00DC4F00" w:rsidRPr="00DC4F00">
        <w:rPr>
          <w:lang w:val="fr-CH"/>
        </w:rPr>
        <w:t>il est logique de conclure que le partage cofréquence</w:t>
      </w:r>
      <w:r w:rsidR="00DC4F00">
        <w:rPr>
          <w:lang w:val="fr-CH"/>
        </w:rPr>
        <w:t xml:space="preserve"> entre les IMT et le service de radiolocalisation dans la bande </w:t>
      </w:r>
      <w:r w:rsidR="00BC7943" w:rsidRPr="00DC4F00">
        <w:rPr>
          <w:lang w:val="fr-CH"/>
        </w:rPr>
        <w:t xml:space="preserve">420-450 MHz </w:t>
      </w:r>
      <w:r w:rsidR="00DC4F00">
        <w:rPr>
          <w:lang w:val="fr-CH"/>
        </w:rPr>
        <w:t>n’est pas possible.</w:t>
      </w:r>
    </w:p>
    <w:p w:rsidR="00BC7943" w:rsidRPr="00DC4F00" w:rsidRDefault="00DC4F00" w:rsidP="005A54E6">
      <w:pPr>
        <w:rPr>
          <w:lang w:val="fr-CH"/>
        </w:rPr>
      </w:pPr>
      <w:r w:rsidRPr="00DC4F00">
        <w:rPr>
          <w:lang w:val="fr-CH"/>
        </w:rPr>
        <w:t>Il importe de souligner que dans la dernière version du projet de texte pour la Réunion de préparation à la C</w:t>
      </w:r>
      <w:r w:rsidR="005A54E6">
        <w:rPr>
          <w:lang w:val="fr-CH"/>
        </w:rPr>
        <w:t>onférence</w:t>
      </w:r>
      <w:r w:rsidRPr="00DC4F00">
        <w:rPr>
          <w:lang w:val="fr-CH"/>
        </w:rPr>
        <w:t xml:space="preserve">, publiée dans le rapport </w:t>
      </w:r>
      <w:r w:rsidR="005A54E6">
        <w:rPr>
          <w:lang w:val="fr-CH"/>
        </w:rPr>
        <w:t>sur</w:t>
      </w:r>
      <w:r w:rsidRPr="00DC4F00">
        <w:rPr>
          <w:lang w:val="fr-CH"/>
        </w:rPr>
        <w:t xml:space="preserve"> la dernière réunion de travail du Groupe d’</w:t>
      </w:r>
      <w:r>
        <w:rPr>
          <w:lang w:val="fr-CH"/>
        </w:rPr>
        <w:t xml:space="preserve">action mixte </w:t>
      </w:r>
      <w:r w:rsidR="00BC7943" w:rsidRPr="00DC4F00">
        <w:rPr>
          <w:lang w:val="fr-CH"/>
        </w:rPr>
        <w:t xml:space="preserve">4-5-6-7, </w:t>
      </w:r>
      <w:r>
        <w:rPr>
          <w:lang w:val="fr-CH"/>
        </w:rPr>
        <w:t>la bande de fréquences</w:t>
      </w:r>
      <w:r w:rsidR="00BC7943" w:rsidRPr="00DC4F00">
        <w:rPr>
          <w:lang w:val="fr-CH"/>
        </w:rPr>
        <w:t xml:space="preserve"> 410</w:t>
      </w:r>
      <w:r w:rsidR="00BC7943" w:rsidRPr="00DC4F00">
        <w:rPr>
          <w:lang w:val="fr-CH"/>
        </w:rPr>
        <w:noBreakHyphen/>
        <w:t xml:space="preserve">450 MHz </w:t>
      </w:r>
      <w:r>
        <w:rPr>
          <w:lang w:val="fr-CH"/>
        </w:rPr>
        <w:t>ou des parties de cette bande ne sont pas considérées comme des gammes de fréquences appropriées qui pourraient être identifiées pour les IMT</w:t>
      </w:r>
      <w:r w:rsidR="00BC7943" w:rsidRPr="00DC4F00">
        <w:rPr>
          <w:lang w:val="fr-CH"/>
        </w:rPr>
        <w:t xml:space="preserve">. </w:t>
      </w:r>
      <w:r w:rsidRPr="00DC4F00">
        <w:rPr>
          <w:lang w:val="fr-CH"/>
        </w:rPr>
        <w:t xml:space="preserve">Les bandes de fréquences qui sont incluses ont été fournies par l’UIT–R </w:t>
      </w:r>
      <w:r>
        <w:rPr>
          <w:lang w:val="fr-CH"/>
        </w:rPr>
        <w:t>après avoir été proposé</w:t>
      </w:r>
      <w:r w:rsidR="005A54E6">
        <w:rPr>
          <w:lang w:val="fr-CH"/>
        </w:rPr>
        <w:t>es</w:t>
      </w:r>
      <w:r>
        <w:rPr>
          <w:lang w:val="fr-CH"/>
        </w:rPr>
        <w:t xml:space="preserve"> par une ou plusieurs administrations</w:t>
      </w:r>
      <w:r w:rsidR="005A54E6">
        <w:rPr>
          <w:lang w:val="fr-CH"/>
        </w:rPr>
        <w:t xml:space="preserve"> et examinées par</w:t>
      </w:r>
      <w:r>
        <w:rPr>
          <w:lang w:val="fr-CH"/>
        </w:rPr>
        <w:t xml:space="preserve"> les groupes de travail du Secteur des radiocommunications.</w:t>
      </w:r>
    </w:p>
    <w:p w:rsidR="00BC7943" w:rsidRPr="00DC4F00" w:rsidRDefault="00DC4F00" w:rsidP="005A54E6">
      <w:pPr>
        <w:rPr>
          <w:lang w:val="fr-CH"/>
        </w:rPr>
      </w:pPr>
      <w:r>
        <w:rPr>
          <w:lang w:val="fr-CH"/>
        </w:rPr>
        <w:t>A</w:t>
      </w:r>
      <w:r w:rsidRPr="00DC4F00">
        <w:rPr>
          <w:lang w:val="fr-CH"/>
        </w:rPr>
        <w:t xml:space="preserve">u vu de ce qui précède, il est proposé que la bande </w:t>
      </w:r>
      <w:r w:rsidR="00BC7943" w:rsidRPr="00DC4F00">
        <w:rPr>
          <w:lang w:val="fr-CH"/>
        </w:rPr>
        <w:t xml:space="preserve">410-450 MHz </w:t>
      </w:r>
      <w:r w:rsidRPr="00DC4F00">
        <w:rPr>
          <w:lang w:val="fr-CH"/>
        </w:rPr>
        <w:t>ne soit pas identifiée comme une bande po</w:t>
      </w:r>
      <w:r w:rsidR="0097174A">
        <w:rPr>
          <w:lang w:val="fr-CH"/>
        </w:rPr>
        <w:t>ur les IMT au titre du point 1.</w:t>
      </w:r>
      <w:r w:rsidRPr="00DC4F00">
        <w:rPr>
          <w:lang w:val="fr-CH"/>
        </w:rPr>
        <w:t>1 de l’ordre du jo</w:t>
      </w:r>
      <w:r w:rsidR="0097174A">
        <w:rPr>
          <w:lang w:val="fr-CH"/>
        </w:rPr>
        <w:t>ur de la CMR–15 car cette bande</w:t>
      </w:r>
      <w:r w:rsidRPr="00DC4F00">
        <w:rPr>
          <w:lang w:val="fr-CH"/>
        </w:rPr>
        <w:t xml:space="preserve"> n’est pas considéré</w:t>
      </w:r>
      <w:r w:rsidR="005A54E6">
        <w:rPr>
          <w:lang w:val="fr-CH"/>
        </w:rPr>
        <w:t>e</w:t>
      </w:r>
      <w:r w:rsidRPr="00DC4F00">
        <w:rPr>
          <w:lang w:val="fr-CH"/>
        </w:rPr>
        <w:t xml:space="preserve"> par l’UIT–R comme une des gammes de fréquences appropriées </w:t>
      </w:r>
      <w:r>
        <w:rPr>
          <w:lang w:val="fr-CH"/>
        </w:rPr>
        <w:t xml:space="preserve">qui pourraient être identifiées pour les IMT. </w:t>
      </w:r>
      <w:r w:rsidR="005A54E6">
        <w:rPr>
          <w:lang w:val="fr-CH"/>
        </w:rPr>
        <w:t>En outre, cette bande sera</w:t>
      </w:r>
      <w:r w:rsidRPr="00DC4F00">
        <w:rPr>
          <w:lang w:val="fr-CH"/>
        </w:rPr>
        <w:t xml:space="preserve"> utilisée par certaines administrations pour l’exploitation de systèmes qui fonctionnaient dans d’autres bandes qui ont déjà été identifiées pour les IMT.</w:t>
      </w:r>
    </w:p>
    <w:p w:rsidR="00BC7943" w:rsidRPr="008E23EF" w:rsidRDefault="00BC7943" w:rsidP="00DF1749">
      <w:pPr>
        <w:pStyle w:val="Headingb"/>
        <w:rPr>
          <w:lang w:val="fr-CH"/>
        </w:rPr>
      </w:pPr>
      <w:r w:rsidRPr="008E23EF">
        <w:rPr>
          <w:lang w:val="fr-CH"/>
        </w:rPr>
        <w:t>Propos</w:t>
      </w:r>
      <w:r w:rsidR="00DC4F00">
        <w:rPr>
          <w:lang w:val="fr-CH"/>
        </w:rPr>
        <w:t>itions</w:t>
      </w:r>
    </w:p>
    <w:p w:rsidR="004A6A8C" w:rsidRDefault="004F37A2" w:rsidP="00DF1749">
      <w:pPr>
        <w:pStyle w:val="ArtNo"/>
      </w:pPr>
      <w:r>
        <w:t xml:space="preserve">ARTICLE </w:t>
      </w:r>
      <w:r>
        <w:rPr>
          <w:rStyle w:val="href"/>
          <w:color w:val="000000"/>
        </w:rPr>
        <w:t>5</w:t>
      </w:r>
    </w:p>
    <w:p w:rsidR="004A6A8C" w:rsidRDefault="004F37A2" w:rsidP="00DF174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4F37A2" w:rsidP="00DF1749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260AE5">
        <w:t>(Voir le numéro 2.1)</w:t>
      </w:r>
      <w:r>
        <w:rPr>
          <w:b w:val="0"/>
          <w:color w:val="000000"/>
        </w:rPr>
        <w:br/>
      </w:r>
      <w:r>
        <w:rPr>
          <w:b w:val="0"/>
          <w:color w:val="000000"/>
        </w:rPr>
        <w:lastRenderedPageBreak/>
        <w:br/>
      </w:r>
    </w:p>
    <w:p w:rsidR="001A152B" w:rsidRDefault="004F37A2" w:rsidP="00DF1749">
      <w:pPr>
        <w:pStyle w:val="Proposal"/>
      </w:pPr>
      <w:r>
        <w:rPr>
          <w:u w:val="single"/>
        </w:rPr>
        <w:t>NOC</w:t>
      </w:r>
      <w:r w:rsidR="00BC7943">
        <w:tab/>
        <w:t>IAP/7A1</w:t>
      </w:r>
      <w:r>
        <w:t>/1</w:t>
      </w:r>
    </w:p>
    <w:p w:rsidR="004A6A8C" w:rsidRDefault="004F37A2" w:rsidP="00DF1749">
      <w:pPr>
        <w:pStyle w:val="Tabletitle"/>
      </w:pPr>
      <w:r>
        <w:t>410-460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4A6A8C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4F37A2" w:rsidP="00DF174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4A6A8C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4F37A2" w:rsidP="00DF174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4F37A2" w:rsidP="00DF174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4F37A2" w:rsidP="00DF174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4A6A8C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4F37A2" w:rsidP="00DF1749">
            <w:pPr>
              <w:pStyle w:val="TableTextS5"/>
              <w:spacing w:before="30" w:after="30"/>
              <w:rPr>
                <w:color w:val="000000"/>
              </w:rPr>
            </w:pPr>
            <w:r w:rsidRPr="0046453D">
              <w:rPr>
                <w:rStyle w:val="Tablefreq"/>
              </w:rPr>
              <w:t>410-420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</w:t>
            </w:r>
          </w:p>
          <w:p w:rsidR="004A6A8C" w:rsidRDefault="004F37A2" w:rsidP="00DF1749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MOBILE sauf mobile aéronautique</w:t>
            </w:r>
          </w:p>
          <w:p w:rsidR="004A6A8C" w:rsidRDefault="004F37A2" w:rsidP="00DF1749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RECHERCHE SPATIALE (espace-espace)  </w:t>
            </w:r>
            <w:r>
              <w:rPr>
                <w:rStyle w:val="Artref"/>
                <w:color w:val="000000"/>
              </w:rPr>
              <w:t>5.268</w:t>
            </w:r>
          </w:p>
        </w:tc>
      </w:tr>
      <w:tr w:rsidR="004A6A8C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4F37A2" w:rsidP="00DF1749">
            <w:pPr>
              <w:pStyle w:val="TableTextS5"/>
              <w:spacing w:before="30" w:after="30"/>
              <w:rPr>
                <w:color w:val="000000"/>
              </w:rPr>
            </w:pPr>
            <w:r w:rsidRPr="0046453D">
              <w:rPr>
                <w:rStyle w:val="Tablefreq"/>
              </w:rPr>
              <w:t>420-430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</w:t>
            </w:r>
          </w:p>
          <w:p w:rsidR="004A6A8C" w:rsidRDefault="004F37A2" w:rsidP="00DF1749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MOBILE sauf mobile aéronautique</w:t>
            </w:r>
          </w:p>
          <w:p w:rsidR="004A6A8C" w:rsidRDefault="004F37A2" w:rsidP="00DF1749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lang w:val="fr-CH"/>
              </w:rPr>
              <w:t>Radiolocalisation</w:t>
            </w:r>
          </w:p>
          <w:p w:rsidR="004A6A8C" w:rsidRDefault="004F37A2" w:rsidP="00DF1749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rStyle w:val="Artref"/>
                <w:color w:val="000000"/>
                <w:lang w:val="fr-CH"/>
              </w:rPr>
              <w:t>5.269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5.270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5.271</w:t>
            </w:r>
          </w:p>
        </w:tc>
      </w:tr>
      <w:tr w:rsidR="004A6A8C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Pr="0046453D" w:rsidRDefault="004F37A2" w:rsidP="00DF1749">
            <w:pPr>
              <w:pStyle w:val="TableTextS5"/>
              <w:spacing w:before="30" w:after="30"/>
              <w:rPr>
                <w:rStyle w:val="Tablefreq"/>
              </w:rPr>
            </w:pPr>
            <w:r w:rsidRPr="0046453D">
              <w:rPr>
                <w:rStyle w:val="Tablefreq"/>
              </w:rPr>
              <w:t>430-432</w:t>
            </w:r>
          </w:p>
          <w:p w:rsidR="004A6A8C" w:rsidRDefault="004F37A2" w:rsidP="00DF1749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AMATEUR</w:t>
            </w:r>
          </w:p>
          <w:p w:rsidR="004A6A8C" w:rsidRDefault="004F37A2" w:rsidP="00DF1749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  <w:lang w:val="fr-CH"/>
              </w:rPr>
              <w:t>RADIOLOCALISATION</w:t>
            </w:r>
          </w:p>
        </w:tc>
        <w:tc>
          <w:tcPr>
            <w:tcW w:w="62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Pr="0046453D" w:rsidRDefault="004F37A2" w:rsidP="00DF1749">
            <w:pPr>
              <w:pStyle w:val="TableTextS5"/>
              <w:spacing w:before="30" w:after="30"/>
              <w:rPr>
                <w:rStyle w:val="Tablefreq"/>
              </w:rPr>
            </w:pPr>
            <w:r w:rsidRPr="0046453D">
              <w:rPr>
                <w:rStyle w:val="Tablefreq"/>
              </w:rPr>
              <w:t>430-432</w:t>
            </w:r>
          </w:p>
          <w:p w:rsidR="004A6A8C" w:rsidRDefault="004F37A2" w:rsidP="00DF1749">
            <w:pPr>
              <w:pStyle w:val="TableTextS5"/>
              <w:tabs>
                <w:tab w:val="clear" w:pos="170"/>
                <w:tab w:val="clear" w:pos="737"/>
                <w:tab w:val="clear" w:pos="2977"/>
                <w:tab w:val="clear" w:pos="3266"/>
              </w:tabs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  <w:t>RADIOLOCALISATION</w:t>
            </w:r>
          </w:p>
          <w:p w:rsidR="004A6A8C" w:rsidRDefault="004F37A2" w:rsidP="00DF1749">
            <w:pPr>
              <w:pStyle w:val="TableTextS5"/>
              <w:tabs>
                <w:tab w:val="clear" w:pos="170"/>
                <w:tab w:val="clear" w:pos="737"/>
              </w:tabs>
              <w:spacing w:before="30" w:after="30"/>
              <w:rPr>
                <w:color w:val="000000"/>
              </w:rPr>
            </w:pPr>
            <w:r>
              <w:rPr>
                <w:color w:val="000000"/>
                <w:lang w:val="fr-CH"/>
              </w:rPr>
              <w:tab/>
              <w:t>Amateur</w:t>
            </w:r>
          </w:p>
        </w:tc>
      </w:tr>
      <w:tr w:rsidR="004A6A8C" w:rsidTr="00D94B99">
        <w:trPr>
          <w:cantSplit/>
          <w:jc w:val="center"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4F37A2" w:rsidP="00DF1749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rStyle w:val="Artref"/>
                <w:color w:val="000000"/>
                <w:lang w:val="fr-CH"/>
              </w:rPr>
              <w:t>5.271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5.272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5.273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5.274</w:t>
            </w:r>
            <w:r>
              <w:rPr>
                <w:rStyle w:val="Artref"/>
                <w:color w:val="000000"/>
                <w:lang w:val="fr-CH"/>
              </w:rPr>
              <w:br/>
              <w:t>5.275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5.276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5.277</w:t>
            </w:r>
          </w:p>
        </w:tc>
        <w:tc>
          <w:tcPr>
            <w:tcW w:w="620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4F37A2" w:rsidP="00DF1749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rStyle w:val="Artref"/>
                <w:color w:val="000000"/>
                <w:lang w:val="fr-CH"/>
              </w:rPr>
              <w:t>5.271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5.276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5.278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5.279</w:t>
            </w:r>
          </w:p>
        </w:tc>
      </w:tr>
      <w:tr w:rsidR="004A6A8C" w:rsidTr="00D94B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bottom w:val="nil"/>
            </w:tcBorders>
          </w:tcPr>
          <w:p w:rsidR="004A6A8C" w:rsidRPr="0046453D" w:rsidRDefault="004F37A2" w:rsidP="00DF1749">
            <w:pPr>
              <w:pStyle w:val="TableTextS5"/>
              <w:spacing w:before="30" w:after="30"/>
              <w:rPr>
                <w:rStyle w:val="Tablefreq"/>
              </w:rPr>
            </w:pPr>
            <w:r w:rsidRPr="0046453D">
              <w:rPr>
                <w:rStyle w:val="Tablefreq"/>
              </w:rPr>
              <w:t>432-438</w:t>
            </w:r>
          </w:p>
          <w:p w:rsidR="004A6A8C" w:rsidRDefault="004F37A2" w:rsidP="00DF1749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AMATEUR</w:t>
            </w:r>
          </w:p>
          <w:p w:rsidR="004A6A8C" w:rsidRDefault="004F37A2" w:rsidP="00DF1749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RADIOLOCALISATION</w:t>
            </w:r>
          </w:p>
          <w:p w:rsidR="004A6A8C" w:rsidRDefault="004F37A2" w:rsidP="00DF1749">
            <w:pPr>
              <w:pStyle w:val="TableTextS5"/>
              <w:spacing w:before="30" w:after="30"/>
              <w:ind w:left="170" w:hanging="17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Exploration de la Terre par satellite</w:t>
            </w:r>
            <w:r>
              <w:rPr>
                <w:color w:val="000000"/>
                <w:lang w:val="fr-CH"/>
              </w:rPr>
              <w:br/>
              <w:t xml:space="preserve">(active)  </w:t>
            </w:r>
            <w:r>
              <w:rPr>
                <w:rStyle w:val="Artref"/>
                <w:color w:val="000000"/>
              </w:rPr>
              <w:t>5.279A</w:t>
            </w:r>
          </w:p>
        </w:tc>
        <w:tc>
          <w:tcPr>
            <w:tcW w:w="6203" w:type="dxa"/>
            <w:gridSpan w:val="2"/>
            <w:tcBorders>
              <w:bottom w:val="nil"/>
            </w:tcBorders>
          </w:tcPr>
          <w:p w:rsidR="004A6A8C" w:rsidRPr="0046453D" w:rsidRDefault="004F37A2" w:rsidP="00DF1749">
            <w:pPr>
              <w:pStyle w:val="TableTextS5"/>
              <w:spacing w:before="30" w:after="30"/>
              <w:rPr>
                <w:rStyle w:val="Tablefreq"/>
              </w:rPr>
            </w:pPr>
            <w:r w:rsidRPr="0046453D">
              <w:rPr>
                <w:rStyle w:val="Tablefreq"/>
              </w:rPr>
              <w:t>432-438</w:t>
            </w:r>
          </w:p>
          <w:p w:rsidR="004A6A8C" w:rsidRDefault="004F37A2" w:rsidP="00DF1749">
            <w:pPr>
              <w:pStyle w:val="TableTextS5"/>
              <w:tabs>
                <w:tab w:val="clear" w:pos="170"/>
                <w:tab w:val="clear" w:pos="737"/>
                <w:tab w:val="clear" w:pos="2977"/>
                <w:tab w:val="clear" w:pos="3266"/>
              </w:tabs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  <w:t>RADIOLOCALISATION</w:t>
            </w:r>
          </w:p>
          <w:p w:rsidR="004A6A8C" w:rsidRDefault="004F37A2" w:rsidP="00DF1749">
            <w:pPr>
              <w:pStyle w:val="TableTextS5"/>
              <w:tabs>
                <w:tab w:val="clear" w:pos="170"/>
                <w:tab w:val="clear" w:pos="737"/>
                <w:tab w:val="clear" w:pos="2977"/>
                <w:tab w:val="clear" w:pos="3266"/>
              </w:tabs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  <w:t>Amateur</w:t>
            </w:r>
          </w:p>
          <w:p w:rsidR="004A6A8C" w:rsidRDefault="004F37A2" w:rsidP="00DF1749">
            <w:pPr>
              <w:pStyle w:val="TableTextS5"/>
              <w:tabs>
                <w:tab w:val="clear" w:pos="170"/>
                <w:tab w:val="clear" w:pos="737"/>
              </w:tabs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  <w:t xml:space="preserve">Exploration de la Terre par satellite (active)  </w:t>
            </w:r>
            <w:r>
              <w:rPr>
                <w:rStyle w:val="Artref"/>
                <w:color w:val="000000"/>
              </w:rPr>
              <w:t>5.279A</w:t>
            </w:r>
          </w:p>
        </w:tc>
      </w:tr>
      <w:tr w:rsidR="004A6A8C" w:rsidTr="00D94B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top w:val="nil"/>
              <w:bottom w:val="single" w:sz="6" w:space="0" w:color="auto"/>
            </w:tcBorders>
          </w:tcPr>
          <w:p w:rsidR="004A6A8C" w:rsidRDefault="004F37A2" w:rsidP="00DF1749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rStyle w:val="Artref"/>
                <w:color w:val="000000"/>
                <w:lang w:val="fr-CH"/>
              </w:rPr>
              <w:t>5.138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5.271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5.272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5.276</w:t>
            </w:r>
            <w:r>
              <w:rPr>
                <w:rStyle w:val="Artref"/>
                <w:color w:val="000000"/>
                <w:lang w:val="fr-CH"/>
              </w:rPr>
              <w:br/>
              <w:t>5.277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5.280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5.281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5.282</w:t>
            </w:r>
          </w:p>
        </w:tc>
        <w:tc>
          <w:tcPr>
            <w:tcW w:w="6203" w:type="dxa"/>
            <w:gridSpan w:val="2"/>
            <w:tcBorders>
              <w:top w:val="nil"/>
              <w:bottom w:val="single" w:sz="6" w:space="0" w:color="auto"/>
            </w:tcBorders>
          </w:tcPr>
          <w:p w:rsidR="004A6A8C" w:rsidRDefault="004F37A2" w:rsidP="00DF1749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br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rStyle w:val="Artref"/>
                <w:color w:val="000000"/>
                <w:lang w:val="fr-CH"/>
              </w:rPr>
              <w:t>5.271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5.276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5.278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5.279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5.281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5.282</w:t>
            </w:r>
          </w:p>
        </w:tc>
      </w:tr>
      <w:tr w:rsidR="004A6A8C" w:rsidTr="00D94B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bottom w:val="nil"/>
            </w:tcBorders>
          </w:tcPr>
          <w:p w:rsidR="004A6A8C" w:rsidRPr="0046453D" w:rsidRDefault="004F37A2" w:rsidP="00DF1749">
            <w:pPr>
              <w:pStyle w:val="TableTextS5"/>
              <w:spacing w:before="30" w:after="30"/>
              <w:rPr>
                <w:rStyle w:val="Tablefreq"/>
              </w:rPr>
            </w:pPr>
            <w:r w:rsidRPr="0046453D">
              <w:rPr>
                <w:rStyle w:val="Tablefreq"/>
              </w:rPr>
              <w:t>438-440</w:t>
            </w:r>
          </w:p>
          <w:p w:rsidR="004A6A8C" w:rsidRDefault="004F37A2" w:rsidP="00DF1749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AMATEUR</w:t>
            </w:r>
          </w:p>
          <w:p w:rsidR="004A6A8C" w:rsidRDefault="004F37A2" w:rsidP="00DF1749">
            <w:pPr>
              <w:pStyle w:val="TableTextS5"/>
              <w:snapToGrid w:val="0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>RADIOLOCALISATION</w:t>
            </w:r>
          </w:p>
        </w:tc>
        <w:tc>
          <w:tcPr>
            <w:tcW w:w="6203" w:type="dxa"/>
            <w:gridSpan w:val="2"/>
            <w:tcBorders>
              <w:bottom w:val="nil"/>
            </w:tcBorders>
          </w:tcPr>
          <w:p w:rsidR="004A6A8C" w:rsidRPr="0046453D" w:rsidRDefault="004F37A2" w:rsidP="00DF1749">
            <w:pPr>
              <w:pStyle w:val="TableTextS5"/>
              <w:spacing w:before="30" w:after="30"/>
              <w:rPr>
                <w:rStyle w:val="Tablefreq"/>
              </w:rPr>
            </w:pPr>
            <w:r w:rsidRPr="0046453D">
              <w:rPr>
                <w:rStyle w:val="Tablefreq"/>
              </w:rPr>
              <w:t>438-440</w:t>
            </w:r>
          </w:p>
          <w:p w:rsidR="004A6A8C" w:rsidRDefault="004F37A2" w:rsidP="00DF1749">
            <w:pPr>
              <w:pStyle w:val="TableTextS5"/>
              <w:tabs>
                <w:tab w:val="clear" w:pos="170"/>
                <w:tab w:val="clear" w:pos="737"/>
                <w:tab w:val="clear" w:pos="2977"/>
                <w:tab w:val="clear" w:pos="3266"/>
              </w:tabs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  <w:t>RADIOLOCALISATION</w:t>
            </w:r>
          </w:p>
          <w:p w:rsidR="004A6A8C" w:rsidRDefault="004F37A2" w:rsidP="00DF1749">
            <w:pPr>
              <w:pStyle w:val="TableTextS5"/>
              <w:tabs>
                <w:tab w:val="clear" w:pos="170"/>
                <w:tab w:val="clear" w:pos="737"/>
              </w:tabs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  <w:t>Amateur</w:t>
            </w:r>
          </w:p>
        </w:tc>
      </w:tr>
      <w:tr w:rsidR="004A6A8C" w:rsidTr="00D94B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top w:val="nil"/>
            </w:tcBorders>
          </w:tcPr>
          <w:p w:rsidR="004A6A8C" w:rsidRDefault="004F37A2" w:rsidP="00DF1749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rStyle w:val="Artref"/>
                <w:color w:val="000000"/>
                <w:lang w:val="fr-CH"/>
              </w:rPr>
              <w:t>5.271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5.273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5.274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5.275</w:t>
            </w:r>
            <w:r>
              <w:rPr>
                <w:rStyle w:val="Artref"/>
                <w:color w:val="000000"/>
                <w:lang w:val="fr-CH"/>
              </w:rPr>
              <w:br/>
              <w:t>5.276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5.277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5.283</w:t>
            </w:r>
          </w:p>
        </w:tc>
        <w:tc>
          <w:tcPr>
            <w:tcW w:w="6203" w:type="dxa"/>
            <w:gridSpan w:val="2"/>
            <w:tcBorders>
              <w:top w:val="nil"/>
            </w:tcBorders>
          </w:tcPr>
          <w:p w:rsidR="004A6A8C" w:rsidRDefault="004F37A2" w:rsidP="00DF1749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br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rStyle w:val="Artref"/>
                <w:color w:val="000000"/>
                <w:lang w:val="fr-CH"/>
              </w:rPr>
              <w:t>5.271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5.276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5.278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5.279</w:t>
            </w:r>
          </w:p>
        </w:tc>
      </w:tr>
      <w:tr w:rsidR="004A6A8C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4F37A2" w:rsidP="00DF1749">
            <w:pPr>
              <w:pStyle w:val="TableTextS5"/>
              <w:spacing w:before="30" w:after="30"/>
              <w:rPr>
                <w:color w:val="000000"/>
              </w:rPr>
            </w:pPr>
            <w:r w:rsidRPr="0046453D">
              <w:rPr>
                <w:rStyle w:val="Tablefreq"/>
              </w:rPr>
              <w:t>440-450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</w:t>
            </w:r>
          </w:p>
          <w:p w:rsidR="004A6A8C" w:rsidRDefault="004F37A2" w:rsidP="00DF1749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MOBILE sauf mobile aéronautique</w:t>
            </w:r>
          </w:p>
          <w:p w:rsidR="004A6A8C" w:rsidRDefault="004F37A2" w:rsidP="00DF1749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lang w:val="fr-CH"/>
              </w:rPr>
              <w:t>Radiolocalisation</w:t>
            </w:r>
          </w:p>
          <w:p w:rsidR="004A6A8C" w:rsidRDefault="004F37A2" w:rsidP="00DF1749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rStyle w:val="Artref"/>
                <w:color w:val="000000"/>
                <w:lang w:val="fr-CH"/>
              </w:rPr>
              <w:t>5.269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5.270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5.271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5.284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5.285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5.286</w:t>
            </w:r>
          </w:p>
        </w:tc>
      </w:tr>
      <w:tr w:rsidR="004A6A8C" w:rsidTr="004F37A2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A8C" w:rsidRDefault="004F37A2" w:rsidP="00DF1749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46453D">
              <w:rPr>
                <w:rStyle w:val="Tablefreq"/>
              </w:rPr>
              <w:t>450-455</w:t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  <w:t>FIXE</w:t>
            </w:r>
          </w:p>
          <w:p w:rsidR="004A6A8C" w:rsidRDefault="004F37A2" w:rsidP="00DF1749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  <w:t>MOBILE  5.286AA</w:t>
            </w:r>
          </w:p>
          <w:p w:rsidR="004A6A8C" w:rsidRDefault="004F37A2" w:rsidP="00DF1749">
            <w:pPr>
              <w:pStyle w:val="TableTextS5"/>
              <w:spacing w:before="30" w:after="30"/>
              <w:ind w:left="2977" w:hanging="2977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color w:val="000000"/>
                <w:lang w:val="fr-CH"/>
              </w:rPr>
              <w:tab/>
            </w:r>
            <w:r>
              <w:rPr>
                <w:rStyle w:val="Artref"/>
                <w:color w:val="000000"/>
                <w:lang w:val="fr-CH"/>
              </w:rPr>
              <w:t>5.209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5.271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5.286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5.286A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5.286B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5.286C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5.286D</w:t>
            </w:r>
            <w:r>
              <w:rPr>
                <w:color w:val="000000"/>
                <w:lang w:val="fr-CH"/>
              </w:rPr>
              <w:t xml:space="preserve">  </w:t>
            </w:r>
            <w:r>
              <w:rPr>
                <w:rStyle w:val="Artref"/>
                <w:color w:val="000000"/>
                <w:lang w:val="fr-CH"/>
              </w:rPr>
              <w:t>5.286E</w:t>
            </w:r>
          </w:p>
        </w:tc>
      </w:tr>
    </w:tbl>
    <w:p w:rsidR="00BC7943" w:rsidRPr="00F87F4F" w:rsidRDefault="004F37A2" w:rsidP="005A54E6">
      <w:pPr>
        <w:pStyle w:val="Reasons"/>
        <w:rPr>
          <w:lang w:val="fr-CH"/>
        </w:rPr>
      </w:pPr>
      <w:r w:rsidRPr="00DC4F00">
        <w:rPr>
          <w:b/>
          <w:lang w:val="fr-CH"/>
        </w:rPr>
        <w:t>Motifs:</w:t>
      </w:r>
      <w:r w:rsidRPr="00DC4F00">
        <w:rPr>
          <w:lang w:val="fr-CH"/>
        </w:rPr>
        <w:tab/>
      </w:r>
      <w:r w:rsidR="00DC4F00" w:rsidRPr="00DC4F00">
        <w:rPr>
          <w:lang w:val="fr-CH"/>
        </w:rPr>
        <w:t>En se fondant sur le Rapport UIT–R M.2110, il est logique de conclure que le partage cofréquence</w:t>
      </w:r>
      <w:r w:rsidR="00DC4F00">
        <w:rPr>
          <w:lang w:val="fr-CH"/>
        </w:rPr>
        <w:t xml:space="preserve"> entre les IMT et le service de radiolocalisation dans la </w:t>
      </w:r>
      <w:r w:rsidR="005A54E6">
        <w:rPr>
          <w:lang w:val="fr-CH"/>
        </w:rPr>
        <w:t>gamme de fréquences</w:t>
      </w:r>
      <w:r w:rsidR="00DC4F00">
        <w:rPr>
          <w:lang w:val="fr-CH"/>
        </w:rPr>
        <w:t xml:space="preserve"> </w:t>
      </w:r>
      <w:r w:rsidR="00DC4F00" w:rsidRPr="00DC4F00">
        <w:rPr>
          <w:lang w:val="fr-CH"/>
        </w:rPr>
        <w:t xml:space="preserve">420-450 MHz </w:t>
      </w:r>
      <w:r w:rsidR="00DC4F00">
        <w:rPr>
          <w:lang w:val="fr-CH"/>
        </w:rPr>
        <w:t xml:space="preserve">n’est pas possible. </w:t>
      </w:r>
      <w:r w:rsidR="00DC4F00" w:rsidRPr="00DC4F00">
        <w:rPr>
          <w:lang w:val="fr-CH"/>
        </w:rPr>
        <w:t xml:space="preserve">En outre, </w:t>
      </w:r>
      <w:r w:rsidR="005A54E6">
        <w:rPr>
          <w:lang w:val="fr-CH"/>
        </w:rPr>
        <w:t>la</w:t>
      </w:r>
      <w:r w:rsidR="00DC4F00">
        <w:rPr>
          <w:lang w:val="fr-CH"/>
        </w:rPr>
        <w:t xml:space="preserve"> bande</w:t>
      </w:r>
      <w:r w:rsidR="005A54E6">
        <w:rPr>
          <w:lang w:val="fr-CH"/>
        </w:rPr>
        <w:t xml:space="preserve"> de fréquences 410-450 MHz</w:t>
      </w:r>
      <w:r w:rsidR="00DC4F00" w:rsidRPr="00DC4F00">
        <w:rPr>
          <w:lang w:val="fr-CH"/>
        </w:rPr>
        <w:t xml:space="preserve"> n’est pas </w:t>
      </w:r>
      <w:r w:rsidR="005A54E6">
        <w:rPr>
          <w:lang w:val="fr-CH"/>
        </w:rPr>
        <w:t>envisagée</w:t>
      </w:r>
      <w:r w:rsidR="00DC4F00" w:rsidRPr="00DC4F00">
        <w:rPr>
          <w:lang w:val="fr-CH"/>
        </w:rPr>
        <w:t xml:space="preserve"> par l’UIT–R comme une des gammes de fréquences appropriées </w:t>
      </w:r>
      <w:r w:rsidR="00DC4F00">
        <w:rPr>
          <w:lang w:val="fr-CH"/>
        </w:rPr>
        <w:t>qui pourraient être identifiées pour les IMT</w:t>
      </w:r>
      <w:r w:rsidR="00F87F4F">
        <w:rPr>
          <w:lang w:val="fr-CH"/>
        </w:rPr>
        <w:t xml:space="preserve">. </w:t>
      </w:r>
      <w:r w:rsidR="005A54E6">
        <w:rPr>
          <w:lang w:val="fr-CH"/>
        </w:rPr>
        <w:t>Le segment</w:t>
      </w:r>
      <w:r w:rsidR="00BC7943" w:rsidRPr="00F87F4F">
        <w:rPr>
          <w:lang w:val="fr-CH"/>
        </w:rPr>
        <w:t xml:space="preserve"> 410-450 MHz </w:t>
      </w:r>
      <w:r w:rsidR="005A54E6">
        <w:rPr>
          <w:lang w:val="fr-CH"/>
        </w:rPr>
        <w:t>sera aussi utilisé</w:t>
      </w:r>
      <w:r w:rsidR="00F87F4F" w:rsidRPr="00F87F4F">
        <w:rPr>
          <w:lang w:val="fr-CH"/>
        </w:rPr>
        <w:t xml:space="preserve"> par certaines administrations </w:t>
      </w:r>
      <w:r w:rsidR="00F87F4F" w:rsidRPr="00DC4F00">
        <w:rPr>
          <w:lang w:val="fr-CH"/>
        </w:rPr>
        <w:t>pour l’exploitation de systèmes qui fonctionnaient dans d’autres bandes qui ont déjà été identifiées pour les IMT</w:t>
      </w:r>
      <w:r w:rsidR="00BC7943" w:rsidRPr="00F87F4F">
        <w:rPr>
          <w:lang w:val="fr-CH"/>
        </w:rPr>
        <w:t>.</w:t>
      </w:r>
    </w:p>
    <w:p w:rsidR="00BC7943" w:rsidRDefault="00BC7943" w:rsidP="00DF1749">
      <w:pPr>
        <w:jc w:val="center"/>
      </w:pPr>
      <w:r>
        <w:t>______________</w:t>
      </w:r>
    </w:p>
    <w:p w:rsidR="001A152B" w:rsidRPr="00BC7943" w:rsidRDefault="001A152B" w:rsidP="00DF1749">
      <w:pPr>
        <w:pStyle w:val="Reasons"/>
        <w:rPr>
          <w:lang w:val="en-US"/>
        </w:rPr>
      </w:pPr>
    </w:p>
    <w:sectPr w:rsidR="001A152B" w:rsidRPr="00BC7943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65CDB">
      <w:rPr>
        <w:noProof/>
        <w:lang w:val="en-US"/>
      </w:rPr>
      <w:t>P:\FRA\ITU-R\CONF-R\CMR15\000\007ADD01ADD01F.docx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65CDB">
      <w:rPr>
        <w:noProof/>
      </w:rPr>
      <w:t>14.10.15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65CDB">
      <w:rPr>
        <w:noProof/>
      </w:rPr>
      <w:t>14.10.15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65CDB">
      <w:rPr>
        <w:lang w:val="en-US"/>
      </w:rPr>
      <w:t>P:\FRA\ITU-R\CONF-R\CMR15\000\007ADD01ADD01F.docx</w:t>
    </w:r>
    <w:r>
      <w:fldChar w:fldCharType="end"/>
    </w:r>
    <w:r w:rsidR="0097174A">
      <w:t xml:space="preserve"> (387573)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65CDB">
      <w:t>14.10.15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65CDB">
      <w:t>14.10.15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65CDB">
      <w:rPr>
        <w:lang w:val="en-US"/>
      </w:rPr>
      <w:t>P:\FRA\ITU-R\CONF-R\CMR15\000\007ADD01ADD01F.docx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65CDB">
      <w:t>14.10.15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65CDB">
      <w:t>14.10.15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65CDB">
      <w:rPr>
        <w:noProof/>
      </w:rPr>
      <w:t>3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7(Add.1)(Add.1)-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FC0E291-8DE8-4322-A5A7-0C17C2D206ED}"/>
    <w:docVar w:name="dgnword-eventsink" w:val="231307424"/>
  </w:docVars>
  <w:rsids>
    <w:rsidRoot w:val="00BB1D82"/>
    <w:rsid w:val="00007EC7"/>
    <w:rsid w:val="00010B43"/>
    <w:rsid w:val="00016648"/>
    <w:rsid w:val="0003522F"/>
    <w:rsid w:val="00052EF3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52B"/>
    <w:rsid w:val="001C788B"/>
    <w:rsid w:val="001F17E8"/>
    <w:rsid w:val="00204306"/>
    <w:rsid w:val="002062D6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F1F8E"/>
    <w:rsid w:val="004F37A2"/>
    <w:rsid w:val="00512A32"/>
    <w:rsid w:val="00586CF2"/>
    <w:rsid w:val="005A54E6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A3120"/>
    <w:rsid w:val="008D41BE"/>
    <w:rsid w:val="008D58D3"/>
    <w:rsid w:val="008E23EF"/>
    <w:rsid w:val="00923064"/>
    <w:rsid w:val="00930FFD"/>
    <w:rsid w:val="00936D25"/>
    <w:rsid w:val="00941EA5"/>
    <w:rsid w:val="00964700"/>
    <w:rsid w:val="00966C16"/>
    <w:rsid w:val="0097174A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C0AE6"/>
    <w:rsid w:val="00AE36A0"/>
    <w:rsid w:val="00B00294"/>
    <w:rsid w:val="00B64FD0"/>
    <w:rsid w:val="00B65CDB"/>
    <w:rsid w:val="00BA5BD0"/>
    <w:rsid w:val="00BB1D82"/>
    <w:rsid w:val="00BC7943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C4F00"/>
    <w:rsid w:val="00DE0932"/>
    <w:rsid w:val="00DF1749"/>
    <w:rsid w:val="00E03A27"/>
    <w:rsid w:val="00E049F1"/>
    <w:rsid w:val="00E21050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87F4F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816EF6DD-6BC3-4B0A-A9DB-E0B36FEF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R15-WRC15-C-0007!A1-A1!MSW-F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28320B-7020-4BB2-BFE5-FDBD3913DA7B}">
  <ds:schemaRefs>
    <ds:schemaRef ds:uri="996b2e75-67fd-4955-a3b0-5ab9934cb50b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32a1a8c5-2265-4ebc-b7a0-2071e2c5c9b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999</Words>
  <Characters>5666</Characters>
  <Application>Microsoft Office Word</Application>
  <DocSecurity>0</DocSecurity>
  <Lines>141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R15-WRC15-C-0007!A1-A1!MSW-F</vt:lpstr>
    </vt:vector>
  </TitlesOfParts>
  <Manager>Secrétariat général - Pool</Manager>
  <Company>Union internationale des télécommunications (UIT)</Company>
  <LinksUpToDate>false</LinksUpToDate>
  <CharactersWithSpaces>6695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R15-WRC15-C-0007!A1-A1!MSW-F</dc:title>
  <dc:subject>Conférence mondiale des radiocommunications - 2015</dc:subject>
  <dc:creator>Documents Proposals Manager (DPM)</dc:creator>
  <cp:keywords>DPM_v5.2015.9.16_prod</cp:keywords>
  <dc:description/>
  <cp:lastModifiedBy>Jones, Jacqueline</cp:lastModifiedBy>
  <cp:revision>5</cp:revision>
  <cp:lastPrinted>2015-10-14T20:46:00Z</cp:lastPrinted>
  <dcterms:created xsi:type="dcterms:W3CDTF">2015-10-13T15:42:00Z</dcterms:created>
  <dcterms:modified xsi:type="dcterms:W3CDTF">2015-10-14T20:46:00Z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