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C118E" w:rsidTr="001226EC">
        <w:trPr>
          <w:cantSplit/>
        </w:trPr>
        <w:tc>
          <w:tcPr>
            <w:tcW w:w="6771" w:type="dxa"/>
          </w:tcPr>
          <w:p w:rsidR="005651C9" w:rsidRPr="00FC118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C118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FC118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FC118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C118E">
              <w:rPr>
                <w:noProof/>
                <w:lang w:val="en-GB" w:eastAsia="zh-CN"/>
              </w:rPr>
              <w:drawing>
                <wp:inline distT="0" distB="0" distL="0" distR="0" wp14:anchorId="385A75D1" wp14:editId="0166A2B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C118E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FC118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C118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FC118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C118E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FC118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FC118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C118E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FC118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C118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FC118E" w:rsidRDefault="002F487B" w:rsidP="002F487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C118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FC118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</w:t>
            </w:r>
            <w:r w:rsidR="005651C9" w:rsidRPr="00FC118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FC118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C118E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FC118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FC118E" w:rsidRDefault="002F487B" w:rsidP="002F487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C118E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0F33D8" w:rsidRPr="00FC118E">
              <w:rPr>
                <w:rFonts w:ascii="Verdana" w:hAnsi="Verdana"/>
                <w:b/>
                <w:bCs/>
                <w:sz w:val="18"/>
                <w:szCs w:val="18"/>
              </w:rPr>
              <w:t xml:space="preserve">9 </w:t>
            </w:r>
            <w:r w:rsidRPr="00FC118E">
              <w:rPr>
                <w:rFonts w:ascii="Verdana" w:hAnsi="Verdana"/>
                <w:b/>
                <w:bCs/>
                <w:sz w:val="18"/>
                <w:szCs w:val="18"/>
              </w:rPr>
              <w:t>ок</w:t>
            </w:r>
            <w:r w:rsidR="000F33D8" w:rsidRPr="00FC118E">
              <w:rPr>
                <w:rFonts w:ascii="Verdana" w:hAnsi="Verdana"/>
                <w:b/>
                <w:bCs/>
                <w:sz w:val="18"/>
                <w:szCs w:val="18"/>
              </w:rPr>
              <w:t>тября 2015 года</w:t>
            </w:r>
          </w:p>
        </w:tc>
      </w:tr>
      <w:tr w:rsidR="000F33D8" w:rsidRPr="00FC118E" w:rsidTr="001226EC">
        <w:trPr>
          <w:cantSplit/>
        </w:trPr>
        <w:tc>
          <w:tcPr>
            <w:tcW w:w="6771" w:type="dxa"/>
          </w:tcPr>
          <w:p w:rsidR="000F33D8" w:rsidRPr="00FC118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FC118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C118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C118E" w:rsidTr="002A4ADB">
        <w:trPr>
          <w:cantSplit/>
        </w:trPr>
        <w:tc>
          <w:tcPr>
            <w:tcW w:w="10031" w:type="dxa"/>
            <w:gridSpan w:val="2"/>
          </w:tcPr>
          <w:p w:rsidR="000F33D8" w:rsidRPr="00FC118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C118E">
        <w:trPr>
          <w:cantSplit/>
        </w:trPr>
        <w:tc>
          <w:tcPr>
            <w:tcW w:w="10031" w:type="dxa"/>
            <w:gridSpan w:val="2"/>
          </w:tcPr>
          <w:p w:rsidR="000F33D8" w:rsidRPr="00FC118E" w:rsidRDefault="002F487B" w:rsidP="00B90506">
            <w:pPr>
              <w:pStyle w:val="Source"/>
            </w:pPr>
            <w:bookmarkStart w:id="4" w:name="dsource" w:colFirst="0" w:colLast="0"/>
            <w:r w:rsidRPr="00FC118E">
              <w:t>Соединенные Штаты Америки</w:t>
            </w:r>
          </w:p>
        </w:tc>
      </w:tr>
      <w:tr w:rsidR="000F33D8" w:rsidRPr="00FC118E">
        <w:trPr>
          <w:cantSplit/>
        </w:trPr>
        <w:tc>
          <w:tcPr>
            <w:tcW w:w="10031" w:type="dxa"/>
            <w:gridSpan w:val="2"/>
          </w:tcPr>
          <w:p w:rsidR="000F33D8" w:rsidRPr="00FC118E" w:rsidRDefault="002F487B" w:rsidP="00FC118E">
            <w:pPr>
              <w:pStyle w:val="Title1"/>
            </w:pPr>
            <w:bookmarkStart w:id="5" w:name="dtitle1" w:colFirst="0" w:colLast="0"/>
            <w:bookmarkEnd w:id="4"/>
            <w:r w:rsidRPr="00FC118E">
              <w:t xml:space="preserve">ДОКУМЕНТ ДЛЯ ИНФОРМАЦИИ </w:t>
            </w:r>
            <w:r w:rsidR="00FC118E" w:rsidRPr="00FC118E">
              <w:br/>
              <w:t xml:space="preserve">О </w:t>
            </w:r>
            <w:r w:rsidRPr="00FC118E">
              <w:t xml:space="preserve">БЕСПИЛОТНЫХ АВИАЦИОННЫХ СИСТЕМАХ: </w:t>
            </w:r>
            <w:r w:rsidR="00FC118E" w:rsidRPr="00FC118E">
              <w:br/>
            </w:r>
            <w:r w:rsidRPr="00FC118E">
              <w:t xml:space="preserve">ПРЕДМЕТ ДЛЯ ПРИНЯТИЯ </w:t>
            </w:r>
            <w:r w:rsidR="001934A0" w:rsidRPr="00FC118E">
              <w:t>МЕР</w:t>
            </w:r>
            <w:r w:rsidRPr="00FC118E">
              <w:t xml:space="preserve"> НА ВКР-15</w:t>
            </w:r>
          </w:p>
        </w:tc>
      </w:tr>
      <w:tr w:rsidR="000F33D8" w:rsidRPr="00FC118E">
        <w:trPr>
          <w:cantSplit/>
        </w:trPr>
        <w:tc>
          <w:tcPr>
            <w:tcW w:w="10031" w:type="dxa"/>
            <w:gridSpan w:val="2"/>
          </w:tcPr>
          <w:p w:rsidR="000F33D8" w:rsidRPr="00FC118E" w:rsidRDefault="000F33D8" w:rsidP="002F487B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FC118E">
              <w:rPr>
                <w:lang w:val="ru-RU"/>
              </w:rPr>
              <w:t>Пункт 1</w:t>
            </w:r>
            <w:r w:rsidR="002F487B" w:rsidRPr="00FC118E">
              <w:rPr>
                <w:lang w:val="ru-RU"/>
              </w:rPr>
              <w:t>.5</w:t>
            </w:r>
            <w:r w:rsidRPr="00FC118E">
              <w:rPr>
                <w:lang w:val="ru-RU"/>
              </w:rPr>
              <w:t xml:space="preserve"> повестки дня</w:t>
            </w:r>
          </w:p>
        </w:tc>
      </w:tr>
    </w:tbl>
    <w:bookmarkEnd w:id="6"/>
    <w:p w:rsidR="00FF0A00" w:rsidRPr="00FC118E" w:rsidRDefault="00156339" w:rsidP="003B4A82">
      <w:pPr>
        <w:pStyle w:val="Normalaftertitle"/>
      </w:pPr>
      <w:r w:rsidRPr="00FC118E">
        <w:t>Главная цель пункта 1.5 повестки дня ВКР</w:t>
      </w:r>
      <w:r w:rsidR="00FF0A00" w:rsidRPr="00FC118E">
        <w:noBreakHyphen/>
        <w:t>15</w:t>
      </w:r>
      <w:r w:rsidRPr="00FC118E">
        <w:t xml:space="preserve"> заключается в том, чтобы рассмотреть использование распределенных фиксированной спутниковой службе </w:t>
      </w:r>
      <w:r w:rsidR="007808F0" w:rsidRPr="00FC118E">
        <w:t xml:space="preserve">(ФСС) </w:t>
      </w:r>
      <w:r w:rsidRPr="00FC118E">
        <w:t xml:space="preserve">полос частот, к которым не </w:t>
      </w:r>
      <w:r w:rsidRPr="000E7663">
        <w:t>применяются Приложения 30, 30A и 30B, для управления и связи, не относящейся к полезной</w:t>
      </w:r>
      <w:r w:rsidRPr="00FC118E">
        <w:t xml:space="preserve"> нагрузке</w:t>
      </w:r>
      <w:r w:rsidR="00F76028" w:rsidRPr="00FC118E">
        <w:t xml:space="preserve"> (CNPC)</w:t>
      </w:r>
      <w:r w:rsidRPr="00FC118E">
        <w:t>, беспилотных авиационных систем (БАС)</w:t>
      </w:r>
      <w:r w:rsidR="00FF0A00" w:rsidRPr="00FC118E">
        <w:t xml:space="preserve">. </w:t>
      </w:r>
      <w:r w:rsidR="003B4A82" w:rsidRPr="00FC118E">
        <w:t>Меры в поддержку этого пункта повестки дня предпринимались как в рамках РГ 5В МСЭ</w:t>
      </w:r>
      <w:r w:rsidR="00FF0A00" w:rsidRPr="00FC118E">
        <w:noBreakHyphen/>
        <w:t>R</w:t>
      </w:r>
      <w:r w:rsidR="003B4A82" w:rsidRPr="00FC118E">
        <w:t>, так и в Международной организации гражданской авиации</w:t>
      </w:r>
      <w:r w:rsidR="00FF0A00" w:rsidRPr="00FC118E">
        <w:t xml:space="preserve"> (</w:t>
      </w:r>
      <w:r w:rsidR="003B4A82" w:rsidRPr="00FC118E">
        <w:t>ИКАО</w:t>
      </w:r>
      <w:r w:rsidR="00FF0A00" w:rsidRPr="00FC118E">
        <w:t>),</w:t>
      </w:r>
      <w:r w:rsidR="003B4A82" w:rsidRPr="00FC118E">
        <w:t xml:space="preserve"> с четким разделением функций в поддержку БАС</w:t>
      </w:r>
      <w:r w:rsidR="00FF0A00" w:rsidRPr="00FC118E">
        <w:t>.</w:t>
      </w:r>
    </w:p>
    <w:p w:rsidR="00FF0A00" w:rsidRPr="00FC118E" w:rsidRDefault="00A667D4" w:rsidP="00A667D4">
      <w:r w:rsidRPr="00FC118E">
        <w:t>МСЭ будет рассматривать, с помощью Регламента радиосвязи, необходимые положения для обеспечения регламентарной базы, чтобы не допустить вредных помех и обеспечить защиту действующим службам</w:t>
      </w:r>
      <w:r w:rsidR="00FF0A00" w:rsidRPr="00FC118E">
        <w:t xml:space="preserve">. </w:t>
      </w:r>
      <w:r w:rsidRPr="00FC118E">
        <w:t>ИКАО будет заниматься, с помощью своих</w:t>
      </w:r>
      <w:r w:rsidR="00FF0A00" w:rsidRPr="00FC118E">
        <w:t xml:space="preserve"> </w:t>
      </w:r>
      <w:r w:rsidRPr="00FC118E">
        <w:rPr>
          <w:color w:val="000000"/>
        </w:rPr>
        <w:t>Стандартов и рекомендуемой практики</w:t>
      </w:r>
      <w:r w:rsidR="00FF0A00" w:rsidRPr="00FC118E">
        <w:t xml:space="preserve"> (SARPs), </w:t>
      </w:r>
      <w:r w:rsidRPr="00FC118E">
        <w:t>необходимыми техническими и эксплуатационными требованиями для обеспечения безопасности полетов</w:t>
      </w:r>
      <w:r w:rsidR="00FF0A00" w:rsidRPr="00FC118E">
        <w:t>.</w:t>
      </w:r>
    </w:p>
    <w:p w:rsidR="00FF0A00" w:rsidRPr="00FC118E" w:rsidRDefault="007309F5" w:rsidP="00FC118E">
      <w:r w:rsidRPr="00FC118E">
        <w:t>У ВКР</w:t>
      </w:r>
      <w:r w:rsidR="00FF0A00" w:rsidRPr="00FC118E">
        <w:noBreakHyphen/>
        <w:t xml:space="preserve">15 </w:t>
      </w:r>
      <w:r w:rsidRPr="00FC118E">
        <w:t>имеется лишь два варианта</w:t>
      </w:r>
      <w:r w:rsidR="00FF0A00" w:rsidRPr="00FC118E">
        <w:t xml:space="preserve">: </w:t>
      </w:r>
      <w:r w:rsidRPr="00FC118E">
        <w:t>разработать базу для безопасного использования ФСС или ничего не делать</w:t>
      </w:r>
      <w:r w:rsidR="00FF0A00" w:rsidRPr="00FC118E">
        <w:t xml:space="preserve"> (</w:t>
      </w:r>
      <w:r w:rsidRPr="00FC118E">
        <w:t>не вносить никаких изменений</w:t>
      </w:r>
      <w:r w:rsidR="00FF0A00" w:rsidRPr="00FC118E">
        <w:t xml:space="preserve">) </w:t>
      </w:r>
      <w:r w:rsidRPr="00FC118E">
        <w:t xml:space="preserve">и задержать развитие жизненно важной отрасли </w:t>
      </w:r>
      <w:r w:rsidR="007808F0" w:rsidRPr="00FC118E">
        <w:t>с объемом средств, исчисляемых многими</w:t>
      </w:r>
      <w:r w:rsidRPr="00FC118E">
        <w:t xml:space="preserve"> миллиард</w:t>
      </w:r>
      <w:r w:rsidR="007808F0" w:rsidRPr="00FC118E">
        <w:t>ами</w:t>
      </w:r>
      <w:r w:rsidRPr="00FC118E">
        <w:t xml:space="preserve"> долларов</w:t>
      </w:r>
      <w:r w:rsidR="00FF0A00" w:rsidRPr="00FC118E">
        <w:t>.</w:t>
      </w:r>
      <w:r w:rsidR="00E30F6A" w:rsidRPr="00FC118E">
        <w:t xml:space="preserve"> Как отметила ИКАО, не вносить никаких изменений</w:t>
      </w:r>
      <w:r w:rsidR="00FF0A00" w:rsidRPr="00FC118E">
        <w:t xml:space="preserve"> </w:t>
      </w:r>
      <w:r w:rsidR="00FC118E">
        <w:t>"</w:t>
      </w:r>
      <w:r w:rsidR="00E30F6A" w:rsidRPr="00FC118E">
        <w:t>было бы нежелательным в принципе, так как это не позволило бы в полной мере затронуть существующие требования в отношении</w:t>
      </w:r>
      <w:r w:rsidR="00FF0A00" w:rsidRPr="00FC118E">
        <w:t xml:space="preserve"> </w:t>
      </w:r>
      <w:r w:rsidR="00E30F6A" w:rsidRPr="00FC118E">
        <w:t>связи за пределами прямой видимости для БАС и потенциально задержало бы развитие гражданских применений БАС на многие годы</w:t>
      </w:r>
      <w:r w:rsidR="00FC118E">
        <w:t>"</w:t>
      </w:r>
      <w:r w:rsidR="00E30F6A" w:rsidRPr="00FC118E">
        <w:t xml:space="preserve">. Чрезвычайно важно, чтобы </w:t>
      </w:r>
      <w:r w:rsidR="00466CBA" w:rsidRPr="00FC118E">
        <w:t xml:space="preserve">сейчас </w:t>
      </w:r>
      <w:r w:rsidR="00E30F6A" w:rsidRPr="00FC118E">
        <w:t>на ВКР</w:t>
      </w:r>
      <w:r w:rsidR="00FF0A00" w:rsidRPr="00FC118E">
        <w:noBreakHyphen/>
        <w:t>15</w:t>
      </w:r>
      <w:r w:rsidR="00E30F6A" w:rsidRPr="00FC118E">
        <w:t xml:space="preserve"> были приняты </w:t>
      </w:r>
      <w:r w:rsidR="00466CBA" w:rsidRPr="00FC118E">
        <w:t xml:space="preserve">регламентарные </w:t>
      </w:r>
      <w:r w:rsidR="00E30F6A" w:rsidRPr="00FC118E">
        <w:t>положения об использ</w:t>
      </w:r>
      <w:r w:rsidR="00466CBA" w:rsidRPr="00FC118E">
        <w:t>овании спектра</w:t>
      </w:r>
      <w:r w:rsidR="00E30F6A" w:rsidRPr="00FC118E">
        <w:t>, чтобы обеспечить управление полетами БАС и распространить преимущества этой новой технологии на всех жителей планеты</w:t>
      </w:r>
      <w:r w:rsidR="00FF0A00" w:rsidRPr="00FC118E">
        <w:t>.</w:t>
      </w:r>
    </w:p>
    <w:p w:rsidR="00FF0A00" w:rsidRPr="00FC118E" w:rsidRDefault="005C456D" w:rsidP="00657063">
      <w:r w:rsidRPr="00FC118E">
        <w:rPr>
          <w:b/>
          <w:bCs/>
        </w:rPr>
        <w:t>Возрастающий спрос на</w:t>
      </w:r>
      <w:r w:rsidR="00FF0A00" w:rsidRPr="00FC118E">
        <w:rPr>
          <w:b/>
          <w:bCs/>
        </w:rPr>
        <w:t xml:space="preserve"> </w:t>
      </w:r>
      <w:r w:rsidRPr="00FC118E">
        <w:rPr>
          <w:b/>
          <w:bCs/>
        </w:rPr>
        <w:t>беспилотные воздушные суда</w:t>
      </w:r>
      <w:r w:rsidR="00FF0A00" w:rsidRPr="00FC118E">
        <w:t xml:space="preserve">: </w:t>
      </w:r>
      <w:r w:rsidRPr="00FC118E">
        <w:t>появление БАС для гражданских и коммерческих применений представляет собой одно из самых значительных достижений за прошедшие десятилетия</w:t>
      </w:r>
      <w:r w:rsidR="00FF0A00" w:rsidRPr="00FC118E">
        <w:t>.</w:t>
      </w:r>
      <w:r w:rsidRPr="00FC118E">
        <w:t xml:space="preserve"> Применения для БАС включают поиск и спасание</w:t>
      </w:r>
      <w:r w:rsidR="00FF0A00" w:rsidRPr="00FC118E">
        <w:t xml:space="preserve">, </w:t>
      </w:r>
      <w:r w:rsidRPr="00FC118E">
        <w:t>прогноз погоды, борьб</w:t>
      </w:r>
      <w:r w:rsidR="00657063" w:rsidRPr="00FC118E">
        <w:t>у</w:t>
      </w:r>
      <w:r w:rsidRPr="00FC118E">
        <w:t xml:space="preserve"> с пожарами, реагирование при бедствиях</w:t>
      </w:r>
      <w:r w:rsidR="00FF0A00" w:rsidRPr="00FC118E">
        <w:t xml:space="preserve">, </w:t>
      </w:r>
      <w:r w:rsidRPr="00FC118E">
        <w:t>точное земледелие</w:t>
      </w:r>
      <w:r w:rsidR="00FF0A00" w:rsidRPr="00FC118E">
        <w:t xml:space="preserve">, </w:t>
      </w:r>
      <w:r w:rsidRPr="00FC118E">
        <w:t>аэрофотосъемки</w:t>
      </w:r>
      <w:r w:rsidR="00FF0A00" w:rsidRPr="00FC118E">
        <w:t xml:space="preserve">, </w:t>
      </w:r>
      <w:r w:rsidR="00044220" w:rsidRPr="00FC118E">
        <w:t>доставку грузов, мониторинг инфраструктуры и границ, а также многие другие виды деятельности</w:t>
      </w:r>
      <w:r w:rsidR="00FF0A00" w:rsidRPr="00FC118E">
        <w:t xml:space="preserve">. </w:t>
      </w:r>
      <w:r w:rsidR="00044220" w:rsidRPr="00FC118E">
        <w:t>Эта отрасль обладает громадным потенциалом для содействия экономическому развитию и благополучию как развитых, так и развивающихся стран</w:t>
      </w:r>
      <w:r w:rsidR="00FF0A00" w:rsidRPr="00FC118E">
        <w:t>.</w:t>
      </w:r>
    </w:p>
    <w:p w:rsidR="00FF0A00" w:rsidRPr="00FC118E" w:rsidRDefault="00F76028" w:rsidP="00FC118E">
      <w:r w:rsidRPr="00FC118E">
        <w:rPr>
          <w:b/>
          <w:bCs/>
        </w:rPr>
        <w:t>ФСС является подходящей и доступной службой</w:t>
      </w:r>
      <w:r w:rsidR="00FF0A00" w:rsidRPr="00FC118E">
        <w:t xml:space="preserve">: </w:t>
      </w:r>
      <w:r w:rsidRPr="00FC118E">
        <w:t>доступ к большой пропускной способности глобальных сетей ФСС обеспечивает немедленное решение насущной потребности</w:t>
      </w:r>
      <w:bookmarkStart w:id="7" w:name="_GoBack"/>
      <w:bookmarkEnd w:id="7"/>
      <w:r w:rsidR="00FF0A00" w:rsidRPr="00FC118E">
        <w:t>.</w:t>
      </w:r>
      <w:r w:rsidRPr="00FC118E">
        <w:t xml:space="preserve"> Завершенные исследования обеспечивают обоснование того, что предпочтительным методом </w:t>
      </w:r>
      <w:r w:rsidR="008108F9" w:rsidRPr="00FC118E">
        <w:t>раз</w:t>
      </w:r>
      <w:r w:rsidRPr="00FC118E">
        <w:t xml:space="preserve">решения </w:t>
      </w:r>
      <w:r w:rsidRPr="00FC118E">
        <w:lastRenderedPageBreak/>
        <w:t>пункта</w:t>
      </w:r>
      <w:r w:rsidR="00FC118E">
        <w:t> </w:t>
      </w:r>
      <w:r w:rsidRPr="00FC118E">
        <w:t>1.5 повестки дня служит определение текущих распределений ФСС в диапазонах</w:t>
      </w:r>
      <w:r w:rsidR="00FF0A00" w:rsidRPr="00FC118E">
        <w:t xml:space="preserve"> 20/30 </w:t>
      </w:r>
      <w:r w:rsidRPr="00FC118E">
        <w:t>ГГц и</w:t>
      </w:r>
      <w:r w:rsidR="00FF0A00" w:rsidRPr="00FC118E">
        <w:t xml:space="preserve"> 11/14 </w:t>
      </w:r>
      <w:r w:rsidRPr="00FC118E">
        <w:t>ГГц</w:t>
      </w:r>
      <w:r w:rsidR="00FF0A00" w:rsidRPr="00FC118E">
        <w:t xml:space="preserve"> </w:t>
      </w:r>
      <w:r w:rsidRPr="00FC118E">
        <w:t xml:space="preserve">для </w:t>
      </w:r>
      <w:r w:rsidR="00FF0A00" w:rsidRPr="00FC118E">
        <w:t xml:space="preserve">CNPC </w:t>
      </w:r>
      <w:r w:rsidRPr="00FC118E">
        <w:t>БАС</w:t>
      </w:r>
      <w:r w:rsidR="00FF0A00" w:rsidRPr="00FC118E">
        <w:t xml:space="preserve">. </w:t>
      </w:r>
      <w:r w:rsidRPr="00FC118E">
        <w:t>Существующие распределения ФСС вполне достаточны для этой цели, нужна лишь резолюция, чтобы определить необходимые регламентарные положения</w:t>
      </w:r>
      <w:r w:rsidR="00FF0A00" w:rsidRPr="00FC118E">
        <w:t xml:space="preserve">. </w:t>
      </w:r>
    </w:p>
    <w:p w:rsidR="00FF0A00" w:rsidRPr="00FC118E" w:rsidRDefault="00A52A2B" w:rsidP="00A52A2B">
      <w:r w:rsidRPr="00FC118E">
        <w:t>Поскольку земные станции БАС будут работать в тех же условиях, что и другие земные станции, связанные с сетью ФСС</w:t>
      </w:r>
      <w:r w:rsidR="00FF0A00" w:rsidRPr="00FC118E">
        <w:t xml:space="preserve">, </w:t>
      </w:r>
      <w:r w:rsidRPr="00FC118E">
        <w:t>то защита от вредных помех будет обеспечиваться с помощью существующих механизмов координации</w:t>
      </w:r>
      <w:r w:rsidR="00FF0A00" w:rsidRPr="00FC118E">
        <w:t>.</w:t>
      </w:r>
    </w:p>
    <w:p w:rsidR="00FF0A00" w:rsidRPr="00FC118E" w:rsidRDefault="00154D6A" w:rsidP="00FC118E">
      <w:r w:rsidRPr="00FC118E">
        <w:rPr>
          <w:b/>
          <w:bCs/>
        </w:rPr>
        <w:t>Исследования, необходимые для поддержки решения ВКР</w:t>
      </w:r>
      <w:r w:rsidR="00FF0A00" w:rsidRPr="00FC118E">
        <w:rPr>
          <w:b/>
          <w:bCs/>
        </w:rPr>
        <w:noBreakHyphen/>
        <w:t>15</w:t>
      </w:r>
      <w:r w:rsidRPr="00FC118E">
        <w:rPr>
          <w:b/>
          <w:bCs/>
        </w:rPr>
        <w:t>, завершены</w:t>
      </w:r>
      <w:r w:rsidR="00FF0A00" w:rsidRPr="00FC118E">
        <w:t xml:space="preserve">: </w:t>
      </w:r>
      <w:r w:rsidR="00FC118E">
        <w:t>"</w:t>
      </w:r>
      <w:r w:rsidRPr="00FC118E">
        <w:rPr>
          <w:i/>
          <w:iCs/>
        </w:rPr>
        <w:t>необходимые исследования, которые приведут к выработке технических, регламентарных и эксплуатационных рекомендаций для Конференции, позволяющих Конференции принять решение об использовании ФСС для линий CNPC для целей эксплуатации БАС</w:t>
      </w:r>
      <w:r w:rsidR="00FC118E">
        <w:t>"</w:t>
      </w:r>
      <w:r w:rsidRPr="00FC118E">
        <w:t>,</w:t>
      </w:r>
      <w:r w:rsidR="00FF0A00" w:rsidRPr="00FC118E">
        <w:t xml:space="preserve"> </w:t>
      </w:r>
      <w:r w:rsidRPr="00FC118E">
        <w:t xml:space="preserve">о которых идет речь в </w:t>
      </w:r>
      <w:r w:rsidR="00FC118E">
        <w:t xml:space="preserve">пункте </w:t>
      </w:r>
      <w:r w:rsidR="00FC118E" w:rsidRPr="00FC118E">
        <w:t xml:space="preserve">1 </w:t>
      </w:r>
      <w:r w:rsidRPr="00FC118E">
        <w:t>раздел</w:t>
      </w:r>
      <w:r w:rsidR="00FC118E">
        <w:t>а</w:t>
      </w:r>
      <w:r w:rsidR="00FF0A00" w:rsidRPr="00FC118E">
        <w:t xml:space="preserve"> </w:t>
      </w:r>
      <w:r w:rsidRPr="00FC118E">
        <w:rPr>
          <w:i/>
          <w:iCs/>
        </w:rPr>
        <w:t>предлагает МСЭ</w:t>
      </w:r>
      <w:r w:rsidR="00FF0A00" w:rsidRPr="00FC118E">
        <w:rPr>
          <w:i/>
          <w:iCs/>
        </w:rPr>
        <w:noBreakHyphen/>
        <w:t>R</w:t>
      </w:r>
      <w:r w:rsidR="00FF0A00" w:rsidRPr="00FC118E">
        <w:t xml:space="preserve"> </w:t>
      </w:r>
      <w:r w:rsidRPr="00FC118E">
        <w:t>Резолюции</w:t>
      </w:r>
      <w:r w:rsidR="00FF0A00" w:rsidRPr="00FC118E">
        <w:t xml:space="preserve"> 153 (</w:t>
      </w:r>
      <w:r w:rsidRPr="00FC118E">
        <w:t>ВКР</w:t>
      </w:r>
      <w:r w:rsidR="00FF0A00" w:rsidRPr="00FC118E">
        <w:noBreakHyphen/>
        <w:t>12)</w:t>
      </w:r>
      <w:r w:rsidRPr="00FC118E">
        <w:t xml:space="preserve">, проведены и их результаты представлены в </w:t>
      </w:r>
      <w:hyperlink r:id="rId13" w:history="1">
        <w:r w:rsidR="003075DC" w:rsidRPr="00FC118E">
          <w:rPr>
            <w:rStyle w:val="Hyperlink"/>
          </w:rPr>
          <w:t>Документе МСЭ-R</w:t>
        </w:r>
        <w:r w:rsidR="00FF0A00" w:rsidRPr="00FC118E">
          <w:rPr>
            <w:rStyle w:val="Hyperlink"/>
          </w:rPr>
          <w:t xml:space="preserve"> 5B/886</w:t>
        </w:r>
        <w:r w:rsidR="00FC118E">
          <w:rPr>
            <w:rStyle w:val="Hyperlink"/>
          </w:rPr>
          <w:t>(</w:t>
        </w:r>
        <w:r w:rsidR="00FF0A00" w:rsidRPr="00FC118E">
          <w:rPr>
            <w:rStyle w:val="Hyperlink"/>
          </w:rPr>
          <w:t>Rev.</w:t>
        </w:r>
        <w:r w:rsidR="00FC118E">
          <w:rPr>
            <w:rStyle w:val="Hyperlink"/>
          </w:rPr>
          <w:t>2)</w:t>
        </w:r>
      </w:hyperlink>
      <w:r w:rsidR="00FF0A00" w:rsidRPr="00FC118E">
        <w:t xml:space="preserve"> – </w:t>
      </w:r>
      <w:r w:rsidR="00FC118E">
        <w:t>"</w:t>
      </w:r>
      <w:r w:rsidR="003075DC" w:rsidRPr="00FC118E">
        <w:t>ПРОЕКТ НОВОГО ОТЧЕТА МСЭ</w:t>
      </w:r>
      <w:r w:rsidR="00FF0A00" w:rsidRPr="00FC118E">
        <w:noBreakHyphen/>
        <w:t>R M.[UAS-FSS]</w:t>
      </w:r>
      <w:r w:rsidR="00FC118E">
        <w:t>"</w:t>
      </w:r>
      <w:r w:rsidR="00FF0A00" w:rsidRPr="00FC118E">
        <w:t>.</w:t>
      </w:r>
    </w:p>
    <w:p w:rsidR="00FF0A00" w:rsidRPr="00FC118E" w:rsidRDefault="003075DC" w:rsidP="003075DC">
      <w:r w:rsidRPr="00FC118E">
        <w:t>В Приложении</w:t>
      </w:r>
      <w:r w:rsidR="00FF0A00" w:rsidRPr="00FC118E">
        <w:t xml:space="preserve"> 1 </w:t>
      </w:r>
      <w:r w:rsidRPr="00FC118E">
        <w:t>приводится резюме этого отчета</w:t>
      </w:r>
      <w:r w:rsidR="00FF0A00" w:rsidRPr="00FC118E">
        <w:t>.</w:t>
      </w:r>
    </w:p>
    <w:p w:rsidR="00FF0A00" w:rsidRPr="00FC118E" w:rsidRDefault="002B2D18" w:rsidP="00FC118E">
      <w:r w:rsidRPr="00FC118E">
        <w:rPr>
          <w:b/>
          <w:bCs/>
        </w:rPr>
        <w:t>Позиция ИКАО указывает направление действий для МСЭ</w:t>
      </w:r>
      <w:r w:rsidR="00FF0A00" w:rsidRPr="00FC118E">
        <w:t xml:space="preserve">: </w:t>
      </w:r>
      <w:r w:rsidRPr="00FC118E">
        <w:t>главное</w:t>
      </w:r>
      <w:r w:rsidRPr="00FC118E">
        <w:rPr>
          <w:rFonts w:eastAsia="SimSun"/>
        </w:rPr>
        <w:t xml:space="preserve"> заключается в том, что действия МСЭ-R должны быть сосредоточены на обеспечении регламентарной базы, которая способствовала бы выполнению требования ИКАО об</w:t>
      </w:r>
      <w:r w:rsidR="00FF0A00" w:rsidRPr="00FC118E">
        <w:t xml:space="preserve"> </w:t>
      </w:r>
      <w:r w:rsidR="00FC118E">
        <w:t>"</w:t>
      </w:r>
      <w:r w:rsidRPr="00FC118E">
        <w:rPr>
          <w:rFonts w:eastAsia="SimSun"/>
        </w:rPr>
        <w:t>обеспечении международного признания, а также создании основы для предотвращения вредных помех</w:t>
      </w:r>
      <w:r w:rsidR="00FC118E">
        <w:t>"</w:t>
      </w:r>
      <w:r w:rsidR="00FF0A00" w:rsidRPr="00FC118E">
        <w:t xml:space="preserve">. </w:t>
      </w:r>
      <w:r w:rsidR="00ED3554" w:rsidRPr="00FC118E">
        <w:t>В ИКАО будут рассматриваться положения, которые позволят обеспечить соответствие линий связи CNPC БАС необходимым техническим и эксплуатационным требованиям любого конкретного воздушного пространства в любой полосе частот</w:t>
      </w:r>
      <w:r w:rsidR="00FF0A00" w:rsidRPr="00FC118E">
        <w:t>.</w:t>
      </w:r>
    </w:p>
    <w:p w:rsidR="00FF0A00" w:rsidRPr="00FC118E" w:rsidRDefault="00B35450" w:rsidP="00FC118E">
      <w:r w:rsidRPr="00FC118E">
        <w:rPr>
          <w:b/>
          <w:bCs/>
        </w:rPr>
        <w:t>Межамериканское предложение СИТЕЛ соответствует позиции ИКАО</w:t>
      </w:r>
      <w:r w:rsidR="00FF0A00" w:rsidRPr="00FC118E">
        <w:t xml:space="preserve">: </w:t>
      </w:r>
      <w:r w:rsidR="00ED3554" w:rsidRPr="00FC118E">
        <w:t xml:space="preserve">в рамках этого предложения </w:t>
      </w:r>
      <w:hyperlink r:id="rId14" w:history="1">
        <w:r w:rsidR="00FF0A00" w:rsidRPr="00FC118E">
          <w:rPr>
            <w:rStyle w:val="Hyperlink"/>
          </w:rPr>
          <w:t>CITEL IAP</w:t>
        </w:r>
      </w:hyperlink>
      <w:r w:rsidR="00ED3554" w:rsidRPr="00FC118E">
        <w:t xml:space="preserve"> далее развивается метод А1 ПСК, который был разработан с целью решения всех вопросов МСЭ, выделенных в </w:t>
      </w:r>
      <w:hyperlink r:id="rId15" w:history="1">
        <w:r w:rsidR="00ED3554" w:rsidRPr="00FC118E">
          <w:rPr>
            <w:rStyle w:val="Hyperlink"/>
          </w:rPr>
          <w:t>позиции ИКАО</w:t>
        </w:r>
      </w:hyperlink>
      <w:r w:rsidR="00FF0A00" w:rsidRPr="00FC118E">
        <w:t xml:space="preserve">, </w:t>
      </w:r>
      <w:r w:rsidR="00ED3554" w:rsidRPr="00FC118E">
        <w:t>придерживаясь в то же время</w:t>
      </w:r>
      <w:r w:rsidR="00FF0A00" w:rsidRPr="00FC118E">
        <w:t xml:space="preserve"> </w:t>
      </w:r>
      <w:r w:rsidR="00FC118E">
        <w:t>"</w:t>
      </w:r>
      <w:r w:rsidR="00ED3554" w:rsidRPr="00FC118E">
        <w:t>четких ориентиров на</w:t>
      </w:r>
      <w:r w:rsidR="00FF0A00" w:rsidRPr="00FC118E">
        <w:t xml:space="preserve"> </w:t>
      </w:r>
      <w:r w:rsidR="00A24547" w:rsidRPr="00FC118E">
        <w:t>важнейшие элементы обеспечения безопасности жизни</w:t>
      </w:r>
      <w:r w:rsidR="00FC118E">
        <w:t>"</w:t>
      </w:r>
      <w:r w:rsidR="00A24547" w:rsidRPr="00FC118E">
        <w:t>, как подчеркивает ИКАО</w:t>
      </w:r>
      <w:r w:rsidR="00FF0A00" w:rsidRPr="00FC118E">
        <w:t>.</w:t>
      </w:r>
      <w:r w:rsidR="00A24547" w:rsidRPr="00FC118E">
        <w:t xml:space="preserve"> Этот подход, используемый в рамках межамериканского предложения, совместим с позицией ИКАО</w:t>
      </w:r>
      <w:r w:rsidR="00FF0A00" w:rsidRPr="00FC118E">
        <w:t>.</w:t>
      </w:r>
    </w:p>
    <w:p w:rsidR="00FF0A00" w:rsidRPr="00FC118E" w:rsidRDefault="00445596" w:rsidP="00445596">
      <w:pPr>
        <w:pStyle w:val="Headingb"/>
        <w:rPr>
          <w:lang w:val="ru-RU"/>
        </w:rPr>
      </w:pPr>
      <w:r w:rsidRPr="00FC118E">
        <w:rPr>
          <w:lang w:val="ru-RU"/>
        </w:rPr>
        <w:t>Ссылки</w:t>
      </w:r>
    </w:p>
    <w:p w:rsidR="00FF0A00" w:rsidRPr="00FC118E" w:rsidRDefault="00FF0A00" w:rsidP="00445596">
      <w:pPr>
        <w:pStyle w:val="enumlev1"/>
      </w:pPr>
      <w:r w:rsidRPr="00FC118E">
        <w:t>1)</w:t>
      </w:r>
      <w:r w:rsidRPr="00FC118E">
        <w:tab/>
      </w:r>
      <w:r w:rsidR="00445596" w:rsidRPr="00FC118E">
        <w:t>Приложение 1 – Результаты исследований</w:t>
      </w:r>
      <w:r w:rsidRPr="00FC118E">
        <w:t xml:space="preserve"> (</w:t>
      </w:r>
      <w:hyperlink r:id="rId16" w:history="1">
        <w:r w:rsidRPr="00FC118E">
          <w:rPr>
            <w:rStyle w:val="Hyperlink"/>
          </w:rPr>
          <w:t>http://www.itu.int/md/R12-WP5B-C-0886/en</w:t>
        </w:r>
      </w:hyperlink>
      <w:r w:rsidR="00FC118E">
        <w:t>).</w:t>
      </w:r>
    </w:p>
    <w:p w:rsidR="00FF0A00" w:rsidRPr="00FC118E" w:rsidRDefault="00FF0A00" w:rsidP="00445596">
      <w:pPr>
        <w:pStyle w:val="enumlev1"/>
      </w:pPr>
      <w:r w:rsidRPr="00FC118E">
        <w:t>2)</w:t>
      </w:r>
      <w:r w:rsidRPr="00FC118E">
        <w:tab/>
      </w:r>
      <w:r w:rsidR="00445596" w:rsidRPr="00FC118E">
        <w:t>Позиция ИКАО</w:t>
      </w:r>
      <w:r w:rsidRPr="00FC118E">
        <w:t xml:space="preserve"> – </w:t>
      </w:r>
      <w:r w:rsidR="00445596" w:rsidRPr="00FC118E">
        <w:t>Документ 17 ВКР</w:t>
      </w:r>
      <w:r w:rsidRPr="00FC118E">
        <w:noBreakHyphen/>
        <w:t>15 (</w:t>
      </w:r>
      <w:hyperlink r:id="rId17" w:history="1">
        <w:r w:rsidRPr="00FC118E">
          <w:rPr>
            <w:rStyle w:val="Hyperlink"/>
          </w:rPr>
          <w:t>http://www.itu.int/md/R15-WRC15-C-0017/en</w:t>
        </w:r>
      </w:hyperlink>
      <w:r w:rsidRPr="00FC118E">
        <w:t>)</w:t>
      </w:r>
      <w:r w:rsidR="00FC118E">
        <w:t>.</w:t>
      </w:r>
    </w:p>
    <w:p w:rsidR="00FF0A00" w:rsidRPr="00FC118E" w:rsidRDefault="00FF0A00" w:rsidP="00FC118E">
      <w:pPr>
        <w:pStyle w:val="enumlev1"/>
      </w:pPr>
      <w:r w:rsidRPr="00FC118E">
        <w:t>3)</w:t>
      </w:r>
      <w:r w:rsidRPr="00FC118E">
        <w:tab/>
      </w:r>
      <w:r w:rsidR="00DD63F9" w:rsidRPr="00FC118E">
        <w:t>Межамериканское предложение СИТЕЛ (</w:t>
      </w:r>
      <w:r w:rsidRPr="00FC118E">
        <w:t>CITEL IAP</w:t>
      </w:r>
      <w:r w:rsidR="00DD63F9" w:rsidRPr="00FC118E">
        <w:t>)</w:t>
      </w:r>
      <w:r w:rsidRPr="00FC118E">
        <w:t xml:space="preserve"> – </w:t>
      </w:r>
      <w:r w:rsidR="00445596" w:rsidRPr="00FC118E">
        <w:t>Дополнительный документ 5 к</w:t>
      </w:r>
      <w:r w:rsidR="00FC118E">
        <w:t> </w:t>
      </w:r>
      <w:r w:rsidR="00445596" w:rsidRPr="00FC118E">
        <w:t>Документу</w:t>
      </w:r>
      <w:r w:rsidRPr="00FC118E">
        <w:t xml:space="preserve"> 7</w:t>
      </w:r>
      <w:r w:rsidR="00445596" w:rsidRPr="00FC118E">
        <w:t xml:space="preserve"> ВКР-15</w:t>
      </w:r>
      <w:r w:rsidRPr="00FC118E">
        <w:t xml:space="preserve"> (</w:t>
      </w:r>
      <w:hyperlink r:id="rId18" w:history="1">
        <w:r w:rsidRPr="00FC118E">
          <w:rPr>
            <w:rStyle w:val="Hyperlink"/>
          </w:rPr>
          <w:t>http://www.itu.int/md/R15-WRC15-C-0007/en</w:t>
        </w:r>
      </w:hyperlink>
      <w:r w:rsidRPr="00FC118E">
        <w:t>)</w:t>
      </w:r>
      <w:r w:rsidR="00FC118E">
        <w:t>.</w:t>
      </w:r>
    </w:p>
    <w:p w:rsidR="00FF0A00" w:rsidRPr="00FC118E" w:rsidRDefault="00FF0A00" w:rsidP="00FC118E">
      <w:pPr>
        <w:pStyle w:val="enumlev1"/>
      </w:pPr>
      <w:r w:rsidRPr="00FC118E">
        <w:t>4)</w:t>
      </w:r>
      <w:r w:rsidRPr="00FC118E">
        <w:tab/>
      </w:r>
      <w:r w:rsidR="00445596" w:rsidRPr="00FC118E">
        <w:t>Информация ИКАО по пункту 1.5 повестки дня ВКР-15</w:t>
      </w:r>
      <w:r w:rsidRPr="00FC118E">
        <w:t xml:space="preserve"> – </w:t>
      </w:r>
      <w:r w:rsidR="00445596" w:rsidRPr="00FC118E">
        <w:t>Документ 67 ВКР</w:t>
      </w:r>
      <w:r w:rsidRPr="00FC118E">
        <w:noBreakHyphen/>
        <w:t>15 (</w:t>
      </w:r>
      <w:hyperlink r:id="rId19" w:history="1">
        <w:r w:rsidRPr="00FC118E">
          <w:rPr>
            <w:rStyle w:val="Hyperlink"/>
          </w:rPr>
          <w:t>http://www.itu.int/md/R15-WRC15-C-0067/en</w:t>
        </w:r>
      </w:hyperlink>
      <w:r w:rsidRPr="00FC118E">
        <w:t>)</w:t>
      </w:r>
      <w:r w:rsidR="00FC118E">
        <w:t>.</w:t>
      </w:r>
    </w:p>
    <w:p w:rsidR="00FF0A00" w:rsidRPr="00FC118E" w:rsidRDefault="00FF0A00" w:rsidP="00FF0A00">
      <w:r w:rsidRPr="00FC118E">
        <w:br w:type="page"/>
      </w:r>
    </w:p>
    <w:p w:rsidR="00FF0A00" w:rsidRPr="00FC118E" w:rsidRDefault="00DD3358" w:rsidP="00DD3358">
      <w:pPr>
        <w:pStyle w:val="AnnexNo"/>
      </w:pPr>
      <w:r w:rsidRPr="00FC118E">
        <w:lastRenderedPageBreak/>
        <w:t>ПРИЛОЖЕНИЕ</w:t>
      </w:r>
      <w:r w:rsidR="00FF0A00" w:rsidRPr="00FC118E">
        <w:t xml:space="preserve"> 1</w:t>
      </w:r>
    </w:p>
    <w:p w:rsidR="00FF0A00" w:rsidRPr="00FC118E" w:rsidRDefault="00DD3358" w:rsidP="00DD3358">
      <w:pPr>
        <w:pStyle w:val="Annextitle"/>
      </w:pPr>
      <w:r w:rsidRPr="00FC118E">
        <w:t>Пункт 1.5 повестки дня ВКР</w:t>
      </w:r>
      <w:r w:rsidR="00FF0A00" w:rsidRPr="00FC118E">
        <w:noBreakHyphen/>
        <w:t>15</w:t>
      </w:r>
      <w:r w:rsidR="00FF0A00" w:rsidRPr="00FC118E">
        <w:br/>
      </w:r>
      <w:r w:rsidRPr="00FC118E">
        <w:t>Результаты исследований</w:t>
      </w:r>
    </w:p>
    <w:p w:rsidR="00FF0A00" w:rsidRPr="00FC118E" w:rsidRDefault="00F10C5C" w:rsidP="00FC118E">
      <w:pPr>
        <w:pStyle w:val="Normalaftertitle"/>
      </w:pPr>
      <w:r w:rsidRPr="00FC118E">
        <w:t>В Документе МСЭ</w:t>
      </w:r>
      <w:r w:rsidR="00FF0A00" w:rsidRPr="00FC118E">
        <w:noBreakHyphen/>
        <w:t>R 5B/886</w:t>
      </w:r>
      <w:r w:rsidRPr="00FC118E">
        <w:t>, озаглавленном</w:t>
      </w:r>
      <w:r w:rsidR="00FF0A00" w:rsidRPr="00FC118E">
        <w:t xml:space="preserve"> </w:t>
      </w:r>
      <w:r w:rsidR="00FC118E">
        <w:t>"</w:t>
      </w:r>
      <w:r w:rsidRPr="00FC118E">
        <w:t>ПРОЕКТ НОВОГО ОТЧЕТА МСЭ</w:t>
      </w:r>
      <w:r w:rsidR="00FF0A00" w:rsidRPr="00FC118E">
        <w:noBreakHyphen/>
        <w:t>R M.[UAS-FSS]</w:t>
      </w:r>
      <w:r w:rsidR="00FC118E">
        <w:t>"</w:t>
      </w:r>
      <w:r w:rsidR="006E24E2" w:rsidRPr="00FC118E">
        <w:t>,</w:t>
      </w:r>
      <w:r w:rsidR="00FF0A00" w:rsidRPr="00FC118E">
        <w:t xml:space="preserve"> </w:t>
      </w:r>
      <w:r w:rsidRPr="00FC118E">
        <w:t>содержатся все необходимые исследования, которые проводились по теме</w:t>
      </w:r>
      <w:r w:rsidR="00FF0A00" w:rsidRPr="00FC118E">
        <w:t xml:space="preserve"> </w:t>
      </w:r>
      <w:r w:rsidR="00FC118E">
        <w:t>"</w:t>
      </w:r>
      <w:r w:rsidR="006E24E2" w:rsidRPr="00FC118E">
        <w:rPr>
          <w:i/>
          <w:iCs/>
        </w:rPr>
        <w:t xml:space="preserve">Технические и эксплуатационные характеристики, помеховая обстановка и регламентарные условия, связанные с использованием распределенных фиксированной спутниковой службе полос частот, к которым не применяются </w:t>
      </w:r>
      <w:r w:rsidR="006E24E2" w:rsidRPr="00085C0F">
        <w:rPr>
          <w:i/>
          <w:iCs/>
        </w:rPr>
        <w:t xml:space="preserve">Приложения </w:t>
      </w:r>
      <w:r w:rsidR="006E24E2" w:rsidRPr="00085C0F">
        <w:rPr>
          <w:i/>
          <w:iCs/>
          <w:rPrChange w:id="8" w:author="Beliaeva, Oxana" w:date="2015-03-22T10:27:00Z">
            <w:rPr/>
          </w:rPrChange>
        </w:rPr>
        <w:t>30, 30A и 30B, для</w:t>
      </w:r>
      <w:r w:rsidR="006E24E2" w:rsidRPr="00FC118E">
        <w:rPr>
          <w:i/>
          <w:iCs/>
          <w:rPrChange w:id="9" w:author="Beliaeva, Oxana" w:date="2015-03-22T10:27:00Z">
            <w:rPr/>
          </w:rPrChange>
        </w:rPr>
        <w:t xml:space="preserve"> управления и связи, не относящейся к полезной нагрузке, беспилотных авиационных систем в необособленном воздушном пространстве</w:t>
      </w:r>
      <w:r w:rsidR="00FC118E">
        <w:rPr>
          <w:i/>
          <w:iCs/>
        </w:rPr>
        <w:t>"</w:t>
      </w:r>
      <w:r w:rsidR="00FF0A00" w:rsidRPr="00FC118E">
        <w:rPr>
          <w:i/>
          <w:iCs/>
        </w:rPr>
        <w:t xml:space="preserve"> </w:t>
      </w:r>
      <w:r w:rsidR="00FF0A00" w:rsidRPr="00FC118E">
        <w:t>(</w:t>
      </w:r>
      <w:r w:rsidR="00860456" w:rsidRPr="00FC118E">
        <w:t xml:space="preserve">далее </w:t>
      </w:r>
      <w:r w:rsidR="006E24E2" w:rsidRPr="00FC118E">
        <w:t>в этом вкладе именуемый</w:t>
      </w:r>
      <w:r w:rsidR="006E24E2" w:rsidRPr="00FC118E">
        <w:rPr>
          <w:i/>
          <w:iCs/>
        </w:rPr>
        <w:t xml:space="preserve"> </w:t>
      </w:r>
      <w:r w:rsidR="00FC118E">
        <w:rPr>
          <w:i/>
          <w:iCs/>
        </w:rPr>
        <w:t>"</w:t>
      </w:r>
      <w:r w:rsidR="006E24E2" w:rsidRPr="00FC118E">
        <w:rPr>
          <w:i/>
          <w:iCs/>
        </w:rPr>
        <w:t>Отчет</w:t>
      </w:r>
      <w:r w:rsidR="00FC118E">
        <w:t>"</w:t>
      </w:r>
      <w:r w:rsidR="00FF0A00" w:rsidRPr="00FC118E">
        <w:t>)</w:t>
      </w:r>
      <w:r w:rsidR="006E24E2" w:rsidRPr="00FC118E">
        <w:t>, в соответствии с предложением, содержащимся в Резолюции</w:t>
      </w:r>
      <w:r w:rsidR="00FF0A00" w:rsidRPr="00FC118E">
        <w:t xml:space="preserve"> 153</w:t>
      </w:r>
      <w:r w:rsidR="006E24E2" w:rsidRPr="00FC118E">
        <w:t>, связанной с пунктом 1.5 повестки дня</w:t>
      </w:r>
      <w:r w:rsidR="00FF0A00" w:rsidRPr="00FC118E">
        <w:t xml:space="preserve"> (</w:t>
      </w:r>
      <w:r w:rsidR="006E24E2" w:rsidRPr="00FC118E">
        <w:t>ВКР</w:t>
      </w:r>
      <w:r w:rsidR="00FF0A00" w:rsidRPr="00FC118E">
        <w:noBreakHyphen/>
        <w:t>15).</w:t>
      </w:r>
    </w:p>
    <w:p w:rsidR="00FF0A00" w:rsidRPr="00FC118E" w:rsidRDefault="00860456" w:rsidP="00AC77B4">
      <w:pPr>
        <w:rPr>
          <w:rFonts w:eastAsiaTheme="minorEastAsia"/>
        </w:rPr>
      </w:pPr>
      <w:r w:rsidRPr="00FC118E">
        <w:t>Н</w:t>
      </w:r>
      <w:r w:rsidR="00AC77B4" w:rsidRPr="00FC118E">
        <w:t>е проводились и не представлялись</w:t>
      </w:r>
      <w:r w:rsidRPr="00FC118E">
        <w:t xml:space="preserve"> никакие другие исследования</w:t>
      </w:r>
      <w:r w:rsidR="00AC77B4" w:rsidRPr="00FC118E">
        <w:t>, в которых отвергались бы любые исходные положения</w:t>
      </w:r>
      <w:r w:rsidR="00FF0A00" w:rsidRPr="00FC118E">
        <w:t xml:space="preserve">, </w:t>
      </w:r>
      <w:r w:rsidR="00AC77B4" w:rsidRPr="00FC118E">
        <w:t>методологии, подходы или заключения, содержащиеся в этом Отчете</w:t>
      </w:r>
      <w:r w:rsidR="00FF0A00" w:rsidRPr="00FC118E">
        <w:rPr>
          <w:rFonts w:eastAsiaTheme="minorEastAsia"/>
        </w:rPr>
        <w:t>.</w:t>
      </w:r>
    </w:p>
    <w:p w:rsidR="00FF0A00" w:rsidRPr="00FC118E" w:rsidRDefault="001E17EC" w:rsidP="001E17EC">
      <w:r w:rsidRPr="00FC118E">
        <w:t>В связи с чрезвычайными обстоятельствами, этот уже завершенный Отчет не был утвержден в рамках обычной процедуры МСЭ</w:t>
      </w:r>
      <w:r w:rsidR="00FF0A00" w:rsidRPr="00FC118E">
        <w:noBreakHyphen/>
        <w:t>R.</w:t>
      </w:r>
    </w:p>
    <w:p w:rsidR="00FF0A00" w:rsidRPr="00FC118E" w:rsidRDefault="001E17EC" w:rsidP="00FC118E">
      <w:r w:rsidRPr="00FC118E">
        <w:t>Документ размещен на веб-сайте РГ</w:t>
      </w:r>
      <w:r w:rsidR="00FC118E">
        <w:t xml:space="preserve"> </w:t>
      </w:r>
      <w:r w:rsidRPr="00FC118E">
        <w:t>5В МСЭ</w:t>
      </w:r>
      <w:r w:rsidR="00FF0A00" w:rsidRPr="00FC118E">
        <w:noBreakHyphen/>
        <w:t>R</w:t>
      </w:r>
      <w:r w:rsidRPr="00FC118E">
        <w:t xml:space="preserve"> в качестве Документа</w:t>
      </w:r>
      <w:r w:rsidR="00FF0A00" w:rsidRPr="00FC118E">
        <w:t xml:space="preserve"> 5B/886</w:t>
      </w:r>
      <w:r w:rsidR="00FC118E">
        <w:t>(</w:t>
      </w:r>
      <w:r w:rsidR="00FF0A00" w:rsidRPr="00FC118E">
        <w:t>Rev.2</w:t>
      </w:r>
      <w:r w:rsidR="00FC118E">
        <w:t>)</w:t>
      </w:r>
      <w:r w:rsidR="00FF0A00" w:rsidRPr="00FC118E">
        <w:t xml:space="preserve"> (</w:t>
      </w:r>
      <w:r w:rsidRPr="00FC118E">
        <w:rPr>
          <w:color w:val="000000"/>
        </w:rPr>
        <w:t>требуется учетная запись TIES</w:t>
      </w:r>
      <w:r w:rsidR="00FF0A00" w:rsidRPr="00FC118E">
        <w:t xml:space="preserve">) </w:t>
      </w:r>
      <w:r w:rsidRPr="00FC118E">
        <w:t>и имеется также на веб-сайте по адресу:</w:t>
      </w:r>
      <w:r w:rsidR="00FF0A00" w:rsidRPr="00FC118E">
        <w:t xml:space="preserve"> </w:t>
      </w:r>
      <w:hyperlink r:id="rId20" w:history="1">
        <w:r w:rsidR="00FF0A00" w:rsidRPr="00FC118E">
          <w:rPr>
            <w:rStyle w:val="Hyperlink"/>
          </w:rPr>
          <w:t>http://www.itu.int/md/R12-WP5B-C-0886/en</w:t>
        </w:r>
      </w:hyperlink>
      <w:r w:rsidR="00FF0A00" w:rsidRPr="00FC118E">
        <w:t>.</w:t>
      </w:r>
    </w:p>
    <w:p w:rsidR="00FF0A00" w:rsidRPr="00FC118E" w:rsidRDefault="00F10120" w:rsidP="00F10120">
      <w:pPr>
        <w:pStyle w:val="Headingb"/>
        <w:rPr>
          <w:lang w:val="ru-RU"/>
        </w:rPr>
      </w:pPr>
      <w:r w:rsidRPr="00FC118E">
        <w:rPr>
          <w:lang w:val="ru-RU"/>
        </w:rPr>
        <w:t>Отчет включает результаты проведенных исследований, в которых</w:t>
      </w:r>
      <w:r w:rsidR="00FF0A00" w:rsidRPr="00FC118E">
        <w:rPr>
          <w:b w:val="0"/>
          <w:bCs/>
          <w:lang w:val="ru-RU"/>
        </w:rPr>
        <w:t>:</w:t>
      </w:r>
    </w:p>
    <w:p w:rsidR="00FF0A00" w:rsidRPr="00FC118E" w:rsidRDefault="00FF0A00" w:rsidP="00966405">
      <w:pPr>
        <w:pStyle w:val="enumlev1"/>
      </w:pPr>
      <w:r w:rsidRPr="00FC118E">
        <w:t>1)</w:t>
      </w:r>
      <w:r w:rsidRPr="00FC118E">
        <w:tab/>
      </w:r>
      <w:r w:rsidR="00966405" w:rsidRPr="00FC118E">
        <w:t>используются характеристики, координируемые с соответствующими группами экспертов МСЭ</w:t>
      </w:r>
      <w:r w:rsidRPr="00FC118E">
        <w:noBreakHyphen/>
        <w:t>R</w:t>
      </w:r>
      <w:r w:rsidR="00966405" w:rsidRPr="00FC118E">
        <w:t>;</w:t>
      </w:r>
    </w:p>
    <w:p w:rsidR="00FF0A00" w:rsidRPr="00FC118E" w:rsidRDefault="00FF0A00" w:rsidP="002B6F15">
      <w:pPr>
        <w:pStyle w:val="enumlev1"/>
      </w:pPr>
      <w:r w:rsidRPr="00FC118E">
        <w:t>2)</w:t>
      </w:r>
      <w:r w:rsidRPr="00FC118E">
        <w:tab/>
      </w:r>
      <w:r w:rsidR="002B6F15" w:rsidRPr="00FC118E">
        <w:t xml:space="preserve">демонстрируется, что земные станции </w:t>
      </w:r>
      <w:r w:rsidR="003B7D98" w:rsidRPr="00FC118E">
        <w:t xml:space="preserve">на борту </w:t>
      </w:r>
      <w:r w:rsidR="002B6F15" w:rsidRPr="00FC118E">
        <w:t>беспилотных воздушных судов</w:t>
      </w:r>
      <w:r w:rsidRPr="00FC118E">
        <w:t xml:space="preserve"> (</w:t>
      </w:r>
      <w:r w:rsidR="002B6F15" w:rsidRPr="00FC118E">
        <w:t>БВС</w:t>
      </w:r>
      <w:r w:rsidRPr="00FC118E">
        <w:t xml:space="preserve">) </w:t>
      </w:r>
      <w:r w:rsidR="002B6F15" w:rsidRPr="00FC118E">
        <w:t xml:space="preserve">могут удовлетворять существующие требования к эксплуатационным показателям фиксированной спутниковой службы </w:t>
      </w:r>
      <w:r w:rsidRPr="00FC118E">
        <w:t>(</w:t>
      </w:r>
      <w:r w:rsidR="002B6F15" w:rsidRPr="00FC118E">
        <w:t>ФСС</w:t>
      </w:r>
      <w:r w:rsidRPr="00FC118E">
        <w:t>)</w:t>
      </w:r>
      <w:r w:rsidR="002B6F15" w:rsidRPr="00FC118E">
        <w:t xml:space="preserve"> и не будут оказывать воздействия на существующую координацию ФСС;</w:t>
      </w:r>
    </w:p>
    <w:p w:rsidR="00FF0A00" w:rsidRPr="00FC118E" w:rsidRDefault="00FF0A00" w:rsidP="006166BF">
      <w:pPr>
        <w:pStyle w:val="enumlev1"/>
      </w:pPr>
      <w:r w:rsidRPr="00FC118E">
        <w:t>3)</w:t>
      </w:r>
      <w:r w:rsidRPr="00FC118E">
        <w:tab/>
      </w:r>
      <w:r w:rsidR="00C03620" w:rsidRPr="00FC118E">
        <w:t>рассчитывается</w:t>
      </w:r>
      <w:r w:rsidR="006166BF" w:rsidRPr="00FC118E">
        <w:t xml:space="preserve"> </w:t>
      </w:r>
      <w:r w:rsidR="00C03620" w:rsidRPr="00FC118E">
        <w:t>предел плотности потока мощности</w:t>
      </w:r>
      <w:r w:rsidRPr="00FC118E">
        <w:t xml:space="preserve"> (</w:t>
      </w:r>
      <w:r w:rsidR="00C03620" w:rsidRPr="00FC118E">
        <w:t>п.п.м.</w:t>
      </w:r>
      <w:r w:rsidRPr="00FC118E">
        <w:t xml:space="preserve">) </w:t>
      </w:r>
      <w:r w:rsidR="00C03620" w:rsidRPr="00FC118E">
        <w:t>для передач земной станции БВС, чтобы обеспечить защиту от помех действующим системам фиксированной службы</w:t>
      </w:r>
      <w:r w:rsidRPr="00FC118E">
        <w:t xml:space="preserve"> (</w:t>
      </w:r>
      <w:r w:rsidR="00C03620" w:rsidRPr="00FC118E">
        <w:t>ФС</w:t>
      </w:r>
      <w:r w:rsidRPr="00FC118E">
        <w:t>)</w:t>
      </w:r>
      <w:r w:rsidR="00C03620" w:rsidRPr="00FC118E">
        <w:t>;</w:t>
      </w:r>
    </w:p>
    <w:p w:rsidR="00FF0A00" w:rsidRPr="00FC118E" w:rsidRDefault="00FF0A00" w:rsidP="006166BF">
      <w:pPr>
        <w:pStyle w:val="enumlev1"/>
      </w:pPr>
      <w:r w:rsidRPr="00FC118E">
        <w:t>4)</w:t>
      </w:r>
      <w:r w:rsidRPr="00FC118E">
        <w:tab/>
      </w:r>
      <w:r w:rsidR="006166BF" w:rsidRPr="00FC118E">
        <w:t>демонстрируется, что приемники земных станций на борту БВС могут успешно функционировать без создания ограничений для действующих систем;</w:t>
      </w:r>
    </w:p>
    <w:p w:rsidR="00FF0A00" w:rsidRPr="00FC118E" w:rsidRDefault="00FF0A00" w:rsidP="00FC118E">
      <w:pPr>
        <w:pStyle w:val="enumlev1"/>
      </w:pPr>
      <w:r w:rsidRPr="00FC118E">
        <w:t>5)</w:t>
      </w:r>
      <w:r w:rsidRPr="00FC118E">
        <w:tab/>
      </w:r>
      <w:r w:rsidR="006166BF" w:rsidRPr="00FC118E">
        <w:t>Международной организации гражданской авиации</w:t>
      </w:r>
      <w:r w:rsidRPr="00FC118E">
        <w:t xml:space="preserve"> (</w:t>
      </w:r>
      <w:r w:rsidR="006166BF" w:rsidRPr="00FC118E">
        <w:t>ИКАО</w:t>
      </w:r>
      <w:r w:rsidRPr="00FC118E">
        <w:t xml:space="preserve">) </w:t>
      </w:r>
      <w:r w:rsidR="00860456" w:rsidRPr="00FC118E">
        <w:t xml:space="preserve">предоставляется </w:t>
      </w:r>
      <w:r w:rsidR="006166BF" w:rsidRPr="00FC118E">
        <w:t>запрашиваемая</w:t>
      </w:r>
      <w:r w:rsidRPr="00FC118E">
        <w:t xml:space="preserve"> </w:t>
      </w:r>
      <w:r w:rsidR="00FC118E">
        <w:t>"</w:t>
      </w:r>
      <w:r w:rsidR="006166BF" w:rsidRPr="00FC118E">
        <w:t>основа, позволяющая избежать вредных помех</w:t>
      </w:r>
      <w:r w:rsidR="00FC118E">
        <w:t>"</w:t>
      </w:r>
      <w:r w:rsidR="006166BF" w:rsidRPr="00FC118E">
        <w:t>, которую она может использовать для определения технических и эксплуатационных требований для БАС;</w:t>
      </w:r>
    </w:p>
    <w:p w:rsidR="00FF0A00" w:rsidRPr="00FC118E" w:rsidRDefault="00FF0A00" w:rsidP="005028F7">
      <w:pPr>
        <w:pStyle w:val="enumlev1"/>
      </w:pPr>
      <w:r w:rsidRPr="00FC118E">
        <w:t>6)</w:t>
      </w:r>
      <w:r w:rsidRPr="00FC118E">
        <w:tab/>
      </w:r>
      <w:r w:rsidR="009139E2" w:rsidRPr="00FC118E">
        <w:t>демонстрируется, что использование полос частот, распределенных ФСС</w:t>
      </w:r>
      <w:r w:rsidR="001B7C6A" w:rsidRPr="00FC118E">
        <w:t xml:space="preserve">, к которым не применяются </w:t>
      </w:r>
      <w:r w:rsidR="001B7C6A" w:rsidRPr="00085C0F">
        <w:t>Приложения 30, 30A и 30B,</w:t>
      </w:r>
      <w:r w:rsidRPr="00085C0F">
        <w:t xml:space="preserve"> </w:t>
      </w:r>
      <w:r w:rsidR="001B7C6A" w:rsidRPr="00085C0F">
        <w:t>может</w:t>
      </w:r>
      <w:r w:rsidR="001B7C6A" w:rsidRPr="00FC118E">
        <w:t xml:space="preserve"> с точки зрения спектра рассматриваться как обеспеч</w:t>
      </w:r>
      <w:r w:rsidR="005028F7" w:rsidRPr="00FC118E">
        <w:t>ивающее</w:t>
      </w:r>
      <w:r w:rsidR="001B7C6A" w:rsidRPr="00FC118E">
        <w:t xml:space="preserve"> надежн</w:t>
      </w:r>
      <w:r w:rsidR="005028F7" w:rsidRPr="00FC118E">
        <w:t>ую связь</w:t>
      </w:r>
      <w:r w:rsidR="001B7C6A" w:rsidRPr="00FC118E">
        <w:t>, необходим</w:t>
      </w:r>
      <w:r w:rsidR="005028F7" w:rsidRPr="00FC118E">
        <w:t>ую</w:t>
      </w:r>
      <w:r w:rsidR="001B7C6A" w:rsidRPr="00FC118E">
        <w:t xml:space="preserve"> </w:t>
      </w:r>
      <w:r w:rsidR="00860456" w:rsidRPr="00FC118E">
        <w:t>чтобы гарантировать</w:t>
      </w:r>
      <w:r w:rsidR="001B7C6A" w:rsidRPr="00FC118E">
        <w:t xml:space="preserve"> безопасн</w:t>
      </w:r>
      <w:r w:rsidR="00860456" w:rsidRPr="00FC118E">
        <w:t>ую</w:t>
      </w:r>
      <w:r w:rsidR="001B7C6A" w:rsidRPr="00FC118E">
        <w:t xml:space="preserve"> эксплуатаци</w:t>
      </w:r>
      <w:r w:rsidR="00860456" w:rsidRPr="00FC118E">
        <w:t>ю</w:t>
      </w:r>
      <w:r w:rsidR="001B7C6A" w:rsidRPr="00FC118E">
        <w:t xml:space="preserve"> БАС</w:t>
      </w:r>
      <w:r w:rsidRPr="00FC118E">
        <w:t>.</w:t>
      </w:r>
    </w:p>
    <w:p w:rsidR="00FF0A00" w:rsidRPr="00FC118E" w:rsidRDefault="00EE384E" w:rsidP="00EE384E">
      <w:r w:rsidRPr="00FC118E">
        <w:t>Предполагается, что все остальные аспекты, связанные с использованием БВС воздушного пространства, должны быть определены ИКАО и другими организациями по стандартизации авиационной деятельности</w:t>
      </w:r>
      <w:r w:rsidR="00FF0A00" w:rsidRPr="00FC118E">
        <w:t xml:space="preserve"> (</w:t>
      </w:r>
      <w:r w:rsidRPr="00FC118E">
        <w:t>такими как</w:t>
      </w:r>
      <w:r w:rsidR="00FF0A00" w:rsidRPr="00FC118E">
        <w:t xml:space="preserve"> EUROCAE </w:t>
      </w:r>
      <w:r w:rsidRPr="00FC118E">
        <w:t>и</w:t>
      </w:r>
      <w:r w:rsidR="00FF0A00" w:rsidRPr="00FC118E">
        <w:t xml:space="preserve"> RTCA). </w:t>
      </w:r>
      <w:r w:rsidRPr="00FC118E">
        <w:t>Необходимо также обеспечить выполнение требований национальных органов гражданской авиации для обеспечения сертификации для эксплуатации БАС</w:t>
      </w:r>
      <w:r w:rsidR="00FF0A00" w:rsidRPr="00FC118E">
        <w:t>.</w:t>
      </w:r>
    </w:p>
    <w:p w:rsidR="00FF0A00" w:rsidRPr="00FC118E" w:rsidRDefault="0016225E" w:rsidP="0016225E">
      <w:pPr>
        <w:pStyle w:val="Headingb"/>
        <w:rPr>
          <w:lang w:val="ru-RU"/>
        </w:rPr>
      </w:pPr>
      <w:bookmarkStart w:id="10" w:name="_Toc370985988"/>
      <w:bookmarkStart w:id="11" w:name="_Toc370993767"/>
      <w:bookmarkStart w:id="12" w:name="_Toc370994473"/>
      <w:bookmarkStart w:id="13" w:name="_Toc370994542"/>
      <w:bookmarkEnd w:id="10"/>
      <w:bookmarkEnd w:id="11"/>
      <w:bookmarkEnd w:id="12"/>
      <w:bookmarkEnd w:id="13"/>
      <w:r w:rsidRPr="00FC118E">
        <w:rPr>
          <w:lang w:val="ru-RU"/>
        </w:rPr>
        <w:t>Допущения для проведения исследований</w:t>
      </w:r>
    </w:p>
    <w:p w:rsidR="00FF0A00" w:rsidRPr="00FC118E" w:rsidRDefault="00E625A8" w:rsidP="002905A2">
      <w:r w:rsidRPr="00FC118E">
        <w:t>Основополагающее</w:t>
      </w:r>
      <w:r w:rsidR="008B4CA4" w:rsidRPr="00FC118E">
        <w:t xml:space="preserve"> допущение, которое использовалось в течение всего процесса разработки Отчета, заключалось в том, что </w:t>
      </w:r>
      <w:r w:rsidRPr="00FC118E">
        <w:t xml:space="preserve">для использования </w:t>
      </w:r>
      <w:r w:rsidR="008B4CA4" w:rsidRPr="00FC118E">
        <w:t>полос частот, распределенны</w:t>
      </w:r>
      <w:r w:rsidRPr="00FC118E">
        <w:t>х ФСС,</w:t>
      </w:r>
      <w:r w:rsidR="008B4CA4" w:rsidRPr="00FC118E">
        <w:t xml:space="preserve"> </w:t>
      </w:r>
      <w:r w:rsidRPr="00FC118E">
        <w:t xml:space="preserve">линия связи CNPC БАС, осуществляемой через космическую станцию, должна работать с теми же регламентарными и эксплуатационными ограничениями, как и любая другая земная или космическая станция ФСС, и в </w:t>
      </w:r>
      <w:r w:rsidRPr="00FC118E">
        <w:lastRenderedPageBreak/>
        <w:t>отношении помех она должна выполнять свои функции точно так же, как и любая другая земная или космическая станция ФСС</w:t>
      </w:r>
      <w:r w:rsidR="00FF0A00" w:rsidRPr="00FC118E">
        <w:t>.</w:t>
      </w:r>
      <w:r w:rsidR="002905A2" w:rsidRPr="00FC118E">
        <w:t xml:space="preserve"> Это означает, что при сравнении с системой ФСС, не являющейся БАС, БВС или космическая станция, поддерживающая БВС, не должна создавать дополнительных помех другим действующим службам и не</w:t>
      </w:r>
      <w:r w:rsidR="004D35DB" w:rsidRPr="00FC118E">
        <w:t xml:space="preserve"> должна</w:t>
      </w:r>
      <w:r w:rsidR="002905A2" w:rsidRPr="00FC118E">
        <w:t xml:space="preserve"> требовать дополнительной защиты от других действующих служб</w:t>
      </w:r>
      <w:r w:rsidR="00FF0A00" w:rsidRPr="00FC118E">
        <w:t>.</w:t>
      </w:r>
      <w:r w:rsidR="002905A2" w:rsidRPr="00FC118E">
        <w:t xml:space="preserve"> Такие действующие службы включают ФС и другие совпадающие по частоте сети ФСС</w:t>
      </w:r>
      <w:r w:rsidR="00FF0A00" w:rsidRPr="00FC118E">
        <w:t>.</w:t>
      </w:r>
    </w:p>
    <w:p w:rsidR="00FF0A00" w:rsidRPr="00FC118E" w:rsidRDefault="009946F3" w:rsidP="00FC118E">
      <w:r w:rsidRPr="00FC118E">
        <w:t xml:space="preserve">Кроме того, следует отметить, что успешная координация присвоений в процессе координации частот служит главной предпосылкой для эксплуатации </w:t>
      </w:r>
      <w:r w:rsidR="00FF0A00" w:rsidRPr="00FC118E">
        <w:t xml:space="preserve">CNPC </w:t>
      </w:r>
      <w:r w:rsidRPr="00FC118E">
        <w:t>БВС</w:t>
      </w:r>
      <w:r w:rsidR="00FF0A00" w:rsidRPr="00FC118E">
        <w:t xml:space="preserve">. </w:t>
      </w:r>
      <w:r w:rsidRPr="00FC118E">
        <w:t xml:space="preserve">Такая координация обеспечивает, чтобы уровни помех сети ФСС никогда не превышали уровни, достигаемые </w:t>
      </w:r>
      <w:r w:rsidR="002E76A6" w:rsidRPr="00FC118E">
        <w:t>при максимальной передаваемой мощности, допускаемой согласно Статье</w:t>
      </w:r>
      <w:r w:rsidR="00FF0A00" w:rsidRPr="00FC118E">
        <w:t xml:space="preserve"> 21</w:t>
      </w:r>
      <w:r w:rsidR="002E76A6" w:rsidRPr="00FC118E">
        <w:t>, и максимальные уровни</w:t>
      </w:r>
      <w:r w:rsidR="00FF0A00" w:rsidRPr="00FC118E">
        <w:t xml:space="preserve"> </w:t>
      </w:r>
      <w:r w:rsidR="002E76A6" w:rsidRPr="00FC118E">
        <w:t>внеосевой фактической изотропно излучаемой мощности</w:t>
      </w:r>
      <w:r w:rsidR="00FF0A00" w:rsidRPr="00FC118E">
        <w:t xml:space="preserve"> (</w:t>
      </w:r>
      <w:r w:rsidR="002E76A6" w:rsidRPr="00FC118E">
        <w:t>э.и.и.м.</w:t>
      </w:r>
      <w:r w:rsidR="00FF0A00" w:rsidRPr="00FC118E">
        <w:t>)</w:t>
      </w:r>
      <w:r w:rsidR="002E76A6" w:rsidRPr="00FC118E">
        <w:t>, допускаемые согласно МСЭ</w:t>
      </w:r>
      <w:r w:rsidR="00FF0A00" w:rsidRPr="00FC118E">
        <w:noBreakHyphen/>
        <w:t xml:space="preserve">R S.524. </w:t>
      </w:r>
      <w:r w:rsidR="002E76A6" w:rsidRPr="00FC118E">
        <w:t xml:space="preserve">Следовательно, используя эти уровни, Отчет </w:t>
      </w:r>
      <w:r w:rsidR="0074074F" w:rsidRPr="00FC118E">
        <w:t xml:space="preserve">анализирует </w:t>
      </w:r>
      <w:r w:rsidR="002E76A6" w:rsidRPr="00FC118E">
        <w:t>самый худший</w:t>
      </w:r>
      <w:r w:rsidR="00E90097" w:rsidRPr="00FC118E">
        <w:t xml:space="preserve"> вариант совместимости </w:t>
      </w:r>
      <w:r w:rsidR="002E76A6" w:rsidRPr="00FC118E">
        <w:t>между сетями ФСС</w:t>
      </w:r>
      <w:r w:rsidR="00FF0A00" w:rsidRPr="00FC118E">
        <w:t>.</w:t>
      </w:r>
    </w:p>
    <w:p w:rsidR="00FF0A00" w:rsidRPr="00FC118E" w:rsidRDefault="00BB0A23" w:rsidP="00720B89">
      <w:r w:rsidRPr="00FC118E">
        <w:t>Полосы частот, распределенные ФСС, к которым не применяются Приложения</w:t>
      </w:r>
      <w:r w:rsidR="00FF0A00" w:rsidRPr="00FC118E">
        <w:t xml:space="preserve"> 30, 30A </w:t>
      </w:r>
      <w:r w:rsidRPr="00FC118E">
        <w:t>и</w:t>
      </w:r>
      <w:r w:rsidR="00FF0A00" w:rsidRPr="00FC118E">
        <w:t xml:space="preserve"> 30B, </w:t>
      </w:r>
      <w:r w:rsidRPr="00FC118E">
        <w:t>уже в течение ряда десятилетий обеспечивают поддержку множеству применений БАС, включая функционирование линий</w:t>
      </w:r>
      <w:r w:rsidR="00FF0A00" w:rsidRPr="00FC118E">
        <w:t xml:space="preserve"> CNPC </w:t>
      </w:r>
      <w:r w:rsidRPr="00FC118E">
        <w:t>в обособленном воздушном пространстве</w:t>
      </w:r>
      <w:r w:rsidR="00FF0A00" w:rsidRPr="00FC118E">
        <w:t>.</w:t>
      </w:r>
      <w:r w:rsidRPr="00FC118E">
        <w:t xml:space="preserve"> До настоящего времени </w:t>
      </w:r>
      <w:r w:rsidR="000024F5" w:rsidRPr="00FC118E">
        <w:t xml:space="preserve">эти </w:t>
      </w:r>
      <w:r w:rsidRPr="00FC118E">
        <w:t>линии</w:t>
      </w:r>
      <w:r w:rsidR="00FF0A00" w:rsidRPr="00FC118E">
        <w:t xml:space="preserve"> CNPC </w:t>
      </w:r>
      <w:r w:rsidRPr="00FC118E">
        <w:t>БАС</w:t>
      </w:r>
      <w:r w:rsidR="00FF0A00" w:rsidRPr="00FC118E">
        <w:t xml:space="preserve">, </w:t>
      </w:r>
      <w:r w:rsidRPr="00FC118E">
        <w:t>работающие согласно п</w:t>
      </w:r>
      <w:r w:rsidR="00FF0A00" w:rsidRPr="00FC118E">
        <w:t xml:space="preserve">. 4.4 </w:t>
      </w:r>
      <w:r w:rsidRPr="00FC118E">
        <w:t>Регламента радиосвязи</w:t>
      </w:r>
      <w:r w:rsidR="00FF0A00" w:rsidRPr="00FC118E">
        <w:t xml:space="preserve">, </w:t>
      </w:r>
      <w:r w:rsidRPr="00FC118E">
        <w:t>поддерживались без каких-либо сложностей, связанных, например, с помехами или воздействием дождя на лини</w:t>
      </w:r>
      <w:r w:rsidR="00720B89" w:rsidRPr="00FC118E">
        <w:t>ях</w:t>
      </w:r>
      <w:r w:rsidRPr="00FC118E">
        <w:t xml:space="preserve"> связи</w:t>
      </w:r>
      <w:r w:rsidR="00FF0A00" w:rsidRPr="00FC118E">
        <w:t>.</w:t>
      </w:r>
      <w:r w:rsidRPr="00FC118E">
        <w:t xml:space="preserve"> Поскольку эти полосы ФСС в настоящее время поддерживают</w:t>
      </w:r>
      <w:r w:rsidR="00FF0A00" w:rsidRPr="00FC118E">
        <w:t xml:space="preserve"> CNPC</w:t>
      </w:r>
      <w:r w:rsidRPr="00FC118E">
        <w:t xml:space="preserve"> БАС</w:t>
      </w:r>
      <w:r w:rsidR="00FF0A00" w:rsidRPr="00FC118E">
        <w:t xml:space="preserve">, </w:t>
      </w:r>
      <w:r w:rsidRPr="00FC118E">
        <w:t>необходимо использовать согласованные на глобальном уровне части этих полос, чтобы не было необходимости загружать на борт БВС дополнительный и потенциально непрактичный объем радиооборудования</w:t>
      </w:r>
      <w:r w:rsidR="00FF0A00" w:rsidRPr="00FC118E">
        <w:t>.</w:t>
      </w:r>
    </w:p>
    <w:p w:rsidR="00FF0A00" w:rsidRPr="00FC118E" w:rsidRDefault="006A1877" w:rsidP="003844E4">
      <w:r w:rsidRPr="00FC118E">
        <w:t xml:space="preserve">Работающие в настоящее время БАС представляют собой весьма совершенные в техническом плане аппараты и спустя более чем два десятилетия и несколько миллионов часов оперативных полетов их конструкция </w:t>
      </w:r>
      <w:r w:rsidR="003844E4" w:rsidRPr="00FC118E">
        <w:t>была</w:t>
      </w:r>
      <w:r w:rsidRPr="00FC118E">
        <w:t xml:space="preserve"> еще более </w:t>
      </w:r>
      <w:r w:rsidR="003844E4" w:rsidRPr="00FC118E">
        <w:t>у</w:t>
      </w:r>
      <w:r w:rsidRPr="00FC118E">
        <w:t>совершен</w:t>
      </w:r>
      <w:r w:rsidR="003844E4" w:rsidRPr="00FC118E">
        <w:t>ствована</w:t>
      </w:r>
      <w:r w:rsidRPr="00FC118E">
        <w:t>, чтобы не допустить снижения уровня их безопасности даже при нарушении линии связи</w:t>
      </w:r>
      <w:r w:rsidR="00FF0A00" w:rsidRPr="00FC118E">
        <w:t xml:space="preserve"> CNPC</w:t>
      </w:r>
      <w:r w:rsidRPr="00FC118E">
        <w:t>, пр</w:t>
      </w:r>
      <w:r w:rsidR="00494555" w:rsidRPr="00FC118E">
        <w:t>ичем они могут успешно соверша</w:t>
      </w:r>
      <w:r w:rsidRPr="00FC118E">
        <w:t>ть посадку в автоматическом режиме даже при потере связи</w:t>
      </w:r>
      <w:r w:rsidR="00FF0A00" w:rsidRPr="00FC118E">
        <w:t xml:space="preserve"> CNPC.</w:t>
      </w:r>
    </w:p>
    <w:p w:rsidR="00FF0A00" w:rsidRPr="00FC118E" w:rsidRDefault="00134EFA" w:rsidP="00134EFA">
      <w:pPr>
        <w:pStyle w:val="Headingb"/>
        <w:rPr>
          <w:lang w:val="ru-RU"/>
        </w:rPr>
      </w:pPr>
      <w:r w:rsidRPr="00FC118E">
        <w:rPr>
          <w:lang w:val="ru-RU"/>
        </w:rPr>
        <w:t>Технические результаты</w:t>
      </w:r>
    </w:p>
    <w:p w:rsidR="00FF0A00" w:rsidRPr="00FC118E" w:rsidRDefault="00134EFA" w:rsidP="003903AD">
      <w:bookmarkStart w:id="14" w:name="_Toc359571184"/>
      <w:bookmarkStart w:id="15" w:name="_Toc359582435"/>
      <w:bookmarkStart w:id="16" w:name="_Toc359583408"/>
      <w:bookmarkStart w:id="17" w:name="_Toc359583685"/>
      <w:bookmarkStart w:id="18" w:name="_Toc359592475"/>
      <w:bookmarkStart w:id="19" w:name="_Toc359593043"/>
      <w:bookmarkStart w:id="20" w:name="_Toc359594769"/>
      <w:bookmarkStart w:id="21" w:name="_Toc359595083"/>
      <w:bookmarkStart w:id="22" w:name="_Toc359595393"/>
      <w:bookmarkStart w:id="23" w:name="_Toc359595691"/>
      <w:bookmarkStart w:id="24" w:name="_Toc359595989"/>
      <w:bookmarkStart w:id="25" w:name="_Toc359596280"/>
      <w:bookmarkStart w:id="26" w:name="_Toc359596567"/>
      <w:bookmarkStart w:id="27" w:name="_Toc359596864"/>
      <w:bookmarkStart w:id="28" w:name="_Toc359597161"/>
      <w:bookmarkStart w:id="29" w:name="_Toc359597460"/>
      <w:bookmarkStart w:id="30" w:name="_Toc359597756"/>
      <w:bookmarkStart w:id="31" w:name="_Toc359598068"/>
      <w:bookmarkStart w:id="32" w:name="_Toc359598384"/>
      <w:bookmarkStart w:id="33" w:name="_Toc359598700"/>
      <w:bookmarkStart w:id="34" w:name="_Toc359599016"/>
      <w:bookmarkStart w:id="35" w:name="_Toc359599332"/>
      <w:bookmarkStart w:id="36" w:name="_Toc359599648"/>
      <w:bookmarkStart w:id="37" w:name="_Toc359599969"/>
      <w:bookmarkStart w:id="38" w:name="_Toc359600285"/>
      <w:bookmarkStart w:id="39" w:name="_Toc359600597"/>
      <w:bookmarkStart w:id="40" w:name="_Toc359600907"/>
      <w:bookmarkStart w:id="41" w:name="_Toc359601815"/>
      <w:bookmarkStart w:id="42" w:name="_Toc359602117"/>
      <w:bookmarkStart w:id="43" w:name="_Toc361155082"/>
      <w:bookmarkStart w:id="44" w:name="_Toc361155390"/>
      <w:bookmarkStart w:id="45" w:name="_Toc361208815"/>
      <w:bookmarkStart w:id="46" w:name="_Toc361229823"/>
      <w:bookmarkStart w:id="47" w:name="_Toc361230137"/>
      <w:bookmarkStart w:id="48" w:name="_Toc361231626"/>
      <w:bookmarkStart w:id="49" w:name="_Toc359571192"/>
      <w:bookmarkStart w:id="50" w:name="_Toc359582443"/>
      <w:bookmarkStart w:id="51" w:name="_Toc359583416"/>
      <w:bookmarkStart w:id="52" w:name="_Toc359583693"/>
      <w:bookmarkStart w:id="53" w:name="_Toc359592483"/>
      <w:bookmarkStart w:id="54" w:name="_Toc359593051"/>
      <w:bookmarkStart w:id="55" w:name="_Toc359594784"/>
      <w:bookmarkStart w:id="56" w:name="_Toc359595401"/>
      <w:bookmarkStart w:id="57" w:name="_Toc359595699"/>
      <w:bookmarkStart w:id="58" w:name="_Toc359595997"/>
      <w:bookmarkStart w:id="59" w:name="_Toc359596288"/>
      <w:bookmarkStart w:id="60" w:name="_Toc359596575"/>
      <w:bookmarkStart w:id="61" w:name="_Toc359596872"/>
      <w:bookmarkStart w:id="62" w:name="_Toc359597169"/>
      <w:bookmarkStart w:id="63" w:name="_Toc359597468"/>
      <w:bookmarkStart w:id="64" w:name="_Toc359597764"/>
      <w:bookmarkStart w:id="65" w:name="_Toc359598076"/>
      <w:bookmarkStart w:id="66" w:name="_Toc359598392"/>
      <w:bookmarkStart w:id="67" w:name="_Toc359598708"/>
      <w:bookmarkStart w:id="68" w:name="_Toc359599024"/>
      <w:bookmarkStart w:id="69" w:name="_Toc359599340"/>
      <w:bookmarkStart w:id="70" w:name="_Toc359599656"/>
      <w:bookmarkStart w:id="71" w:name="_Toc359599977"/>
      <w:bookmarkStart w:id="72" w:name="_Toc359600293"/>
      <w:bookmarkStart w:id="73" w:name="_Toc359600605"/>
      <w:bookmarkStart w:id="74" w:name="_Toc359600915"/>
      <w:bookmarkStart w:id="75" w:name="_Toc359601823"/>
      <w:bookmarkStart w:id="76" w:name="_Toc359602125"/>
      <w:bookmarkStart w:id="77" w:name="_Toc359571193"/>
      <w:bookmarkStart w:id="78" w:name="_Toc359582444"/>
      <w:bookmarkStart w:id="79" w:name="_Toc359583417"/>
      <w:bookmarkStart w:id="80" w:name="_Toc359583694"/>
      <w:bookmarkStart w:id="81" w:name="_Toc359592484"/>
      <w:bookmarkStart w:id="82" w:name="_Toc359593052"/>
      <w:bookmarkStart w:id="83" w:name="_Toc359594785"/>
      <w:bookmarkStart w:id="84" w:name="_Toc359595402"/>
      <w:bookmarkStart w:id="85" w:name="_Toc359595700"/>
      <w:bookmarkStart w:id="86" w:name="_Toc359595998"/>
      <w:bookmarkStart w:id="87" w:name="_Toc359596289"/>
      <w:bookmarkStart w:id="88" w:name="_Toc359596576"/>
      <w:bookmarkStart w:id="89" w:name="_Toc359596873"/>
      <w:bookmarkStart w:id="90" w:name="_Toc359597170"/>
      <w:bookmarkStart w:id="91" w:name="_Toc359597469"/>
      <w:bookmarkStart w:id="92" w:name="_Toc359597765"/>
      <w:bookmarkStart w:id="93" w:name="_Toc359598077"/>
      <w:bookmarkStart w:id="94" w:name="_Toc359598393"/>
      <w:bookmarkStart w:id="95" w:name="_Toc359598709"/>
      <w:bookmarkStart w:id="96" w:name="_Toc359599025"/>
      <w:bookmarkStart w:id="97" w:name="_Toc359599341"/>
      <w:bookmarkStart w:id="98" w:name="_Toc359599657"/>
      <w:bookmarkStart w:id="99" w:name="_Toc359599978"/>
      <w:bookmarkStart w:id="100" w:name="_Toc359600294"/>
      <w:bookmarkStart w:id="101" w:name="_Toc359600606"/>
      <w:bookmarkStart w:id="102" w:name="_Toc359600916"/>
      <w:bookmarkStart w:id="103" w:name="_Toc359601824"/>
      <w:bookmarkStart w:id="104" w:name="_Toc359602126"/>
      <w:bookmarkStart w:id="105" w:name="_Toc359571194"/>
      <w:bookmarkStart w:id="106" w:name="_Toc359582445"/>
      <w:bookmarkStart w:id="107" w:name="_Toc359583418"/>
      <w:bookmarkStart w:id="108" w:name="_Toc359583695"/>
      <w:bookmarkStart w:id="109" w:name="_Toc359592485"/>
      <w:bookmarkStart w:id="110" w:name="_Toc359593053"/>
      <w:bookmarkStart w:id="111" w:name="_Toc359594786"/>
      <w:bookmarkStart w:id="112" w:name="_Toc359595403"/>
      <w:bookmarkStart w:id="113" w:name="_Toc359595701"/>
      <w:bookmarkStart w:id="114" w:name="_Toc359595999"/>
      <w:bookmarkStart w:id="115" w:name="_Toc359596290"/>
      <w:bookmarkStart w:id="116" w:name="_Toc359596577"/>
      <w:bookmarkStart w:id="117" w:name="_Toc359596874"/>
      <w:bookmarkStart w:id="118" w:name="_Toc359597171"/>
      <w:bookmarkStart w:id="119" w:name="_Toc359597470"/>
      <w:bookmarkStart w:id="120" w:name="_Toc359597766"/>
      <w:bookmarkStart w:id="121" w:name="_Toc359598078"/>
      <w:bookmarkStart w:id="122" w:name="_Toc359598394"/>
      <w:bookmarkStart w:id="123" w:name="_Toc359598710"/>
      <w:bookmarkStart w:id="124" w:name="_Toc359599026"/>
      <w:bookmarkStart w:id="125" w:name="_Toc359599342"/>
      <w:bookmarkStart w:id="126" w:name="_Toc359599658"/>
      <w:bookmarkStart w:id="127" w:name="_Toc359599979"/>
      <w:bookmarkStart w:id="128" w:name="_Toc359600295"/>
      <w:bookmarkStart w:id="129" w:name="_Toc359600607"/>
      <w:bookmarkStart w:id="130" w:name="_Toc359600917"/>
      <w:bookmarkStart w:id="131" w:name="_Toc359601825"/>
      <w:bookmarkStart w:id="132" w:name="_Toc359602127"/>
      <w:bookmarkStart w:id="133" w:name="_Toc359571195"/>
      <w:bookmarkStart w:id="134" w:name="_Toc359582446"/>
      <w:bookmarkStart w:id="135" w:name="_Toc359583419"/>
      <w:bookmarkStart w:id="136" w:name="_Toc359583696"/>
      <w:bookmarkStart w:id="137" w:name="_Toc359592486"/>
      <w:bookmarkStart w:id="138" w:name="_Toc359593054"/>
      <w:bookmarkStart w:id="139" w:name="_Toc359594787"/>
      <w:bookmarkStart w:id="140" w:name="_Toc359595404"/>
      <w:bookmarkStart w:id="141" w:name="_Toc359595702"/>
      <w:bookmarkStart w:id="142" w:name="_Toc359596000"/>
      <w:bookmarkStart w:id="143" w:name="_Toc359596291"/>
      <w:bookmarkStart w:id="144" w:name="_Toc359596578"/>
      <w:bookmarkStart w:id="145" w:name="_Toc359596875"/>
      <w:bookmarkStart w:id="146" w:name="_Toc359597172"/>
      <w:bookmarkStart w:id="147" w:name="_Toc359597471"/>
      <w:bookmarkStart w:id="148" w:name="_Toc359597767"/>
      <w:bookmarkStart w:id="149" w:name="_Toc359598079"/>
      <w:bookmarkStart w:id="150" w:name="_Toc359598395"/>
      <w:bookmarkStart w:id="151" w:name="_Toc359598711"/>
      <w:bookmarkStart w:id="152" w:name="_Toc359599027"/>
      <w:bookmarkStart w:id="153" w:name="_Toc359599343"/>
      <w:bookmarkStart w:id="154" w:name="_Toc359599659"/>
      <w:bookmarkStart w:id="155" w:name="_Toc359599980"/>
      <w:bookmarkStart w:id="156" w:name="_Toc359600296"/>
      <w:bookmarkStart w:id="157" w:name="_Toc359600608"/>
      <w:bookmarkStart w:id="158" w:name="_Toc359600918"/>
      <w:bookmarkStart w:id="159" w:name="_Toc359601826"/>
      <w:bookmarkStart w:id="160" w:name="_Toc359602128"/>
      <w:bookmarkStart w:id="161" w:name="_Toc350516591"/>
      <w:bookmarkStart w:id="162" w:name="_Toc350516877"/>
      <w:bookmarkStart w:id="163" w:name="_Toc350516979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Pr="00FC118E">
        <w:t>Следующие технические результаты основаны на анализе</w:t>
      </w:r>
      <w:r w:rsidR="00494555" w:rsidRPr="00FC118E">
        <w:t>,</w:t>
      </w:r>
      <w:r w:rsidRPr="00FC118E">
        <w:t xml:space="preserve"> осуществленном в рамках Отчета</w:t>
      </w:r>
      <w:r w:rsidR="003903AD" w:rsidRPr="00FC118E">
        <w:t>.</w:t>
      </w:r>
    </w:p>
    <w:p w:rsidR="00FF0A00" w:rsidRPr="00FC118E" w:rsidRDefault="00FF0A00" w:rsidP="00B50E09">
      <w:pPr>
        <w:pStyle w:val="enumlev1"/>
      </w:pPr>
      <w:r w:rsidRPr="00FC118E">
        <w:t>1)</w:t>
      </w:r>
      <w:r w:rsidRPr="00FC118E">
        <w:tab/>
      </w:r>
      <w:r w:rsidR="00B50E09" w:rsidRPr="00FC118E">
        <w:t>Полосы частот, распределенные ФСС, могут использоваться для линий</w:t>
      </w:r>
      <w:r w:rsidRPr="00FC118E">
        <w:t xml:space="preserve"> CNPC </w:t>
      </w:r>
      <w:r w:rsidR="00B50E09" w:rsidRPr="00FC118E">
        <w:t>для эксплуатации БАС в соответствии с техническими, эксплуатационными и регламентарными условиями, установленными в Отчете</w:t>
      </w:r>
      <w:r w:rsidRPr="00FC118E">
        <w:t>.</w:t>
      </w:r>
    </w:p>
    <w:p w:rsidR="00FF0A00" w:rsidRPr="00FC118E" w:rsidRDefault="00FF0A00" w:rsidP="003903AD">
      <w:pPr>
        <w:pStyle w:val="enumlev1"/>
      </w:pPr>
      <w:r w:rsidRPr="00FC118E">
        <w:t>2)</w:t>
      </w:r>
      <w:r w:rsidRPr="00FC118E">
        <w:tab/>
      </w:r>
      <w:r w:rsidR="00604FB8" w:rsidRPr="00FC118E">
        <w:t>Надлежащий запас на линии, направленный на то, чтобы не допустить возможных помех и нарушений, вызванных атмосферными явлениями/дождем, может быть обеспечен при условии, что земные станции, работающие на борту БВС, и поддерживающи</w:t>
      </w:r>
      <w:r w:rsidR="003903AD" w:rsidRPr="00FC118E">
        <w:t>е</w:t>
      </w:r>
      <w:r w:rsidR="00604FB8" w:rsidRPr="00FC118E">
        <w:t xml:space="preserve"> их космические станции используют технические характеристики, соответствующие текущим техническим условиям ФСС и соответствующим положениям Регламента радиосвязи</w:t>
      </w:r>
      <w:r w:rsidRPr="00FC118E">
        <w:t>.</w:t>
      </w:r>
      <w:r w:rsidR="00604FB8" w:rsidRPr="00FC118E">
        <w:t xml:space="preserve"> Был проведен анализ при наихудших условиях воздействия дождя на линии от земной станции</w:t>
      </w:r>
      <w:r w:rsidRPr="00FC118E">
        <w:t xml:space="preserve"> (</w:t>
      </w:r>
      <w:r w:rsidR="00604FB8" w:rsidRPr="00FC118E">
        <w:t>на поверхности земли</w:t>
      </w:r>
      <w:r w:rsidRPr="00FC118E">
        <w:t xml:space="preserve">) </w:t>
      </w:r>
      <w:r w:rsidR="00604FB8" w:rsidRPr="00FC118E">
        <w:t>до спутника</w:t>
      </w:r>
      <w:r w:rsidRPr="00FC118E">
        <w:t xml:space="preserve">. </w:t>
      </w:r>
      <w:r w:rsidR="00604FB8" w:rsidRPr="00FC118E">
        <w:t>В Отчете представлены дополнительные методы смягчения</w:t>
      </w:r>
      <w:r w:rsidRPr="00FC118E">
        <w:t>.</w:t>
      </w:r>
    </w:p>
    <w:p w:rsidR="00FF0A00" w:rsidRPr="00FC118E" w:rsidRDefault="00FF0A00" w:rsidP="00D33FEB">
      <w:pPr>
        <w:pStyle w:val="enumlev1"/>
      </w:pPr>
      <w:r w:rsidRPr="00FC118E">
        <w:t>3)</w:t>
      </w:r>
      <w:r w:rsidRPr="00FC118E">
        <w:tab/>
      </w:r>
      <w:r w:rsidR="000B06E1" w:rsidRPr="00FC118E">
        <w:t>Земная станция на борту БВС, даже работающая при самых плохих условиях на поверхности земли</w:t>
      </w:r>
      <w:r w:rsidRPr="00FC118E">
        <w:t xml:space="preserve">, </w:t>
      </w:r>
      <w:r w:rsidR="000B06E1" w:rsidRPr="00FC118E">
        <w:t xml:space="preserve">все равно будет принимать достаточный уровень отношения </w:t>
      </w:r>
      <w:r w:rsidR="000B06E1" w:rsidRPr="00FC118E">
        <w:rPr>
          <w:color w:val="000000"/>
        </w:rPr>
        <w:t xml:space="preserve">несущей плотности шума и помех </w:t>
      </w:r>
      <w:r w:rsidRPr="00FC118E">
        <w:t>(</w:t>
      </w:r>
      <w:r w:rsidRPr="00FC118E">
        <w:rPr>
          <w:i/>
          <w:iCs/>
        </w:rPr>
        <w:t>C</w:t>
      </w:r>
      <w:r w:rsidRPr="00FC118E">
        <w:t>/</w:t>
      </w:r>
      <w:r w:rsidRPr="00FC118E">
        <w:rPr>
          <w:i/>
          <w:iCs/>
        </w:rPr>
        <w:t>N </w:t>
      </w:r>
      <w:r w:rsidRPr="00FC118E">
        <w:t>+ </w:t>
      </w:r>
      <w:r w:rsidRPr="00FC118E">
        <w:rPr>
          <w:i/>
          <w:iCs/>
        </w:rPr>
        <w:t>I</w:t>
      </w:r>
      <w:r w:rsidRPr="00FC118E">
        <w:t xml:space="preserve">) </w:t>
      </w:r>
      <w:r w:rsidR="000B06E1" w:rsidRPr="00FC118E">
        <w:t>для желаемой линии</w:t>
      </w:r>
      <w:r w:rsidRPr="00FC118E">
        <w:t xml:space="preserve"> CNPC (</w:t>
      </w:r>
      <w:r w:rsidR="00D33FEB" w:rsidRPr="00FC118E">
        <w:t xml:space="preserve">на </w:t>
      </w:r>
      <w:r w:rsidR="002073B8" w:rsidRPr="00FC118E">
        <w:t>основ</w:t>
      </w:r>
      <w:r w:rsidR="00D33FEB" w:rsidRPr="00FC118E">
        <w:t>е</w:t>
      </w:r>
      <w:r w:rsidR="00330CE5" w:rsidRPr="00FC118E">
        <w:t xml:space="preserve"> бюджет</w:t>
      </w:r>
      <w:r w:rsidR="00D33FEB" w:rsidRPr="00FC118E">
        <w:t>ов</w:t>
      </w:r>
      <w:r w:rsidR="002073B8" w:rsidRPr="00FC118E">
        <w:t xml:space="preserve"> линии в Отчете</w:t>
      </w:r>
      <w:r w:rsidRPr="00FC118E">
        <w:t>)</w:t>
      </w:r>
      <w:r w:rsidR="002073B8" w:rsidRPr="00FC118E">
        <w:t>, даже при приеме помех от четырех соседних спутников</w:t>
      </w:r>
      <w:r w:rsidRPr="00FC118E">
        <w:t xml:space="preserve"> (</w:t>
      </w:r>
      <w:r w:rsidR="002073B8" w:rsidRPr="00FC118E">
        <w:t>передающих с максимальным уровнем мощности, установленным в Статье</w:t>
      </w:r>
      <w:r w:rsidRPr="00FC118E">
        <w:t xml:space="preserve"> 21) </w:t>
      </w:r>
      <w:r w:rsidR="002073B8" w:rsidRPr="00FC118E">
        <w:t>по обеим сторонам от спутника, поддерживающего БАС</w:t>
      </w:r>
      <w:r w:rsidRPr="00FC118E">
        <w:t>.</w:t>
      </w:r>
    </w:p>
    <w:p w:rsidR="00FF0A00" w:rsidRPr="00FC118E" w:rsidRDefault="00FF0A00" w:rsidP="008836B7">
      <w:pPr>
        <w:pStyle w:val="enumlev1"/>
      </w:pPr>
      <w:r w:rsidRPr="00FC118E">
        <w:t>4)</w:t>
      </w:r>
      <w:r w:rsidRPr="00FC118E">
        <w:tab/>
      </w:r>
      <w:r w:rsidR="00004C7E" w:rsidRPr="00FC118E">
        <w:t xml:space="preserve">Помехи со стороны земных станций неучаствующих соседних спутниковых систем приводят к ухудшению показателя </w:t>
      </w:r>
      <w:r w:rsidRPr="00FC118E">
        <w:rPr>
          <w:i/>
          <w:iCs/>
        </w:rPr>
        <w:t>C</w:t>
      </w:r>
      <w:r w:rsidRPr="00FC118E">
        <w:t>/</w:t>
      </w:r>
      <w:r w:rsidRPr="00FC118E">
        <w:rPr>
          <w:i/>
          <w:iCs/>
        </w:rPr>
        <w:t>N </w:t>
      </w:r>
      <w:r w:rsidRPr="00FC118E">
        <w:t>+ </w:t>
      </w:r>
      <w:r w:rsidRPr="00FC118E">
        <w:rPr>
          <w:i/>
          <w:iCs/>
        </w:rPr>
        <w:t>I</w:t>
      </w:r>
      <w:r w:rsidRPr="00FC118E">
        <w:t xml:space="preserve"> </w:t>
      </w:r>
      <w:r w:rsidR="00004C7E" w:rsidRPr="00FC118E">
        <w:t xml:space="preserve">в </w:t>
      </w:r>
      <w:r w:rsidR="00137BE1" w:rsidRPr="00FC118E">
        <w:t>направлении</w:t>
      </w:r>
      <w:r w:rsidR="00004C7E" w:rsidRPr="00FC118E">
        <w:t xml:space="preserve"> космической станции, поддерживающей лини</w:t>
      </w:r>
      <w:r w:rsidR="006434BC" w:rsidRPr="00FC118E">
        <w:t>ю</w:t>
      </w:r>
      <w:r w:rsidR="00004C7E" w:rsidRPr="00FC118E">
        <w:t xml:space="preserve"> </w:t>
      </w:r>
      <w:r w:rsidRPr="00FC118E">
        <w:t xml:space="preserve">CNPC </w:t>
      </w:r>
      <w:r w:rsidR="00004C7E" w:rsidRPr="00FC118E">
        <w:t>Б</w:t>
      </w:r>
      <w:r w:rsidR="006434BC" w:rsidRPr="00FC118E">
        <w:t>В</w:t>
      </w:r>
      <w:r w:rsidR="00004C7E" w:rsidRPr="00FC118E">
        <w:t>С</w:t>
      </w:r>
      <w:r w:rsidR="003903AD" w:rsidRPr="00FC118E">
        <w:t xml:space="preserve">, не более чем </w:t>
      </w:r>
      <w:r w:rsidR="00004C7E" w:rsidRPr="00FC118E">
        <w:t>на</w:t>
      </w:r>
      <w:r w:rsidRPr="00FC118E">
        <w:t xml:space="preserve"> 0</w:t>
      </w:r>
      <w:r w:rsidR="00004C7E" w:rsidRPr="00FC118E">
        <w:t>,</w:t>
      </w:r>
      <w:r w:rsidRPr="00FC118E">
        <w:t>2 </w:t>
      </w:r>
      <w:r w:rsidR="00004C7E" w:rsidRPr="00FC118E">
        <w:t>дБ</w:t>
      </w:r>
      <w:r w:rsidRPr="00FC118E">
        <w:t xml:space="preserve">. </w:t>
      </w:r>
      <w:r w:rsidR="00004C7E" w:rsidRPr="00FC118E">
        <w:t>Такое ухудшение показателя</w:t>
      </w:r>
      <w:r w:rsidRPr="00FC118E">
        <w:t xml:space="preserve"> </w:t>
      </w:r>
      <w:r w:rsidRPr="00FC118E">
        <w:rPr>
          <w:i/>
          <w:iCs/>
        </w:rPr>
        <w:t>C</w:t>
      </w:r>
      <w:r w:rsidRPr="00FC118E">
        <w:t>/</w:t>
      </w:r>
      <w:r w:rsidRPr="00FC118E">
        <w:rPr>
          <w:i/>
          <w:iCs/>
        </w:rPr>
        <w:t>N </w:t>
      </w:r>
      <w:r w:rsidRPr="00FC118E">
        <w:t>+ </w:t>
      </w:r>
      <w:r w:rsidRPr="00FC118E">
        <w:rPr>
          <w:i/>
          <w:iCs/>
        </w:rPr>
        <w:t>I</w:t>
      </w:r>
      <w:r w:rsidR="00004C7E" w:rsidRPr="00FC118E">
        <w:t xml:space="preserve"> намного ниже ухудшения на уровне</w:t>
      </w:r>
      <w:r w:rsidRPr="00FC118E">
        <w:t xml:space="preserve"> 1 </w:t>
      </w:r>
      <w:r w:rsidR="00004C7E" w:rsidRPr="00FC118E">
        <w:t>дБ</w:t>
      </w:r>
      <w:r w:rsidRPr="00FC118E">
        <w:t xml:space="preserve"> </w:t>
      </w:r>
      <w:r w:rsidRPr="00FC118E">
        <w:rPr>
          <w:i/>
          <w:iCs/>
        </w:rPr>
        <w:t>C</w:t>
      </w:r>
      <w:r w:rsidRPr="00FC118E">
        <w:t>/</w:t>
      </w:r>
      <w:r w:rsidRPr="00FC118E">
        <w:rPr>
          <w:i/>
          <w:iCs/>
        </w:rPr>
        <w:t>N </w:t>
      </w:r>
      <w:r w:rsidRPr="00FC118E">
        <w:t>+ </w:t>
      </w:r>
      <w:r w:rsidRPr="00FC118E">
        <w:rPr>
          <w:i/>
          <w:iCs/>
        </w:rPr>
        <w:t>I</w:t>
      </w:r>
      <w:r w:rsidR="00004C7E" w:rsidRPr="00FC118E">
        <w:rPr>
          <w:i/>
          <w:iCs/>
        </w:rPr>
        <w:t>,</w:t>
      </w:r>
      <w:r w:rsidRPr="00FC118E">
        <w:t xml:space="preserve"> </w:t>
      </w:r>
      <w:r w:rsidR="00004C7E" w:rsidRPr="00FC118E">
        <w:t>которое уже включено в</w:t>
      </w:r>
      <w:r w:rsidR="008836B7" w:rsidRPr="00FC118E">
        <w:t xml:space="preserve"> содержащийся в Отчете</w:t>
      </w:r>
      <w:r w:rsidR="00004C7E" w:rsidRPr="00FC118E">
        <w:t xml:space="preserve"> расчет бюджета линии для линий связи БВС</w:t>
      </w:r>
      <w:r w:rsidR="008836B7" w:rsidRPr="00FC118E">
        <w:t xml:space="preserve"> со спутником</w:t>
      </w:r>
      <w:r w:rsidRPr="00FC118E">
        <w:t>.</w:t>
      </w:r>
      <w:r w:rsidR="00004C7E" w:rsidRPr="00FC118E">
        <w:t xml:space="preserve"> </w:t>
      </w:r>
      <w:r w:rsidR="00004C7E" w:rsidRPr="00FC118E">
        <w:lastRenderedPageBreak/>
        <w:t>Следовательно, не ожидается никаких вредных помех для космических станций, поддерживающих</w:t>
      </w:r>
      <w:r w:rsidRPr="00FC118E">
        <w:t xml:space="preserve"> CNPC </w:t>
      </w:r>
      <w:r w:rsidR="00004C7E" w:rsidRPr="00FC118E">
        <w:t>БАС</w:t>
      </w:r>
      <w:r w:rsidRPr="00FC118E">
        <w:t>.</w:t>
      </w:r>
    </w:p>
    <w:p w:rsidR="00FF0A00" w:rsidRPr="00FC118E" w:rsidRDefault="00FF0A00" w:rsidP="00071D4D">
      <w:pPr>
        <w:pStyle w:val="enumlev1"/>
      </w:pPr>
      <w:r w:rsidRPr="00FC118E">
        <w:t>5)</w:t>
      </w:r>
      <w:r w:rsidRPr="00FC118E">
        <w:tab/>
      </w:r>
      <w:r w:rsidR="00DF4668" w:rsidRPr="00FC118E">
        <w:t xml:space="preserve">Никаких анализов помех для неучаствующих земных или космических станций не проводилось, исходя из </w:t>
      </w:r>
      <w:r w:rsidR="00071D4D" w:rsidRPr="00FC118E">
        <w:t xml:space="preserve">содержащегося в Отчете </w:t>
      </w:r>
      <w:r w:rsidR="00DF4668" w:rsidRPr="00FC118E">
        <w:t>основополагающего допущения, что системы БАС-ФСС будут функционировать с теми же ограничениями, что и любые другие системы ФСС</w:t>
      </w:r>
      <w:r w:rsidRPr="00FC118E">
        <w:t xml:space="preserve">, </w:t>
      </w:r>
      <w:r w:rsidR="00DF4668" w:rsidRPr="00FC118E">
        <w:t>и поэтому они не будут создавать больше помех, чем любая другая земная или космическая станция ФСС, не относящаяся к БАС</w:t>
      </w:r>
      <w:r w:rsidRPr="00FC118E">
        <w:t>.</w:t>
      </w:r>
      <w:r w:rsidR="00DF4668" w:rsidRPr="00FC118E">
        <w:t xml:space="preserve"> В Отчете отмечается, что ИКАО, другие органы по вопросам стандартизации и конструкторы земных станций на борту БВС должны внимательно следить за соблюдением положений МСЭ</w:t>
      </w:r>
      <w:r w:rsidRPr="00FC118E">
        <w:noBreakHyphen/>
        <w:t xml:space="preserve">R S.524, </w:t>
      </w:r>
      <w:r w:rsidR="00DF4668" w:rsidRPr="00FC118E">
        <w:t>в частности во время маневрирования воздушного судна, чтобы установленные в них уровни плотности внеосевой э.и.и.м. никогда не превышались</w:t>
      </w:r>
      <w:r w:rsidRPr="00FC118E">
        <w:t>.</w:t>
      </w:r>
    </w:p>
    <w:p w:rsidR="00FF0A00" w:rsidRPr="00FC118E" w:rsidRDefault="00FF0A00" w:rsidP="00D254D2">
      <w:pPr>
        <w:pStyle w:val="enumlev1"/>
      </w:pPr>
      <w:r w:rsidRPr="00FC118E">
        <w:t>6)</w:t>
      </w:r>
      <w:r w:rsidRPr="00FC118E">
        <w:tab/>
      </w:r>
      <w:r w:rsidR="002C5960" w:rsidRPr="00FC118E">
        <w:t>Исходя из содержащегося в Отчете основополагающего допущения, что БВС не может просить о каком-либо снижении уровня помех со стороны других служб, уже работающих в полосах частот, распределенных ФСС, в Отчете содержится предложение о том, что БВС должны будут компенсировать за счет конструкции и мер смягчения любые дополнительные помехи, принимаемые ими во время полета вблизи других действующих служб</w:t>
      </w:r>
      <w:r w:rsidRPr="00FC118E">
        <w:t>.</w:t>
      </w:r>
      <w:r w:rsidR="002C5960" w:rsidRPr="00FC118E">
        <w:t xml:space="preserve"> Отчет представляет ИКАО, другим органам по стандартизации и конструкторам БАС информацию об уровнях помех и их временных технических характеристиках, которые земные станции на борту БВС</w:t>
      </w:r>
      <w:r w:rsidR="00D254D2" w:rsidRPr="00FC118E">
        <w:t xml:space="preserve"> будут принимать во время полета</w:t>
      </w:r>
      <w:r w:rsidRPr="00FC118E">
        <w:t>.</w:t>
      </w:r>
      <w:r w:rsidR="002C5960" w:rsidRPr="00FC118E">
        <w:t xml:space="preserve"> В Отчете указывается, что именно эти организации, а не МСЭ</w:t>
      </w:r>
      <w:r w:rsidRPr="00FC118E">
        <w:noBreakHyphen/>
        <w:t xml:space="preserve">R, </w:t>
      </w:r>
      <w:r w:rsidR="002C5960" w:rsidRPr="00FC118E">
        <w:t>должны определять, каким образом уровни помех, установленные в Отчете, могут быть преодолены для обеспечения безопасной и эффективной эксплуатации БАС</w:t>
      </w:r>
      <w:r w:rsidRPr="00FC118E">
        <w:t>.</w:t>
      </w:r>
      <w:r w:rsidR="002C5960" w:rsidRPr="00FC118E">
        <w:t xml:space="preserve"> В Отчете также отмечается, что ИКАО, другие органы по стандартизации и конструкторы земных станций на борту БВС не должны разрабатывать требования, которые будут создавать дополнительные ограничения для действующих</w:t>
      </w:r>
      <w:r w:rsidR="002A732E" w:rsidRPr="00FC118E">
        <w:t xml:space="preserve"> служб, работающих в полосах частот, распределенных ФСС, когда эти службы ФСС поддерживают функционирование </w:t>
      </w:r>
      <w:r w:rsidRPr="00FC118E">
        <w:t xml:space="preserve">CNPC </w:t>
      </w:r>
      <w:r w:rsidR="002A732E" w:rsidRPr="00FC118E">
        <w:t>БАС</w:t>
      </w:r>
      <w:r w:rsidRPr="00FC118E">
        <w:t>.</w:t>
      </w:r>
    </w:p>
    <w:p w:rsidR="00FF0A00" w:rsidRPr="00FC118E" w:rsidRDefault="00FF0A00" w:rsidP="002C51EE">
      <w:pPr>
        <w:pStyle w:val="enumlev1"/>
      </w:pPr>
      <w:r w:rsidRPr="00FC118E">
        <w:t>7)</w:t>
      </w:r>
      <w:r w:rsidRPr="00FC118E">
        <w:tab/>
      </w:r>
      <w:r w:rsidR="00353251" w:rsidRPr="00FC118E">
        <w:t>ФС, совместно использующая полосы частот, распределенные ФСС, не будет принимать помехи со стороны земных станций на борту БВС, которые превышают их краткос</w:t>
      </w:r>
      <w:r w:rsidR="009F2936" w:rsidRPr="00FC118E">
        <w:t>рочные и долгосрочные уровни защиты, определенные в МСЭ</w:t>
      </w:r>
      <w:r w:rsidRPr="00FC118E">
        <w:noBreakHyphen/>
        <w:t xml:space="preserve">R F.758, </w:t>
      </w:r>
      <w:r w:rsidR="009F2936" w:rsidRPr="00FC118E">
        <w:t>МСЭ</w:t>
      </w:r>
      <w:r w:rsidRPr="00FC118E">
        <w:noBreakHyphen/>
        <w:t xml:space="preserve">R F.1494 </w:t>
      </w:r>
      <w:r w:rsidR="009F2936" w:rsidRPr="00FC118E">
        <w:t>и</w:t>
      </w:r>
      <w:r w:rsidRPr="00FC118E">
        <w:t xml:space="preserve"> </w:t>
      </w:r>
      <w:r w:rsidR="009F2936" w:rsidRPr="00FC118E">
        <w:t>МСЭ</w:t>
      </w:r>
      <w:r w:rsidRPr="00FC118E">
        <w:noBreakHyphen/>
        <w:t>R F.1495</w:t>
      </w:r>
      <w:r w:rsidR="009F2936" w:rsidRPr="00FC118E">
        <w:t>, когда БВС работает в широтах менее</w:t>
      </w:r>
      <w:r w:rsidRPr="00FC118E">
        <w:t xml:space="preserve"> 70</w:t>
      </w:r>
      <w:r w:rsidR="00F420C1" w:rsidRPr="00FC118E">
        <w:t>º</w:t>
      </w:r>
      <w:r w:rsidRPr="00FC118E">
        <w:t xml:space="preserve"> </w:t>
      </w:r>
      <w:r w:rsidR="00F420C1" w:rsidRPr="00FC118E">
        <w:t>и на высоте более</w:t>
      </w:r>
      <w:r w:rsidRPr="00FC118E">
        <w:t xml:space="preserve"> 5000 </w:t>
      </w:r>
      <w:r w:rsidR="00F420C1" w:rsidRPr="00FC118E">
        <w:t>футов в полосе частот</w:t>
      </w:r>
      <w:r w:rsidRPr="00FC118E">
        <w:t xml:space="preserve"> 14</w:t>
      </w:r>
      <w:r w:rsidR="002C51EE">
        <w:t>−</w:t>
      </w:r>
      <w:r w:rsidRPr="00FC118E">
        <w:t>14</w:t>
      </w:r>
      <w:r w:rsidR="00F420C1" w:rsidRPr="00FC118E">
        <w:t>,</w:t>
      </w:r>
      <w:r w:rsidRPr="00FC118E">
        <w:t>47 </w:t>
      </w:r>
      <w:r w:rsidR="00F420C1" w:rsidRPr="00FC118E">
        <w:t>ГГц и на высоте более</w:t>
      </w:r>
      <w:r w:rsidRPr="00FC118E">
        <w:t xml:space="preserve"> 3000 </w:t>
      </w:r>
      <w:r w:rsidR="00F420C1" w:rsidRPr="00FC118E">
        <w:t>футов в полосе частот</w:t>
      </w:r>
      <w:r w:rsidRPr="00FC118E">
        <w:t xml:space="preserve"> 27</w:t>
      </w:r>
      <w:r w:rsidR="00F420C1" w:rsidRPr="00FC118E">
        <w:t>,</w:t>
      </w:r>
      <w:r w:rsidRPr="00FC118E">
        <w:t>5</w:t>
      </w:r>
      <w:r w:rsidR="002C51EE">
        <w:t>−</w:t>
      </w:r>
      <w:r w:rsidRPr="00FC118E">
        <w:t>29</w:t>
      </w:r>
      <w:r w:rsidR="00F420C1" w:rsidRPr="00FC118E">
        <w:t>,</w:t>
      </w:r>
      <w:r w:rsidRPr="00FC118E">
        <w:t>5 </w:t>
      </w:r>
      <w:r w:rsidR="00F420C1" w:rsidRPr="00FC118E">
        <w:t>ГГц</w:t>
      </w:r>
      <w:r w:rsidRPr="00FC118E">
        <w:t xml:space="preserve">. </w:t>
      </w:r>
      <w:r w:rsidR="00F420C1" w:rsidRPr="00FC118E">
        <w:t>Эти результаты применяются только к земным станциям на борту БВС с диаметром антенны более</w:t>
      </w:r>
      <w:r w:rsidRPr="00FC118E">
        <w:t xml:space="preserve"> 0</w:t>
      </w:r>
      <w:r w:rsidR="00F420C1" w:rsidRPr="00FC118E">
        <w:t>,</w:t>
      </w:r>
      <w:r w:rsidRPr="00FC118E">
        <w:t>45 </w:t>
      </w:r>
      <w:r w:rsidR="00F420C1" w:rsidRPr="00FC118E">
        <w:t>м</w:t>
      </w:r>
      <w:r w:rsidRPr="00FC118E">
        <w:t>.</w:t>
      </w:r>
      <w:r w:rsidR="00F420C1" w:rsidRPr="00FC118E">
        <w:t xml:space="preserve"> </w:t>
      </w:r>
      <w:r w:rsidR="0020503B" w:rsidRPr="00FC118E">
        <w:t>К</w:t>
      </w:r>
      <w:r w:rsidR="00F420C1" w:rsidRPr="00FC118E">
        <w:t>роме того, в Отчете представлены</w:t>
      </w:r>
      <w:r w:rsidRPr="00FC118E">
        <w:t xml:space="preserve"> </w:t>
      </w:r>
      <w:r w:rsidR="00F420C1" w:rsidRPr="00FC118E">
        <w:t>значения п.п.м. в зависимости от углов места</w:t>
      </w:r>
      <w:r w:rsidR="0020503B" w:rsidRPr="00FC118E">
        <w:t xml:space="preserve"> над местным горизонтом ФС, которые должны соблюдать земные станции, работающие на борту БВС, чтобы удовлетворять приемлемым уровням помех, создаваемых для действующей ФС</w:t>
      </w:r>
      <w:r w:rsidRPr="00FC118E">
        <w:t>.</w:t>
      </w:r>
      <w:bookmarkStart w:id="164" w:name="_Toc424824601"/>
      <w:bookmarkStart w:id="165" w:name="_Toc402714042"/>
    </w:p>
    <w:p w:rsidR="00FF0A00" w:rsidRPr="00FC118E" w:rsidRDefault="003E4FAD" w:rsidP="003E4FAD">
      <w:pPr>
        <w:pStyle w:val="Headingb"/>
        <w:rPr>
          <w:lang w:val="ru-RU"/>
        </w:rPr>
      </w:pPr>
      <w:r w:rsidRPr="00FC118E">
        <w:rPr>
          <w:lang w:val="ru-RU"/>
        </w:rPr>
        <w:t>Эксплуатационные результаты, касающиеся стандартов БАС</w:t>
      </w:r>
    </w:p>
    <w:p w:rsidR="00FF0A00" w:rsidRPr="00FC118E" w:rsidRDefault="008345E6" w:rsidP="008345E6">
      <w:r w:rsidRPr="00FC118E">
        <w:t>Следующие эксплуатационные результаты, основанные на анализе, проведенном в Отчете, необходимо будет отразить в соответствующих стандартах БАС</w:t>
      </w:r>
      <w:bookmarkEnd w:id="164"/>
      <w:r w:rsidR="00FF0A00" w:rsidRPr="00FC118E">
        <w:t>.</w:t>
      </w:r>
    </w:p>
    <w:bookmarkEnd w:id="165"/>
    <w:p w:rsidR="00FF0A00" w:rsidRPr="00FC118E" w:rsidRDefault="00FF0A00" w:rsidP="007246D7">
      <w:pPr>
        <w:pStyle w:val="enumlev1"/>
      </w:pPr>
      <w:r w:rsidRPr="00FC118E">
        <w:t>1)</w:t>
      </w:r>
      <w:r w:rsidRPr="00FC118E">
        <w:tab/>
        <w:t xml:space="preserve">CNPC </w:t>
      </w:r>
      <w:r w:rsidR="00093878" w:rsidRPr="00FC118E">
        <w:t xml:space="preserve">БАС </w:t>
      </w:r>
      <w:r w:rsidR="007246D7" w:rsidRPr="00FC118E">
        <w:t>должны соблюдать положения Статьи</w:t>
      </w:r>
      <w:r w:rsidRPr="00FC118E">
        <w:t xml:space="preserve"> 21 </w:t>
      </w:r>
      <w:r w:rsidR="007246D7" w:rsidRPr="00FC118E">
        <w:t>и МСЭ</w:t>
      </w:r>
      <w:r w:rsidRPr="00FC118E">
        <w:noBreakHyphen/>
        <w:t>R S.524</w:t>
      </w:r>
      <w:r w:rsidR="007246D7" w:rsidRPr="00FC118E">
        <w:t>, даже при маневрировании воздушного судна</w:t>
      </w:r>
      <w:r w:rsidRPr="00FC118E">
        <w:t>.</w:t>
      </w:r>
    </w:p>
    <w:p w:rsidR="00FF0A00" w:rsidRPr="00FC118E" w:rsidRDefault="00FF0A00" w:rsidP="00D37960">
      <w:pPr>
        <w:pStyle w:val="enumlev1"/>
      </w:pPr>
      <w:r w:rsidRPr="00FC118E">
        <w:t>2)</w:t>
      </w:r>
      <w:r w:rsidRPr="00FC118E">
        <w:tab/>
      </w:r>
      <w:r w:rsidR="00D37960" w:rsidRPr="00FC118E">
        <w:t>Функционирование БАС не должно создавать дополнительных ограничений для действующих служб, включая ФСС, совпадающие по частоте</w:t>
      </w:r>
      <w:r w:rsidRPr="00FC118E">
        <w:t>.</w:t>
      </w:r>
    </w:p>
    <w:p w:rsidR="00FF0A00" w:rsidRPr="00FC118E" w:rsidRDefault="00FF0A00" w:rsidP="00343A2B">
      <w:pPr>
        <w:pStyle w:val="enumlev1"/>
      </w:pPr>
      <w:r w:rsidRPr="00FC118E">
        <w:t>3)</w:t>
      </w:r>
      <w:r w:rsidRPr="00FC118E">
        <w:tab/>
      </w:r>
      <w:r w:rsidR="00343A2B" w:rsidRPr="00FC118E">
        <w:t>Земные станции на борту БВС не должны использовать антенны с диаметром менее 0,</w:t>
      </w:r>
      <w:r w:rsidRPr="00FC118E">
        <w:t>45 </w:t>
      </w:r>
      <w:r w:rsidR="00343A2B" w:rsidRPr="00FC118E">
        <w:t>м</w:t>
      </w:r>
      <w:r w:rsidRPr="00FC118E">
        <w:t>.</w:t>
      </w:r>
    </w:p>
    <w:p w:rsidR="00FF0A00" w:rsidRPr="00FC118E" w:rsidRDefault="00FF0A00" w:rsidP="003E4FAD">
      <w:pPr>
        <w:pStyle w:val="enumlev1"/>
      </w:pPr>
      <w:r w:rsidRPr="00FC118E">
        <w:t>4)</w:t>
      </w:r>
      <w:r w:rsidRPr="00FC118E">
        <w:tab/>
      </w:r>
      <w:r w:rsidR="003E4FAD" w:rsidRPr="00FC118E">
        <w:rPr>
          <w:rFonts w:eastAsia="Calibri"/>
        </w:rPr>
        <w:t>БВС не должны работать на широтах выше 70 градусов.</w:t>
      </w:r>
    </w:p>
    <w:p w:rsidR="00FF0A00" w:rsidRPr="00FC118E" w:rsidRDefault="00FF0A00" w:rsidP="003E4FAD">
      <w:pPr>
        <w:pStyle w:val="enumlev1"/>
      </w:pPr>
      <w:r w:rsidRPr="00FC118E">
        <w:t>5)</w:t>
      </w:r>
      <w:r w:rsidRPr="00FC118E">
        <w:tab/>
      </w:r>
      <w:r w:rsidR="003E4FAD" w:rsidRPr="00FC118E">
        <w:rPr>
          <w:rFonts w:eastAsia="Calibri"/>
        </w:rPr>
        <w:t>БВС не должны работать на частотах в полосе 14,00–14,47 ГГц на высоте менее 5000 футов</w:t>
      </w:r>
      <w:r w:rsidRPr="00FC118E">
        <w:t>.</w:t>
      </w:r>
    </w:p>
    <w:p w:rsidR="00FF0A00" w:rsidRPr="00FC118E" w:rsidRDefault="00FF0A00" w:rsidP="00BE364E">
      <w:pPr>
        <w:pStyle w:val="enumlev1"/>
      </w:pPr>
      <w:r w:rsidRPr="00FC118E">
        <w:t>6)</w:t>
      </w:r>
      <w:r w:rsidRPr="00FC118E">
        <w:tab/>
      </w:r>
      <w:r w:rsidR="00BE364E" w:rsidRPr="00FC118E">
        <w:rPr>
          <w:rFonts w:eastAsia="Calibri"/>
        </w:rPr>
        <w:t>БВС не должны работать на частотах в полосе 27,5−29,5 ГГц на высоте менее 3000 футов</w:t>
      </w:r>
      <w:r w:rsidRPr="00FC118E">
        <w:t>.</w:t>
      </w:r>
    </w:p>
    <w:p w:rsidR="00FF0A00" w:rsidRPr="00FC118E" w:rsidRDefault="00FF0A00" w:rsidP="002C51EE">
      <w:pPr>
        <w:pStyle w:val="enumlev1"/>
      </w:pPr>
      <w:r w:rsidRPr="00FC118E">
        <w:lastRenderedPageBreak/>
        <w:t>7)</w:t>
      </w:r>
      <w:r w:rsidRPr="00FC118E">
        <w:tab/>
      </w:r>
      <w:r w:rsidR="001347D7" w:rsidRPr="00FC118E">
        <w:rPr>
          <w:rFonts w:eastAsia="Calibri"/>
        </w:rPr>
        <w:t>З</w:t>
      </w:r>
      <w:r w:rsidR="000311E6" w:rsidRPr="00FC118E">
        <w:rPr>
          <w:rFonts w:eastAsia="Calibri"/>
        </w:rPr>
        <w:t>емная станция на</w:t>
      </w:r>
      <w:r w:rsidR="004E5463" w:rsidRPr="00FC118E">
        <w:rPr>
          <w:rFonts w:eastAsia="Calibri"/>
        </w:rPr>
        <w:t xml:space="preserve"> </w:t>
      </w:r>
      <w:r w:rsidR="004E5463" w:rsidRPr="002C51EE">
        <w:rPr>
          <w:rFonts w:eastAsia="Calibri"/>
        </w:rPr>
        <w:t>борту</w:t>
      </w:r>
      <w:r w:rsidR="000311E6" w:rsidRPr="00FC118E">
        <w:rPr>
          <w:rFonts w:eastAsia="Calibri"/>
        </w:rPr>
        <w:t xml:space="preserve"> БВС должна соблюдать две относящиеся к конкретным полосам маски плотности потока мощности (п.п.м.), описываемые в Отчете</w:t>
      </w:r>
      <w:r w:rsidRPr="00FC118E">
        <w:t>.</w:t>
      </w:r>
    </w:p>
    <w:p w:rsidR="00FF0A00" w:rsidRPr="00FC118E" w:rsidRDefault="00664F4B" w:rsidP="005512BB">
      <w:r w:rsidRPr="00FC118E">
        <w:t>В Отчете содержится существенный объем подробных технических данных для обоснования того, что предпочтительный метод выполнения пункта 1.5 повестки дня заключается в том, чтобы МСЭ согласился в целом обеспечить ФСС распределения в диапазонах частот</w:t>
      </w:r>
      <w:r w:rsidR="00FF0A00" w:rsidRPr="00FC118E">
        <w:t xml:space="preserve"> 20/30 </w:t>
      </w:r>
      <w:r w:rsidRPr="00FC118E">
        <w:t>ГГц и</w:t>
      </w:r>
      <w:r w:rsidR="00FF0A00" w:rsidRPr="00FC118E">
        <w:t xml:space="preserve"> 11/14 </w:t>
      </w:r>
      <w:r w:rsidRPr="00FC118E">
        <w:t xml:space="preserve">ГГц для применений </w:t>
      </w:r>
      <w:r w:rsidR="005512BB" w:rsidRPr="00FC118E">
        <w:t>управления и связи, не относящейся к полезной нагрузке, беспилотных авиационных систем</w:t>
      </w:r>
      <w:r w:rsidR="00FF0A00" w:rsidRPr="00FC118E">
        <w:t>.</w:t>
      </w:r>
    </w:p>
    <w:p w:rsidR="00FF0A00" w:rsidRPr="00FC118E" w:rsidRDefault="00AC1919" w:rsidP="00ED4EED">
      <w:r w:rsidRPr="00FC118E">
        <w:t>Представители ИКАО заявили, что</w:t>
      </w:r>
      <w:r w:rsidR="00FF0A00" w:rsidRPr="00FC118E">
        <w:t xml:space="preserve"> </w:t>
      </w:r>
      <w:hyperlink r:id="rId21" w:history="1">
        <w:r w:rsidRPr="00FC118E">
          <w:rPr>
            <w:rStyle w:val="Hyperlink"/>
          </w:rPr>
          <w:t>Межамериканское предложение СИТЕЛ</w:t>
        </w:r>
      </w:hyperlink>
      <w:r w:rsidR="00FF0A00" w:rsidRPr="00FC118E">
        <w:t xml:space="preserve"> (</w:t>
      </w:r>
      <w:r w:rsidRPr="00FC118E">
        <w:t>размещено на веб-сайте</w:t>
      </w:r>
      <w:r w:rsidR="00FF0A00" w:rsidRPr="00FC118E">
        <w:t xml:space="preserve"> </w:t>
      </w:r>
      <w:hyperlink r:id="rId22" w:history="1">
        <w:r w:rsidR="00FF0A00" w:rsidRPr="00FC118E">
          <w:rPr>
            <w:rStyle w:val="Hyperlink"/>
          </w:rPr>
          <w:t>http://www.itu.int/md/R15-WRC15-C-0007/en</w:t>
        </w:r>
      </w:hyperlink>
      <w:r w:rsidR="00FF0A00" w:rsidRPr="00FC118E">
        <w:t xml:space="preserve">), </w:t>
      </w:r>
      <w:r w:rsidRPr="00FC118E">
        <w:t>в основе которого лежит Отчет и метод</w:t>
      </w:r>
      <w:r w:rsidR="00FF0A00" w:rsidRPr="00FC118E">
        <w:t xml:space="preserve"> A1 </w:t>
      </w:r>
      <w:r w:rsidRPr="00FC118E">
        <w:t>Отчета Подготовительного собрания к конференции</w:t>
      </w:r>
      <w:r w:rsidR="00FF0A00" w:rsidRPr="00FC118E">
        <w:t xml:space="preserve"> (</w:t>
      </w:r>
      <w:r w:rsidRPr="00FC118E">
        <w:t>ПСК</w:t>
      </w:r>
      <w:r w:rsidR="00FF0A00" w:rsidRPr="00FC118E">
        <w:t xml:space="preserve">), </w:t>
      </w:r>
      <w:r w:rsidRPr="00FC118E">
        <w:t>в полном мере совместимо с Позицией ИКАО по пункту 1.5 повестки дня ВКР</w:t>
      </w:r>
      <w:r w:rsidR="00FF0A00" w:rsidRPr="00FC118E">
        <w:noBreakHyphen/>
        <w:t>15.</w:t>
      </w:r>
      <w:r w:rsidRPr="00FC118E">
        <w:t xml:space="preserve"> Тем самым признается, что внедрение БВС в необособленное воздушное пространство с точки зрения использования спектра будет </w:t>
      </w:r>
      <w:r w:rsidR="009004D9" w:rsidRPr="00FC118E">
        <w:t xml:space="preserve">и далее обеспечивать безопасность других пользователей воздушного пространства, а также </w:t>
      </w:r>
      <w:r w:rsidR="00ED4EED" w:rsidRPr="00FC118E">
        <w:t xml:space="preserve">сохранение </w:t>
      </w:r>
      <w:r w:rsidR="009004D9" w:rsidRPr="00FC118E">
        <w:t>жизни людей и имуществ</w:t>
      </w:r>
      <w:r w:rsidR="00ED4EED" w:rsidRPr="00FC118E">
        <w:t>а</w:t>
      </w:r>
      <w:r w:rsidR="009004D9" w:rsidRPr="00FC118E">
        <w:t xml:space="preserve"> на поверхности земли</w:t>
      </w:r>
      <w:r w:rsidR="00FF0A00" w:rsidRPr="00FC118E">
        <w:t>.</w:t>
      </w:r>
    </w:p>
    <w:p w:rsidR="00FF0A00" w:rsidRPr="00FC118E" w:rsidRDefault="00AB5E01" w:rsidP="00AB5E01">
      <w:r w:rsidRPr="00FC118E">
        <w:t>Операторы ФСС также сообщают, что технические, регламентарные и эксплуатационные концепции и требования, взятые из Отчета БАС-ФСС, не будут подрывать их координационную деятельность</w:t>
      </w:r>
      <w:r w:rsidR="00FF0A00" w:rsidRPr="00FC118E">
        <w:t>.</w:t>
      </w:r>
    </w:p>
    <w:p w:rsidR="00FF0A00" w:rsidRPr="002C51EE" w:rsidRDefault="00FF0A00" w:rsidP="002C51EE"/>
    <w:p w:rsidR="002A4ADB" w:rsidRPr="00FC118E" w:rsidRDefault="00FF0A00" w:rsidP="00FF0A00">
      <w:pPr>
        <w:spacing w:before="480"/>
        <w:jc w:val="center"/>
      </w:pPr>
      <w:r w:rsidRPr="00FC118E">
        <w:t>______________</w:t>
      </w:r>
    </w:p>
    <w:sectPr w:rsidR="002A4ADB" w:rsidRPr="00FC118E">
      <w:headerReference w:type="default" r:id="rId23"/>
      <w:footerReference w:type="even" r:id="rId24"/>
      <w:footerReference w:type="default" r:id="rId25"/>
      <w:footerReference w:type="first" r:id="rId2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ADB" w:rsidRDefault="002A4ADB">
      <w:r>
        <w:separator/>
      </w:r>
    </w:p>
  </w:endnote>
  <w:endnote w:type="continuationSeparator" w:id="0">
    <w:p w:rsidR="002A4ADB" w:rsidRDefault="002A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DB" w:rsidRDefault="002A4AD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A4ADB" w:rsidRPr="00B06099" w:rsidRDefault="002A4ADB">
    <w:pPr>
      <w:ind w:right="360"/>
      <w:rPr>
        <w:lang w:val="en-US"/>
      </w:rPr>
    </w:pPr>
    <w:r>
      <w:fldChar w:fldCharType="begin"/>
    </w:r>
    <w:r w:rsidRPr="00B06099">
      <w:rPr>
        <w:lang w:val="en-US"/>
      </w:rPr>
      <w:instrText xml:space="preserve"> FILENAME \p  \* MERGEFORMAT </w:instrText>
    </w:r>
    <w:r>
      <w:fldChar w:fldCharType="separate"/>
    </w:r>
    <w:r w:rsidR="00480A91">
      <w:rPr>
        <w:noProof/>
        <w:lang w:val="en-US"/>
      </w:rPr>
      <w:t>M:\RUSSIAN\KROKHA\ITU-R\CMR15\006ADD05R.docx</w:t>
    </w:r>
    <w:r>
      <w:fldChar w:fldCharType="end"/>
    </w:r>
    <w:r w:rsidRPr="00B0609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69A8">
      <w:rPr>
        <w:noProof/>
      </w:rPr>
      <w:t>30.10.15</w:t>
    </w:r>
    <w:r>
      <w:fldChar w:fldCharType="end"/>
    </w:r>
    <w:r w:rsidRPr="00B0609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0A91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1EE" w:rsidRPr="00B06099" w:rsidRDefault="002C51EE" w:rsidP="002C51EE">
    <w:pPr>
      <w:pStyle w:val="Footer"/>
      <w:rPr>
        <w:lang w:val="en-US"/>
      </w:rPr>
    </w:pPr>
    <w:r>
      <w:fldChar w:fldCharType="begin"/>
    </w:r>
    <w:r w:rsidRPr="00B06099">
      <w:rPr>
        <w:lang w:val="en-US"/>
      </w:rPr>
      <w:instrText xml:space="preserve"> FILENAME \p  \* MERGEFORMAT </w:instrText>
    </w:r>
    <w:r>
      <w:fldChar w:fldCharType="separate"/>
    </w:r>
    <w:r w:rsidR="00BB3B24">
      <w:rPr>
        <w:lang w:val="en-US"/>
      </w:rPr>
      <w:t>P:\RUS\ITU-R\CONF-R\CMR15\000\006ADD05R.docx</w:t>
    </w:r>
    <w:r>
      <w:fldChar w:fldCharType="end"/>
    </w:r>
    <w:r w:rsidRPr="00B06099">
      <w:rPr>
        <w:lang w:val="en-US"/>
      </w:rPr>
      <w:t xml:space="preserve"> (38</w:t>
    </w:r>
    <w:r w:rsidRPr="002C51EE">
      <w:t>8707</w:t>
    </w:r>
    <w:r w:rsidRPr="00B06099">
      <w:rPr>
        <w:lang w:val="en-US"/>
      </w:rPr>
      <w:t>)</w:t>
    </w:r>
    <w:r w:rsidRPr="00B0609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3B24">
      <w:t>30.10.15</w:t>
    </w:r>
    <w:r>
      <w:fldChar w:fldCharType="end"/>
    </w:r>
    <w:r w:rsidRPr="00B0609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3B24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DB" w:rsidRPr="00B06099" w:rsidRDefault="002A4ADB" w:rsidP="002C51EE">
    <w:pPr>
      <w:pStyle w:val="Footer"/>
      <w:rPr>
        <w:lang w:val="en-US"/>
      </w:rPr>
    </w:pPr>
    <w:r>
      <w:fldChar w:fldCharType="begin"/>
    </w:r>
    <w:r w:rsidRPr="00B06099">
      <w:rPr>
        <w:lang w:val="en-US"/>
      </w:rPr>
      <w:instrText xml:space="preserve"> FILENAME \p  \* MERGEFORMAT </w:instrText>
    </w:r>
    <w:r>
      <w:fldChar w:fldCharType="separate"/>
    </w:r>
    <w:r w:rsidR="00BB3B24">
      <w:rPr>
        <w:lang w:val="en-US"/>
      </w:rPr>
      <w:t>P:\RUS\ITU-R\CONF-R\CMR15\000\006ADD05R.docx</w:t>
    </w:r>
    <w:r>
      <w:fldChar w:fldCharType="end"/>
    </w:r>
    <w:r w:rsidRPr="00B06099">
      <w:rPr>
        <w:lang w:val="en-US"/>
      </w:rPr>
      <w:t xml:space="preserve"> (38</w:t>
    </w:r>
    <w:r w:rsidR="002C51EE" w:rsidRPr="002C51EE">
      <w:t>8707</w:t>
    </w:r>
    <w:r w:rsidRPr="00B06099">
      <w:rPr>
        <w:lang w:val="en-US"/>
      </w:rPr>
      <w:t>)</w:t>
    </w:r>
    <w:r w:rsidRPr="00B0609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3B24">
      <w:t>30.10.15</w:t>
    </w:r>
    <w:r>
      <w:fldChar w:fldCharType="end"/>
    </w:r>
    <w:r w:rsidRPr="00B0609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3B24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ADB" w:rsidRDefault="002A4ADB">
      <w:r>
        <w:rPr>
          <w:b/>
        </w:rPr>
        <w:t>_______________</w:t>
      </w:r>
    </w:p>
  </w:footnote>
  <w:footnote w:type="continuationSeparator" w:id="0">
    <w:p w:rsidR="002A4ADB" w:rsidRDefault="002A4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DB" w:rsidRPr="00434A7C" w:rsidRDefault="002A4AD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B3B24">
      <w:rPr>
        <w:noProof/>
      </w:rPr>
      <w:t>2</w:t>
    </w:r>
    <w:r>
      <w:fldChar w:fldCharType="end"/>
    </w:r>
  </w:p>
  <w:p w:rsidR="002A4ADB" w:rsidRDefault="002A4ADB" w:rsidP="00657063">
    <w:pPr>
      <w:pStyle w:val="Header"/>
      <w:rPr>
        <w:lang w:val="en-US"/>
      </w:rPr>
    </w:pPr>
    <w:r>
      <w:t>CMR</w:t>
    </w:r>
    <w:r>
      <w:rPr>
        <w:lang w:val="en-US"/>
      </w:rPr>
      <w:t>15</w:t>
    </w:r>
    <w:r w:rsidR="00657063">
      <w:t>/</w:t>
    </w:r>
    <w:r w:rsidR="00657063">
      <w:rPr>
        <w:lang w:val="ru-RU"/>
      </w:rPr>
      <w:t>6</w:t>
    </w:r>
    <w:r>
      <w:t>(Add.</w:t>
    </w:r>
    <w:r w:rsidR="00657063">
      <w:rPr>
        <w:lang w:val="ru-RU"/>
      </w:rPr>
      <w:t>5</w:t>
    </w:r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130C"/>
    <w:rsid w:val="000024F5"/>
    <w:rsid w:val="00004805"/>
    <w:rsid w:val="00004C7E"/>
    <w:rsid w:val="0001164B"/>
    <w:rsid w:val="000260F1"/>
    <w:rsid w:val="000311E6"/>
    <w:rsid w:val="0003535B"/>
    <w:rsid w:val="00044220"/>
    <w:rsid w:val="000501D7"/>
    <w:rsid w:val="00050C2E"/>
    <w:rsid w:val="00071D4D"/>
    <w:rsid w:val="00085C0F"/>
    <w:rsid w:val="00093878"/>
    <w:rsid w:val="000A0EF3"/>
    <w:rsid w:val="000B06E1"/>
    <w:rsid w:val="000C7B32"/>
    <w:rsid w:val="000D08DE"/>
    <w:rsid w:val="000E7663"/>
    <w:rsid w:val="000F33D8"/>
    <w:rsid w:val="000F39B4"/>
    <w:rsid w:val="00113D0B"/>
    <w:rsid w:val="001226EC"/>
    <w:rsid w:val="00123B68"/>
    <w:rsid w:val="00124C09"/>
    <w:rsid w:val="00126F2E"/>
    <w:rsid w:val="001347D7"/>
    <w:rsid w:val="00134EFA"/>
    <w:rsid w:val="00137BE1"/>
    <w:rsid w:val="001521AE"/>
    <w:rsid w:val="00154D6A"/>
    <w:rsid w:val="00154DCC"/>
    <w:rsid w:val="001556B2"/>
    <w:rsid w:val="00156339"/>
    <w:rsid w:val="0016225E"/>
    <w:rsid w:val="001934A0"/>
    <w:rsid w:val="00195268"/>
    <w:rsid w:val="001A5585"/>
    <w:rsid w:val="001A7EF3"/>
    <w:rsid w:val="001B7C6A"/>
    <w:rsid w:val="001C0789"/>
    <w:rsid w:val="001E17EC"/>
    <w:rsid w:val="001E5FB4"/>
    <w:rsid w:val="001E63B7"/>
    <w:rsid w:val="00202CA0"/>
    <w:rsid w:val="0020503B"/>
    <w:rsid w:val="002073B8"/>
    <w:rsid w:val="002100A0"/>
    <w:rsid w:val="00221785"/>
    <w:rsid w:val="00230582"/>
    <w:rsid w:val="00232FBB"/>
    <w:rsid w:val="002449AA"/>
    <w:rsid w:val="00245A1F"/>
    <w:rsid w:val="002736E3"/>
    <w:rsid w:val="002769A8"/>
    <w:rsid w:val="002905A2"/>
    <w:rsid w:val="00290C74"/>
    <w:rsid w:val="002A2D3F"/>
    <w:rsid w:val="002A4ADB"/>
    <w:rsid w:val="002A732E"/>
    <w:rsid w:val="002B2D18"/>
    <w:rsid w:val="002B6EE5"/>
    <w:rsid w:val="002B6F15"/>
    <w:rsid w:val="002C51EE"/>
    <w:rsid w:val="002C5960"/>
    <w:rsid w:val="002D104E"/>
    <w:rsid w:val="002E76A6"/>
    <w:rsid w:val="002F487B"/>
    <w:rsid w:val="00300F84"/>
    <w:rsid w:val="00307147"/>
    <w:rsid w:val="003075DC"/>
    <w:rsid w:val="00316AEF"/>
    <w:rsid w:val="00330CE5"/>
    <w:rsid w:val="00343A2B"/>
    <w:rsid w:val="00344EB8"/>
    <w:rsid w:val="00346BEC"/>
    <w:rsid w:val="00353251"/>
    <w:rsid w:val="00356AC3"/>
    <w:rsid w:val="00373CB9"/>
    <w:rsid w:val="003844E4"/>
    <w:rsid w:val="003903AD"/>
    <w:rsid w:val="003B4A82"/>
    <w:rsid w:val="003B7D98"/>
    <w:rsid w:val="003C583C"/>
    <w:rsid w:val="003D7256"/>
    <w:rsid w:val="003E4FAD"/>
    <w:rsid w:val="003F0078"/>
    <w:rsid w:val="00434A7C"/>
    <w:rsid w:val="00445596"/>
    <w:rsid w:val="0045143A"/>
    <w:rsid w:val="00453F9B"/>
    <w:rsid w:val="00466CBA"/>
    <w:rsid w:val="00476A76"/>
    <w:rsid w:val="00480A91"/>
    <w:rsid w:val="00494555"/>
    <w:rsid w:val="004A58F4"/>
    <w:rsid w:val="004B716F"/>
    <w:rsid w:val="004C1143"/>
    <w:rsid w:val="004C472F"/>
    <w:rsid w:val="004C47ED"/>
    <w:rsid w:val="004D35DB"/>
    <w:rsid w:val="004E387C"/>
    <w:rsid w:val="004E5463"/>
    <w:rsid w:val="004F2F8E"/>
    <w:rsid w:val="004F3B0D"/>
    <w:rsid w:val="004F5BB9"/>
    <w:rsid w:val="005028F7"/>
    <w:rsid w:val="00505148"/>
    <w:rsid w:val="0051315E"/>
    <w:rsid w:val="00514E1F"/>
    <w:rsid w:val="005305D5"/>
    <w:rsid w:val="00540D1E"/>
    <w:rsid w:val="005512BB"/>
    <w:rsid w:val="00564C23"/>
    <w:rsid w:val="005651C9"/>
    <w:rsid w:val="00567276"/>
    <w:rsid w:val="005755E2"/>
    <w:rsid w:val="00597005"/>
    <w:rsid w:val="005A295E"/>
    <w:rsid w:val="005C456D"/>
    <w:rsid w:val="005D1879"/>
    <w:rsid w:val="005D79A3"/>
    <w:rsid w:val="005E61DD"/>
    <w:rsid w:val="006023DF"/>
    <w:rsid w:val="00604FB8"/>
    <w:rsid w:val="006115BE"/>
    <w:rsid w:val="00614771"/>
    <w:rsid w:val="006166BF"/>
    <w:rsid w:val="00617A44"/>
    <w:rsid w:val="00620DD7"/>
    <w:rsid w:val="00622DFE"/>
    <w:rsid w:val="00627F49"/>
    <w:rsid w:val="006318F4"/>
    <w:rsid w:val="00631F02"/>
    <w:rsid w:val="00633B9E"/>
    <w:rsid w:val="006434BC"/>
    <w:rsid w:val="00643821"/>
    <w:rsid w:val="00655CAF"/>
    <w:rsid w:val="00657063"/>
    <w:rsid w:val="00657DE0"/>
    <w:rsid w:val="006637E5"/>
    <w:rsid w:val="00664F4B"/>
    <w:rsid w:val="00677045"/>
    <w:rsid w:val="00692C06"/>
    <w:rsid w:val="006A1877"/>
    <w:rsid w:val="006A6E9B"/>
    <w:rsid w:val="006E24E2"/>
    <w:rsid w:val="006F3C1D"/>
    <w:rsid w:val="007046A4"/>
    <w:rsid w:val="00720B89"/>
    <w:rsid w:val="007246D7"/>
    <w:rsid w:val="007309F5"/>
    <w:rsid w:val="0074074F"/>
    <w:rsid w:val="00763F4F"/>
    <w:rsid w:val="00775720"/>
    <w:rsid w:val="007808F0"/>
    <w:rsid w:val="00784D4B"/>
    <w:rsid w:val="007917AE"/>
    <w:rsid w:val="00793EAB"/>
    <w:rsid w:val="00797CD8"/>
    <w:rsid w:val="007A08B5"/>
    <w:rsid w:val="007A78F4"/>
    <w:rsid w:val="007E6499"/>
    <w:rsid w:val="008108F9"/>
    <w:rsid w:val="00811633"/>
    <w:rsid w:val="00812452"/>
    <w:rsid w:val="00815749"/>
    <w:rsid w:val="008345E6"/>
    <w:rsid w:val="00837394"/>
    <w:rsid w:val="00843896"/>
    <w:rsid w:val="00852504"/>
    <w:rsid w:val="00860456"/>
    <w:rsid w:val="00872FC8"/>
    <w:rsid w:val="008836B7"/>
    <w:rsid w:val="0088513D"/>
    <w:rsid w:val="008A15FA"/>
    <w:rsid w:val="008B43F2"/>
    <w:rsid w:val="008B4CA4"/>
    <w:rsid w:val="008C3257"/>
    <w:rsid w:val="008F1034"/>
    <w:rsid w:val="009004D9"/>
    <w:rsid w:val="009119CC"/>
    <w:rsid w:val="009139E2"/>
    <w:rsid w:val="00917C0A"/>
    <w:rsid w:val="00941A02"/>
    <w:rsid w:val="009510C3"/>
    <w:rsid w:val="00955F6D"/>
    <w:rsid w:val="00966405"/>
    <w:rsid w:val="009946F3"/>
    <w:rsid w:val="009B5CC2"/>
    <w:rsid w:val="009E5FC8"/>
    <w:rsid w:val="009F2936"/>
    <w:rsid w:val="009F3B53"/>
    <w:rsid w:val="00A117A3"/>
    <w:rsid w:val="00A138D0"/>
    <w:rsid w:val="00A141AF"/>
    <w:rsid w:val="00A2044F"/>
    <w:rsid w:val="00A24547"/>
    <w:rsid w:val="00A4600A"/>
    <w:rsid w:val="00A52A2B"/>
    <w:rsid w:val="00A57C04"/>
    <w:rsid w:val="00A61057"/>
    <w:rsid w:val="00A634A7"/>
    <w:rsid w:val="00A667D4"/>
    <w:rsid w:val="00A710E7"/>
    <w:rsid w:val="00A81026"/>
    <w:rsid w:val="00A97EC0"/>
    <w:rsid w:val="00AB5E01"/>
    <w:rsid w:val="00AC1919"/>
    <w:rsid w:val="00AC66E6"/>
    <w:rsid w:val="00AC77B4"/>
    <w:rsid w:val="00AE4645"/>
    <w:rsid w:val="00B06099"/>
    <w:rsid w:val="00B20B12"/>
    <w:rsid w:val="00B25BE5"/>
    <w:rsid w:val="00B35450"/>
    <w:rsid w:val="00B44FE4"/>
    <w:rsid w:val="00B468A6"/>
    <w:rsid w:val="00B50E09"/>
    <w:rsid w:val="00B530F8"/>
    <w:rsid w:val="00B726D6"/>
    <w:rsid w:val="00B75113"/>
    <w:rsid w:val="00B85932"/>
    <w:rsid w:val="00B90506"/>
    <w:rsid w:val="00BA13A4"/>
    <w:rsid w:val="00BA1AA1"/>
    <w:rsid w:val="00BA35DC"/>
    <w:rsid w:val="00BA721F"/>
    <w:rsid w:val="00BB0A23"/>
    <w:rsid w:val="00BB3B24"/>
    <w:rsid w:val="00BC5313"/>
    <w:rsid w:val="00BE364E"/>
    <w:rsid w:val="00C03620"/>
    <w:rsid w:val="00C20466"/>
    <w:rsid w:val="00C227CA"/>
    <w:rsid w:val="00C266F4"/>
    <w:rsid w:val="00C324A8"/>
    <w:rsid w:val="00C56E7A"/>
    <w:rsid w:val="00C726A3"/>
    <w:rsid w:val="00C779CE"/>
    <w:rsid w:val="00CC47C6"/>
    <w:rsid w:val="00CC4DE6"/>
    <w:rsid w:val="00CE5E47"/>
    <w:rsid w:val="00CF020F"/>
    <w:rsid w:val="00CF2D3E"/>
    <w:rsid w:val="00D132C7"/>
    <w:rsid w:val="00D21625"/>
    <w:rsid w:val="00D254D2"/>
    <w:rsid w:val="00D31608"/>
    <w:rsid w:val="00D33FEB"/>
    <w:rsid w:val="00D37960"/>
    <w:rsid w:val="00D53715"/>
    <w:rsid w:val="00D57C09"/>
    <w:rsid w:val="00DC2564"/>
    <w:rsid w:val="00DD3358"/>
    <w:rsid w:val="00DD63F9"/>
    <w:rsid w:val="00DE2EBA"/>
    <w:rsid w:val="00DF4668"/>
    <w:rsid w:val="00E1235B"/>
    <w:rsid w:val="00E2253F"/>
    <w:rsid w:val="00E30F6A"/>
    <w:rsid w:val="00E43E99"/>
    <w:rsid w:val="00E5155F"/>
    <w:rsid w:val="00E625A8"/>
    <w:rsid w:val="00E65919"/>
    <w:rsid w:val="00E90097"/>
    <w:rsid w:val="00E90DFB"/>
    <w:rsid w:val="00E91429"/>
    <w:rsid w:val="00E94AE5"/>
    <w:rsid w:val="00E976C1"/>
    <w:rsid w:val="00EB4F68"/>
    <w:rsid w:val="00ED3554"/>
    <w:rsid w:val="00ED4EED"/>
    <w:rsid w:val="00EE384E"/>
    <w:rsid w:val="00F10120"/>
    <w:rsid w:val="00F10C5C"/>
    <w:rsid w:val="00F21A03"/>
    <w:rsid w:val="00F326D7"/>
    <w:rsid w:val="00F32A81"/>
    <w:rsid w:val="00F34AF8"/>
    <w:rsid w:val="00F420C1"/>
    <w:rsid w:val="00F65C19"/>
    <w:rsid w:val="00F76028"/>
    <w:rsid w:val="00F761D2"/>
    <w:rsid w:val="00F97203"/>
    <w:rsid w:val="00FC118E"/>
    <w:rsid w:val="00FC63FD"/>
    <w:rsid w:val="00FD01AF"/>
    <w:rsid w:val="00FD18DB"/>
    <w:rsid w:val="00FD3A69"/>
    <w:rsid w:val="00FD51E3"/>
    <w:rsid w:val="00FE344F"/>
    <w:rsid w:val="00FF0A00"/>
    <w:rsid w:val="00FF0ED0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1F7EE6-5763-457B-B94D-23B4B108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5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FC118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FC118E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sid w:val="00FF0A00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FC1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md/R12-WP5B-C-0886/en" TargetMode="External"/><Relationship Id="rId18" Type="http://schemas.openxmlformats.org/officeDocument/2006/relationships/hyperlink" Target="http://www.itu.int/md/R15-WRC15-C-0007/en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md/R15-WRC15-C-0007/en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itu.int/md/R15-WRC15-C-0017/en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R12-WP5B-C-0886/en" TargetMode="External"/><Relationship Id="rId20" Type="http://schemas.openxmlformats.org/officeDocument/2006/relationships/hyperlink" Target="http://www.itu.int/md/R12-WP5B-C-0886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itu.int/md/R15-WRC15-C-0017/en" TargetMode="Externa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://www.itu.int/md/R15-WRC15-C-0067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ologin_md.asp?lang=en&amp;id=R15-WRC15-C-0007!A5!MSW-E" TargetMode="External"/><Relationship Id="rId22" Type="http://schemas.openxmlformats.org/officeDocument/2006/relationships/hyperlink" Target="http://www.itu.int/md/R15-WRC15-C-0007/e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R15-WRC15-C-0007!A24-A8!MSW-R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AC23-78D0-47E0-BB8A-7C247E90F7BB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014A75-8130-4EB4-8B26-357B367D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2233</Words>
  <Characters>15486</Characters>
  <Application>Microsoft Office Word</Application>
  <DocSecurity>0</DocSecurity>
  <Lines>329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R15-WRC15-C-0007!A24-A8!MSW-R</vt:lpstr>
    </vt:vector>
  </TitlesOfParts>
  <Manager>General Secretariat - Pool</Manager>
  <Company>International Telecommunication Union (ITU)</Company>
  <LinksUpToDate>false</LinksUpToDate>
  <CharactersWithSpaces>17579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R15-WRC15-C-0007!A24-A8!MSW-R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6</cp:revision>
  <cp:lastPrinted>2015-10-25T11:00:00Z</cp:lastPrinted>
  <dcterms:created xsi:type="dcterms:W3CDTF">2015-10-25T11:02:00Z</dcterms:created>
  <dcterms:modified xsi:type="dcterms:W3CDTF">2015-10-30T08:52:00Z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