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796103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796103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796103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796103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796103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  <w:r w:rsidRPr="00796103">
              <w:rPr>
                <w:rFonts w:ascii="Verdana" w:hAnsi="Verdana"/>
                <w:rtl/>
              </w:rPr>
              <w:t xml:space="preserve">الإضافة </w:t>
            </w:r>
            <w:r w:rsidRPr="00796103">
              <w:rPr>
                <w:rFonts w:ascii="Verdana" w:hAnsi="Verdana"/>
              </w:rPr>
              <w:t>4</w:t>
            </w:r>
            <w:r w:rsidRPr="00796103">
              <w:rPr>
                <w:rFonts w:ascii="Verdana" w:hAnsi="Verdana"/>
              </w:rPr>
              <w:br/>
            </w:r>
            <w:r w:rsidRPr="00796103">
              <w:rPr>
                <w:rFonts w:ascii="Verdana" w:hAnsi="Verdana"/>
                <w:rtl/>
              </w:rPr>
              <w:t xml:space="preserve">للوثيقة </w:t>
            </w:r>
            <w:r w:rsidRPr="00796103">
              <w:rPr>
                <w:rFonts w:ascii="Verdana" w:hAnsi="Verdana"/>
              </w:rPr>
              <w:t>6-</w:t>
            </w:r>
            <w:r w:rsidR="00604CB6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796103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796103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796103">
              <w:rPr>
                <w:rFonts w:ascii="Verdana" w:eastAsia="SimSun" w:hAnsi="Verdana"/>
              </w:rPr>
              <w:t>5</w:t>
            </w:r>
            <w:r w:rsidRPr="00796103">
              <w:rPr>
                <w:rFonts w:ascii="Verdana" w:eastAsia="SimSun" w:hAnsi="Verdana"/>
                <w:rtl/>
              </w:rPr>
              <w:t xml:space="preserve"> أكتوبر </w:t>
            </w:r>
            <w:r w:rsidRPr="00796103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796103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796103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796103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796103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الولايات المتحدة الأمريكية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96103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6C2321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6C2321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61837">
            <w:pPr>
              <w:pStyle w:val="Title2"/>
              <w:spacing w:before="240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796103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796103">
              <w:t>4.1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0D0265" w:rsidP="003F3DF9">
      <w:pPr>
        <w:pStyle w:val="Normalaftertitle"/>
        <w:spacing w:line="173" w:lineRule="auto"/>
        <w:rPr>
          <w:rFonts w:eastAsia="SimSun"/>
          <w:rtl/>
        </w:rPr>
      </w:pPr>
      <w:r w:rsidRPr="00431196">
        <w:rPr>
          <w:rFonts w:eastAsia="SimSun"/>
        </w:rPr>
        <w:t>4.1</w:t>
      </w:r>
      <w:r w:rsidRPr="00431196">
        <w:rPr>
          <w:rFonts w:eastAsia="SimSun" w:hint="cs"/>
          <w:rtl/>
        </w:rPr>
        <w:tab/>
        <w:t xml:space="preserve">النظر في إمكانية منح توزيع جديد لخدمة الهواة على أساس ثانوي في النطاق </w:t>
      </w:r>
      <w:r w:rsidRPr="00431196">
        <w:rPr>
          <w:rFonts w:eastAsia="SimSun"/>
        </w:rPr>
        <w:t>kHz 5 450</w:t>
      </w:r>
      <w:r w:rsidRPr="00431196">
        <w:rPr>
          <w:rFonts w:eastAsia="SimSun"/>
        </w:rPr>
        <w:noBreakHyphen/>
        <w:t>5 250</w:t>
      </w:r>
      <w:r w:rsidRPr="00431196">
        <w:rPr>
          <w:rFonts w:eastAsia="SimSun" w:hint="cs"/>
          <w:rtl/>
        </w:rPr>
        <w:t xml:space="preserve"> وفقاً للقرار </w:t>
      </w:r>
      <w:r w:rsidRPr="00431196">
        <w:rPr>
          <w:rFonts w:eastAsia="SimSun"/>
          <w:b/>
          <w:bCs/>
        </w:rPr>
        <w:t>649 (WRC-12)</w:t>
      </w:r>
      <w:r w:rsidRPr="00431196">
        <w:rPr>
          <w:rFonts w:eastAsia="SimSun" w:hint="cs"/>
          <w:rtl/>
        </w:rPr>
        <w:t>؛</w:t>
      </w:r>
    </w:p>
    <w:p w:rsidR="00F16602" w:rsidRDefault="008D59B9" w:rsidP="00D61837">
      <w:pPr>
        <w:pStyle w:val="Headingb"/>
        <w:spacing w:line="180" w:lineRule="auto"/>
        <w:rPr>
          <w:rtl/>
        </w:rPr>
      </w:pPr>
      <w:r>
        <w:rPr>
          <w:rFonts w:hint="cs"/>
          <w:rtl/>
        </w:rPr>
        <w:t>معلومات أساسية</w:t>
      </w:r>
    </w:p>
    <w:p w:rsidR="00796103" w:rsidRDefault="008356F8" w:rsidP="003F3DF9">
      <w:pPr>
        <w:spacing w:line="173" w:lineRule="auto"/>
        <w:rPr>
          <w:rtl/>
          <w:lang w:bidi="ar-EG"/>
        </w:rPr>
      </w:pPr>
      <w:r>
        <w:rPr>
          <w:rFonts w:hint="cs"/>
          <w:rtl/>
          <w:lang w:bidi="ar-EG"/>
        </w:rPr>
        <w:t>ينظر هذا البند من جدول الأعمال في إمكانية منح توزيع للطيف لخدمة الهواة على أساس ثانوي في النطاق</w:t>
      </w:r>
      <w:r w:rsidR="00D61837">
        <w:rPr>
          <w:rFonts w:hint="cs"/>
          <w:rtl/>
          <w:lang w:bidi="ar-EG"/>
        </w:rPr>
        <w:t xml:space="preserve"> </w:t>
      </w:r>
      <w:r w:rsidR="00D61837">
        <w:rPr>
          <w:lang w:bidi="ar-EG"/>
        </w:rPr>
        <w:t>kHz 5 450</w:t>
      </w:r>
      <w:r w:rsidR="00D61837">
        <w:rPr>
          <w:lang w:bidi="ar-EG"/>
        </w:rPr>
        <w:noBreakHyphen/>
        <w:t>5 250</w:t>
      </w:r>
      <w:r>
        <w:rPr>
          <w:rFonts w:hint="cs"/>
          <w:rtl/>
        </w:rPr>
        <w:t xml:space="preserve">. </w:t>
      </w:r>
      <w:r w:rsidR="005814F7">
        <w:rPr>
          <w:rFonts w:hint="cs"/>
          <w:rtl/>
        </w:rPr>
        <w:t>ومع مراعاة</w:t>
      </w:r>
      <w:r w:rsidR="004F11D6">
        <w:rPr>
          <w:rFonts w:hint="cs"/>
          <w:rtl/>
        </w:rPr>
        <w:t xml:space="preserve"> خصائص الانتشار المتعلقة بنطاق الموجات الدي</w:t>
      </w:r>
      <w:r w:rsidR="00D61837">
        <w:rPr>
          <w:rFonts w:hint="cs"/>
          <w:rtl/>
        </w:rPr>
        <w:t>كامترية</w:t>
      </w:r>
      <w:r w:rsidR="003F3DF9">
        <w:rPr>
          <w:rFonts w:hint="cs"/>
          <w:rtl/>
        </w:rPr>
        <w:t xml:space="preserve"> </w:t>
      </w:r>
      <w:r w:rsidR="003F3DF9">
        <w:t>(HF)</w:t>
      </w:r>
      <w:r w:rsidR="00D61837">
        <w:rPr>
          <w:rFonts w:hint="cs"/>
          <w:rtl/>
        </w:rPr>
        <w:t xml:space="preserve"> عند الترددات القريبة من</w:t>
      </w:r>
      <w:r w:rsidR="004F11D6">
        <w:rPr>
          <w:rFonts w:hint="cs"/>
          <w:rtl/>
        </w:rPr>
        <w:t xml:space="preserve"> </w:t>
      </w:r>
      <w:r w:rsidR="004F11D6">
        <w:t>kHz</w:t>
      </w:r>
      <w:r w:rsidR="00D61837">
        <w:t> 5 300</w:t>
      </w:r>
      <w:r w:rsidR="004F11D6">
        <w:rPr>
          <w:rFonts w:hint="cs"/>
          <w:rtl/>
        </w:rPr>
        <w:t xml:space="preserve"> و</w:t>
      </w:r>
      <w:r w:rsidR="005814F7">
        <w:rPr>
          <w:rFonts w:hint="cs"/>
          <w:rtl/>
        </w:rPr>
        <w:t>الاستخدام القائم الحالي</w:t>
      </w:r>
      <w:r w:rsidR="00D61837">
        <w:rPr>
          <w:rFonts w:hint="eastAsia"/>
          <w:rtl/>
        </w:rPr>
        <w:t> </w:t>
      </w:r>
      <w:r w:rsidR="005814F7">
        <w:rPr>
          <w:rFonts w:hint="cs"/>
          <w:rtl/>
        </w:rPr>
        <w:t>في هذا النطاق لعمليات الإغاثة من الكوارث والطوارئ و</w:t>
      </w:r>
      <w:r w:rsidR="00C84691">
        <w:rPr>
          <w:rFonts w:hint="cs"/>
          <w:rtl/>
        </w:rPr>
        <w:t>الحوادث غير المتوقعة، فإن منح توزيع لخدمة الهواة في</w:t>
      </w:r>
      <w:r w:rsidR="00D61837">
        <w:rPr>
          <w:rFonts w:hint="eastAsia"/>
          <w:rtl/>
        </w:rPr>
        <w:t> </w:t>
      </w:r>
      <w:r w:rsidR="00C84691">
        <w:rPr>
          <w:rFonts w:hint="cs"/>
          <w:rtl/>
        </w:rPr>
        <w:t>النطاق</w:t>
      </w:r>
      <w:r w:rsidR="00D61837">
        <w:rPr>
          <w:rFonts w:hint="eastAsia"/>
          <w:rtl/>
          <w:lang w:bidi="ar-EG"/>
        </w:rPr>
        <w:t> </w:t>
      </w:r>
      <w:r w:rsidR="00D61837">
        <w:rPr>
          <w:lang w:bidi="ar-EG"/>
        </w:rPr>
        <w:t>kHz 5 450</w:t>
      </w:r>
      <w:r w:rsidR="00D61837">
        <w:rPr>
          <w:lang w:bidi="ar-EG"/>
        </w:rPr>
        <w:noBreakHyphen/>
        <w:t>5 250</w:t>
      </w:r>
      <w:r w:rsidR="00D61837">
        <w:rPr>
          <w:rFonts w:hint="cs"/>
          <w:rtl/>
          <w:lang w:bidi="ar-EG"/>
        </w:rPr>
        <w:t xml:space="preserve"> </w:t>
      </w:r>
      <w:r w:rsidR="00C84691">
        <w:rPr>
          <w:rFonts w:hint="cs"/>
          <w:rtl/>
        </w:rPr>
        <w:t xml:space="preserve">يجب أن </w:t>
      </w:r>
      <w:r w:rsidR="00D61837">
        <w:rPr>
          <w:rFonts w:hint="cs"/>
          <w:rtl/>
        </w:rPr>
        <w:t>يحمي الخدمات القائمة في النطاق.</w:t>
      </w:r>
    </w:p>
    <w:p w:rsidR="00C04AE6" w:rsidRDefault="00C84691" w:rsidP="003F3DF9">
      <w:pPr>
        <w:spacing w:line="173" w:lineRule="auto"/>
        <w:rPr>
          <w:rtl/>
        </w:rPr>
      </w:pPr>
      <w:r>
        <w:rPr>
          <w:rFonts w:hint="cs"/>
          <w:rtl/>
        </w:rPr>
        <w:t xml:space="preserve">وتشمل الخدمات القائمة في </w:t>
      </w:r>
      <w:r w:rsidR="00706AC1">
        <w:rPr>
          <w:rFonts w:hint="cs"/>
          <w:rtl/>
        </w:rPr>
        <w:t>المدى</w:t>
      </w:r>
      <w:r w:rsidR="00D61837">
        <w:rPr>
          <w:rFonts w:hint="cs"/>
          <w:rtl/>
        </w:rPr>
        <w:t xml:space="preserve"> </w:t>
      </w:r>
      <w:r w:rsidR="00D61837">
        <w:t>kHz 5 450</w:t>
      </w:r>
      <w:r w:rsidR="00D61837">
        <w:noBreakHyphen/>
        <w:t>5 250</w:t>
      </w:r>
      <w:r w:rsidR="00706AC1">
        <w:rPr>
          <w:rFonts w:hint="cs"/>
          <w:rtl/>
        </w:rPr>
        <w:t xml:space="preserve"> الخدمات الثابتة والمتنقلة (باستثناء المتنقلة للطيران) والتحديد الراديوي</w:t>
      </w:r>
      <w:r w:rsidR="00F26666">
        <w:rPr>
          <w:rFonts w:hint="cs"/>
          <w:rtl/>
        </w:rPr>
        <w:t xml:space="preserve"> للموقع</w:t>
      </w:r>
      <w:r w:rsidR="00291406">
        <w:rPr>
          <w:rStyle w:val="FootnoteReference"/>
          <w:rtl/>
        </w:rPr>
        <w:footnoteReference w:id="1"/>
      </w:r>
      <w:r w:rsidR="00706AC1">
        <w:rPr>
          <w:rFonts w:hint="cs"/>
          <w:rtl/>
        </w:rPr>
        <w:t xml:space="preserve">. وقد أظهرت التجربة أن </w:t>
      </w:r>
      <w:r w:rsidR="003F3DF9">
        <w:rPr>
          <w:rFonts w:hint="cs"/>
          <w:rtl/>
        </w:rPr>
        <w:t>تشغيل خدمة الهواة لا ي</w:t>
      </w:r>
      <w:r w:rsidR="00706AC1">
        <w:rPr>
          <w:rFonts w:hint="cs"/>
          <w:rtl/>
        </w:rPr>
        <w:t xml:space="preserve">توافق مع التوزيعات عالية </w:t>
      </w:r>
      <w:r w:rsidR="00E32C3C">
        <w:rPr>
          <w:rFonts w:hint="cs"/>
          <w:rtl/>
        </w:rPr>
        <w:t>التردد</w:t>
      </w:r>
      <w:r w:rsidR="003F3DF9">
        <w:rPr>
          <w:rFonts w:hint="cs"/>
          <w:rtl/>
        </w:rPr>
        <w:t xml:space="preserve"> </w:t>
      </w:r>
      <w:r w:rsidR="003F3DF9">
        <w:t>(HF)</w:t>
      </w:r>
      <w:r w:rsidR="00E32C3C">
        <w:rPr>
          <w:rFonts w:hint="cs"/>
          <w:rtl/>
        </w:rPr>
        <w:t xml:space="preserve"> لخدمة التحديد الراديوي للموقع، وبالتالي فإن المدى</w:t>
      </w:r>
      <w:r w:rsidR="00D61837">
        <w:rPr>
          <w:rFonts w:hint="cs"/>
          <w:rtl/>
        </w:rPr>
        <w:t xml:space="preserve"> </w:t>
      </w:r>
      <w:r w:rsidR="00D61837">
        <w:t>kHz 5 275</w:t>
      </w:r>
      <w:r w:rsidR="00D61837">
        <w:noBreakHyphen/>
        <w:t>5 250</w:t>
      </w:r>
      <w:r w:rsidR="00E32C3C">
        <w:rPr>
          <w:rFonts w:hint="cs"/>
          <w:rtl/>
        </w:rPr>
        <w:t xml:space="preserve"> </w:t>
      </w:r>
      <w:r w:rsidR="006F1CA3">
        <w:rPr>
          <w:rFonts w:hint="cs"/>
          <w:rtl/>
        </w:rPr>
        <w:t xml:space="preserve">غير ملائم للاستجابة </w:t>
      </w:r>
      <w:r w:rsidR="00D61837">
        <w:rPr>
          <w:rFonts w:hint="cs"/>
          <w:rtl/>
          <w:lang w:bidi="ar-EG"/>
        </w:rPr>
        <w:t>ل</w:t>
      </w:r>
      <w:r w:rsidR="006F1CA3">
        <w:rPr>
          <w:rFonts w:hint="cs"/>
          <w:rtl/>
        </w:rPr>
        <w:t xml:space="preserve">هذا البند من جدول الأعمال. والاستعمالات الثابتة والمتنقلة الحالية في هذا </w:t>
      </w:r>
      <w:r w:rsidR="006F1CA3" w:rsidRPr="00D61837">
        <w:rPr>
          <w:rFonts w:hint="cs"/>
          <w:spacing w:val="-4"/>
          <w:rtl/>
        </w:rPr>
        <w:t xml:space="preserve">النطاق </w:t>
      </w:r>
      <w:r w:rsidR="001D6845" w:rsidRPr="00D61837">
        <w:rPr>
          <w:rFonts w:hint="cs"/>
          <w:spacing w:val="-4"/>
          <w:rtl/>
        </w:rPr>
        <w:t>هي بمثابة دعم مباشر لعمليات إنفاذ القانون والإغاثة من الكوارث والطوارئ والحوادث غير المتوقعة. ومن ثم، فإن است</w:t>
      </w:r>
      <w:r w:rsidR="003F3DF9">
        <w:rPr>
          <w:rFonts w:hint="cs"/>
          <w:spacing w:val="-4"/>
          <w:rtl/>
          <w:lang w:bidi="ar-EG"/>
        </w:rPr>
        <w:t>عمال</w:t>
      </w:r>
      <w:r w:rsidR="003F3DF9">
        <w:rPr>
          <w:rFonts w:hint="cs"/>
          <w:spacing w:val="-4"/>
          <w:rtl/>
        </w:rPr>
        <w:t xml:space="preserve"> خدمة الهواة ل</w:t>
      </w:r>
      <w:r w:rsidR="001D6845" w:rsidRPr="00D61837">
        <w:rPr>
          <w:rFonts w:hint="cs"/>
          <w:spacing w:val="-4"/>
          <w:rtl/>
        </w:rPr>
        <w:t>هذا النطاق أمر غير ملائم. و</w:t>
      </w:r>
      <w:r w:rsidR="00C60F35" w:rsidRPr="00D61837">
        <w:rPr>
          <w:rFonts w:hint="cs"/>
          <w:spacing w:val="-4"/>
          <w:rtl/>
        </w:rPr>
        <w:t>تمنح</w:t>
      </w:r>
      <w:r w:rsidR="001D6845" w:rsidRPr="00D61837">
        <w:rPr>
          <w:rFonts w:hint="cs"/>
          <w:spacing w:val="-4"/>
          <w:rtl/>
        </w:rPr>
        <w:t xml:space="preserve"> بعض الإدارات</w:t>
      </w:r>
      <w:r w:rsidR="00C60F35" w:rsidRPr="00D61837">
        <w:rPr>
          <w:rFonts w:hint="cs"/>
          <w:spacing w:val="-4"/>
          <w:rtl/>
        </w:rPr>
        <w:t xml:space="preserve"> امتيازات</w:t>
      </w:r>
      <w:r w:rsidR="001D6845" w:rsidRPr="00D61837">
        <w:rPr>
          <w:rFonts w:hint="cs"/>
          <w:spacing w:val="-4"/>
          <w:rtl/>
        </w:rPr>
        <w:t xml:space="preserve"> ل</w:t>
      </w:r>
      <w:r w:rsidR="00C60F35" w:rsidRPr="00D61837">
        <w:rPr>
          <w:rFonts w:hint="cs"/>
          <w:spacing w:val="-4"/>
          <w:rtl/>
        </w:rPr>
        <w:t>أصحاب تراخيص خدمة الهواة</w:t>
      </w:r>
      <w:r w:rsidR="001D6845" w:rsidRPr="00D61837">
        <w:rPr>
          <w:rFonts w:hint="cs"/>
          <w:spacing w:val="-4"/>
          <w:rtl/>
        </w:rPr>
        <w:t xml:space="preserve"> في إطار المدى</w:t>
      </w:r>
      <w:r w:rsidR="003F3DF9">
        <w:rPr>
          <w:rFonts w:hint="eastAsia"/>
          <w:spacing w:val="-4"/>
          <w:rtl/>
        </w:rPr>
        <w:t> </w:t>
      </w:r>
      <w:r w:rsidR="003F3DF9">
        <w:rPr>
          <w:spacing w:val="-4"/>
        </w:rPr>
        <w:t>kHz 5 450</w:t>
      </w:r>
      <w:r w:rsidR="003F3DF9">
        <w:rPr>
          <w:spacing w:val="-4"/>
        </w:rPr>
        <w:noBreakHyphen/>
        <w:t>5 275</w:t>
      </w:r>
      <w:r w:rsidR="001D6845" w:rsidRPr="00D61837">
        <w:rPr>
          <w:rFonts w:hint="cs"/>
          <w:spacing w:val="-4"/>
          <w:rtl/>
        </w:rPr>
        <w:t xml:space="preserve"> </w:t>
      </w:r>
      <w:r w:rsidR="00C60F35" w:rsidRPr="00D61837">
        <w:rPr>
          <w:rFonts w:hint="cs"/>
          <w:spacing w:val="-4"/>
          <w:rtl/>
        </w:rPr>
        <w:t>بموجب الرق</w:t>
      </w:r>
      <w:bookmarkStart w:id="1" w:name="_GoBack"/>
      <w:bookmarkEnd w:id="1"/>
      <w:r w:rsidR="00C60F35" w:rsidRPr="00D61837">
        <w:rPr>
          <w:rFonts w:hint="cs"/>
          <w:spacing w:val="-4"/>
          <w:rtl/>
        </w:rPr>
        <w:t xml:space="preserve">م </w:t>
      </w:r>
      <w:r w:rsidR="00D61837" w:rsidRPr="00D61837">
        <w:rPr>
          <w:spacing w:val="-4"/>
        </w:rPr>
        <w:t>4.4</w:t>
      </w:r>
      <w:r w:rsidR="00C60F35" w:rsidRPr="00D61837">
        <w:rPr>
          <w:rFonts w:hint="cs"/>
          <w:spacing w:val="-4"/>
          <w:rtl/>
        </w:rPr>
        <w:t xml:space="preserve"> من لوائح الراديو، حيث تسمح في بعض الحالات ب</w:t>
      </w:r>
      <w:r w:rsidR="00C04AE6" w:rsidRPr="00D61837">
        <w:rPr>
          <w:rFonts w:hint="cs"/>
          <w:spacing w:val="-4"/>
          <w:rtl/>
        </w:rPr>
        <w:t>التشغيل ضمن قنوات م</w:t>
      </w:r>
      <w:r w:rsidR="00C60F35" w:rsidRPr="00D61837">
        <w:rPr>
          <w:rFonts w:hint="cs"/>
          <w:spacing w:val="-4"/>
          <w:rtl/>
        </w:rPr>
        <w:t>نفصلة، وفي</w:t>
      </w:r>
      <w:r w:rsidR="003F3DF9">
        <w:rPr>
          <w:rFonts w:hint="eastAsia"/>
          <w:spacing w:val="-4"/>
          <w:rtl/>
        </w:rPr>
        <w:t> </w:t>
      </w:r>
      <w:r w:rsidR="00C60F35" w:rsidRPr="00D61837">
        <w:rPr>
          <w:rFonts w:hint="cs"/>
          <w:spacing w:val="-4"/>
          <w:rtl/>
        </w:rPr>
        <w:t>حال</w:t>
      </w:r>
      <w:r w:rsidR="00C04AE6" w:rsidRPr="00D61837">
        <w:rPr>
          <w:rFonts w:hint="cs"/>
          <w:spacing w:val="-4"/>
          <w:rtl/>
        </w:rPr>
        <w:t>ات أخرى بالنفاذ إلى أحد نطاقات التردد.</w:t>
      </w:r>
    </w:p>
    <w:p w:rsidR="00796103" w:rsidRDefault="00796103" w:rsidP="003F3DF9">
      <w:pPr>
        <w:pStyle w:val="Headingb"/>
        <w:keepNext w:val="0"/>
        <w:spacing w:line="173" w:lineRule="auto"/>
        <w:rPr>
          <w:rtl/>
        </w:rPr>
      </w:pPr>
      <w:r>
        <w:rPr>
          <w:rFonts w:hint="cs"/>
          <w:rtl/>
        </w:rPr>
        <w:t>المقترحات</w:t>
      </w:r>
    </w:p>
    <w:p w:rsidR="00796103" w:rsidRDefault="00C04AE6" w:rsidP="003F3DF9">
      <w:pPr>
        <w:spacing w:line="173" w:lineRule="auto"/>
        <w:rPr>
          <w:rtl/>
          <w:lang w:bidi="ar-EG"/>
        </w:rPr>
      </w:pPr>
      <w:r>
        <w:rPr>
          <w:rFonts w:hint="cs"/>
          <w:rtl/>
          <w:lang w:bidi="ar-EG"/>
        </w:rPr>
        <w:t>نظراً إلى أن استخدام</w:t>
      </w:r>
      <w:r w:rsidR="003F3DF9">
        <w:rPr>
          <w:rFonts w:hint="cs"/>
          <w:rtl/>
          <w:lang w:bidi="ar-EG"/>
        </w:rPr>
        <w:t xml:space="preserve"> خدمة</w:t>
      </w:r>
      <w:r>
        <w:rPr>
          <w:rFonts w:hint="cs"/>
          <w:rtl/>
          <w:lang w:bidi="ar-EG"/>
        </w:rPr>
        <w:t xml:space="preserve"> الهواة لهذا النطاق لن يتوافق مع الخدمات الحالية والاستخدام القائم لعمليات الإغاثة من الكوارث والطوارئ والحوادث غير المتوقعة في النطاق، فإن الولايات المتحدة تقترح عدم إدخال أي تعديل </w:t>
      </w:r>
      <w:r w:rsidR="003F3DF9">
        <w:rPr>
          <w:rFonts w:hint="cs"/>
          <w:rtl/>
          <w:lang w:bidi="ar-EG"/>
        </w:rPr>
        <w:t>بشأن</w:t>
      </w:r>
      <w:r>
        <w:rPr>
          <w:rFonts w:hint="cs"/>
          <w:rtl/>
          <w:lang w:bidi="ar-EG"/>
        </w:rPr>
        <w:t xml:space="preserve"> النطا</w:t>
      </w:r>
      <w:r w:rsidR="00D83BFF">
        <w:rPr>
          <w:rFonts w:hint="cs"/>
          <w:rtl/>
          <w:lang w:bidi="ar-EG"/>
        </w:rPr>
        <w:t>ق</w:t>
      </w:r>
      <w:r w:rsidR="00D61837">
        <w:rPr>
          <w:rFonts w:hint="cs"/>
          <w:rtl/>
          <w:lang w:bidi="ar-EG"/>
        </w:rPr>
        <w:t xml:space="preserve"> </w:t>
      </w:r>
      <w:r w:rsidR="00D61837">
        <w:rPr>
          <w:lang w:bidi="ar-EG"/>
        </w:rPr>
        <w:t>kHz 5 450</w:t>
      </w:r>
      <w:r w:rsidR="00D61837">
        <w:rPr>
          <w:lang w:bidi="ar-EG"/>
        </w:rPr>
        <w:noBreakHyphen/>
        <w:t>5 250</w:t>
      </w:r>
      <w:r w:rsidR="00D61837">
        <w:rPr>
          <w:rFonts w:hint="cs"/>
          <w:rtl/>
          <w:lang w:bidi="ar-EG"/>
        </w:rPr>
        <w:t>.</w:t>
      </w:r>
    </w:p>
    <w:p w:rsidR="009F37C9" w:rsidRDefault="000D0265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0D0265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0D0265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7E5DE5" w:rsidRDefault="000D0265">
      <w:pPr>
        <w:pStyle w:val="Proposal"/>
      </w:pPr>
      <w:r>
        <w:rPr>
          <w:u w:val="single"/>
        </w:rPr>
        <w:t>NOC</w:t>
      </w:r>
      <w:r>
        <w:tab/>
        <w:t>USA/6A4/1</w:t>
      </w:r>
    </w:p>
    <w:p w:rsidR="009F37C9" w:rsidRPr="00FC1FA1" w:rsidRDefault="000D0265">
      <w:pPr>
        <w:pStyle w:val="Tabletitle"/>
        <w:pPrChange w:id="3" w:author="El Wardany, Samy" w:date="2011-08-01T14:42:00Z">
          <w:pPr/>
        </w:pPrChange>
      </w:pPr>
      <w:r w:rsidRPr="00FC1FA1">
        <w:t xml:space="preserve">kHz 7 </w:t>
      </w:r>
      <w:r>
        <w:t>4</w:t>
      </w:r>
      <w:r w:rsidRPr="00FC1FA1">
        <w:t>50-5 003</w:t>
      </w:r>
    </w:p>
    <w:tbl>
      <w:tblPr>
        <w:bidiVisual/>
        <w:tblW w:w="953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93"/>
        <w:gridCol w:w="3176"/>
        <w:gridCol w:w="13"/>
        <w:gridCol w:w="3152"/>
      </w:tblGrid>
      <w:tr w:rsidR="00495A5E" w:rsidTr="00FE7E6B">
        <w:trPr>
          <w:cantSplit/>
        </w:trPr>
        <w:tc>
          <w:tcPr>
            <w:tcW w:w="9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5E" w:rsidRDefault="000D0265" w:rsidP="00FE7E6B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495A5E" w:rsidTr="00F83995">
        <w:trPr>
          <w:cantSplit/>
        </w:trPr>
        <w:tc>
          <w:tcPr>
            <w:tcW w:w="3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Default="000D0265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Default="000D0265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Default="000D0265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495A5E" w:rsidRPr="00AA0EDA" w:rsidTr="00F83995">
        <w:trPr>
          <w:cantSplit/>
        </w:trPr>
        <w:tc>
          <w:tcPr>
            <w:tcW w:w="3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5E" w:rsidRPr="00AA0EDA" w:rsidRDefault="000D0265" w:rsidP="00796103">
            <w:pPr>
              <w:pStyle w:val="TabletextS5"/>
              <w:rPr>
                <w:rStyle w:val="Tablefreq"/>
                <w:b w:val="0"/>
                <w:bCs w:val="0"/>
              </w:rPr>
            </w:pPr>
            <w:r w:rsidRPr="00AA0EDA">
              <w:rPr>
                <w:rStyle w:val="Tablefreq"/>
              </w:rPr>
              <w:t>5</w:t>
            </w:r>
            <w:r w:rsidR="00796103">
              <w:rPr>
                <w:rStyle w:val="Tablefreq"/>
              </w:rPr>
              <w:t> </w:t>
            </w:r>
            <w:r w:rsidRPr="00AA0EDA">
              <w:rPr>
                <w:rStyle w:val="Tablefreq"/>
              </w:rPr>
              <w:t>275-5 250</w:t>
            </w:r>
          </w:p>
          <w:p w:rsidR="00495A5E" w:rsidRPr="001A228B" w:rsidRDefault="000D0265" w:rsidP="00FE7E6B">
            <w:pPr>
              <w:pStyle w:val="TabletextS5"/>
              <w:rPr>
                <w:b/>
                <w:bCs/>
                <w:rtl/>
              </w:rPr>
            </w:pPr>
            <w:r w:rsidRPr="001A228B">
              <w:rPr>
                <w:b/>
                <w:bCs/>
                <w:rtl/>
              </w:rPr>
              <w:t>ثابتة</w:t>
            </w:r>
          </w:p>
          <w:p w:rsidR="00495A5E" w:rsidRPr="00AA0EDA" w:rsidRDefault="000D0265" w:rsidP="00FE7E6B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  <w:p w:rsidR="00495A5E" w:rsidRPr="00AA0EDA" w:rsidRDefault="000D0265" w:rsidP="00FE7E6B">
            <w:pPr>
              <w:pStyle w:val="TabletextS5"/>
              <w:rPr>
                <w:rtl/>
              </w:rPr>
            </w:pPr>
            <w:r w:rsidRPr="00AA0EDA">
              <w:rPr>
                <w:rFonts w:hint="cs"/>
                <w:rtl/>
              </w:rPr>
              <w:t>تحديد راديوي</w:t>
            </w:r>
            <w:r>
              <w:rPr>
                <w:rFonts w:hint="cs"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796103">
              <w:rPr>
                <w:rStyle w:val="Artref"/>
                <w:b w:val="0"/>
                <w:bCs w:val="0"/>
              </w:rPr>
              <w:t>132A.5</w:t>
            </w:r>
            <w:r w:rsidRPr="00AA0EDA">
              <w:t> </w:t>
            </w:r>
          </w:p>
          <w:p w:rsidR="00495A5E" w:rsidRPr="00016866" w:rsidRDefault="000D0265" w:rsidP="00FE7E6B">
            <w:pPr>
              <w:pStyle w:val="TabletextS5"/>
              <w:rPr>
                <w:rStyle w:val="Artref"/>
                <w:b w:val="0"/>
                <w:bCs w:val="0"/>
              </w:rPr>
            </w:pPr>
            <w:r w:rsidRPr="00016866">
              <w:rPr>
                <w:rStyle w:val="Artref"/>
                <w:b w:val="0"/>
                <w:bCs w:val="0"/>
              </w:rPr>
              <w:t>133A.5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5E" w:rsidRPr="00AA0EDA" w:rsidRDefault="000D0265" w:rsidP="00796103">
            <w:pPr>
              <w:pStyle w:val="TabletextS5"/>
              <w:rPr>
                <w:rStyle w:val="Tablefreq"/>
                <w:b w:val="0"/>
                <w:bCs w:val="0"/>
              </w:rPr>
            </w:pPr>
            <w:r w:rsidRPr="00AA0EDA">
              <w:rPr>
                <w:rStyle w:val="Tablefreq"/>
              </w:rPr>
              <w:t>5</w:t>
            </w:r>
            <w:r w:rsidR="00796103">
              <w:rPr>
                <w:rStyle w:val="Tablefreq"/>
              </w:rPr>
              <w:t> </w:t>
            </w:r>
            <w:r w:rsidRPr="00AA0EDA">
              <w:rPr>
                <w:rStyle w:val="Tablefreq"/>
              </w:rPr>
              <w:t>275-5 250</w:t>
            </w:r>
          </w:p>
          <w:p w:rsidR="00495A5E" w:rsidRPr="00AA0EDA" w:rsidRDefault="000D0265" w:rsidP="00FE7E6B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ثابتة</w:t>
            </w:r>
          </w:p>
          <w:p w:rsidR="00495A5E" w:rsidRPr="00AA0EDA" w:rsidRDefault="000D0265" w:rsidP="00FE7E6B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  <w:p w:rsidR="00495A5E" w:rsidRPr="00AA0EDA" w:rsidRDefault="000D0265" w:rsidP="00FE7E6B">
            <w:pPr>
              <w:pStyle w:val="TabletextS5"/>
            </w:pPr>
            <w:r w:rsidRPr="00D80ED0">
              <w:rPr>
                <w:rFonts w:hint="cs"/>
                <w:b/>
                <w:bCs/>
                <w:rtl/>
              </w:rPr>
              <w:t>تحديد راديوي</w:t>
            </w:r>
            <w:r>
              <w:rPr>
                <w:rFonts w:hint="cs"/>
                <w:b/>
                <w:bCs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796103">
              <w:rPr>
                <w:rStyle w:val="Artref"/>
                <w:b w:val="0"/>
                <w:bCs w:val="0"/>
              </w:rPr>
              <w:t>132A.5</w:t>
            </w:r>
            <w:r w:rsidRPr="00AA0EDA"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5E" w:rsidRPr="00AA0EDA" w:rsidRDefault="000D0265" w:rsidP="00796103">
            <w:pPr>
              <w:pStyle w:val="TabletextS5"/>
              <w:rPr>
                <w:rStyle w:val="Tablefreq"/>
                <w:b w:val="0"/>
                <w:bCs w:val="0"/>
              </w:rPr>
            </w:pPr>
            <w:r w:rsidRPr="00AA0EDA">
              <w:rPr>
                <w:rStyle w:val="Tablefreq"/>
              </w:rPr>
              <w:t>5</w:t>
            </w:r>
            <w:r w:rsidR="00796103">
              <w:rPr>
                <w:rStyle w:val="Tablefreq"/>
              </w:rPr>
              <w:t> </w:t>
            </w:r>
            <w:r w:rsidRPr="00AA0EDA">
              <w:rPr>
                <w:rStyle w:val="Tablefreq"/>
              </w:rPr>
              <w:t>275-5 250</w:t>
            </w:r>
          </w:p>
          <w:p w:rsidR="00495A5E" w:rsidRPr="00AA0EDA" w:rsidRDefault="000D0265" w:rsidP="00FE7E6B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ثابتة</w:t>
            </w:r>
          </w:p>
          <w:p w:rsidR="00495A5E" w:rsidRPr="00AA0EDA" w:rsidRDefault="000D0265" w:rsidP="00FE7E6B">
            <w:pPr>
              <w:pStyle w:val="TabletextS5"/>
              <w:rPr>
                <w:rtl/>
              </w:rPr>
            </w:pPr>
            <w:r w:rsidRPr="00AA0EDA">
              <w:rPr>
                <w:b/>
                <w:bCs/>
                <w:rtl/>
              </w:rPr>
              <w:t>متنقلة</w:t>
            </w:r>
            <w:r w:rsidRPr="00AA0EDA">
              <w:rPr>
                <w:rtl/>
              </w:rPr>
              <w:t xml:space="preserve"> باستثناء المتنقلة للطيران</w:t>
            </w:r>
          </w:p>
          <w:p w:rsidR="00495A5E" w:rsidRPr="00AA0EDA" w:rsidRDefault="000D0265" w:rsidP="00FE7E6B">
            <w:pPr>
              <w:pStyle w:val="TabletextS5"/>
            </w:pPr>
            <w:r w:rsidRPr="00AA0EDA">
              <w:rPr>
                <w:rFonts w:hint="cs"/>
                <w:rtl/>
              </w:rPr>
              <w:t>تحديد راديوي</w:t>
            </w:r>
            <w:r>
              <w:rPr>
                <w:rFonts w:hint="cs"/>
                <w:rtl/>
              </w:rPr>
              <w:t xml:space="preserve"> للموقع</w:t>
            </w:r>
            <w:r w:rsidRPr="00AA0EDA">
              <w:rPr>
                <w:rFonts w:hint="cs"/>
                <w:rtl/>
              </w:rPr>
              <w:t xml:space="preserve"> </w:t>
            </w:r>
            <w:r w:rsidRPr="00796103">
              <w:rPr>
                <w:rStyle w:val="Artref"/>
                <w:b w:val="0"/>
                <w:bCs w:val="0"/>
              </w:rPr>
              <w:t>132A.5</w:t>
            </w:r>
            <w:r w:rsidRPr="00AA0EDA">
              <w:t> </w:t>
            </w:r>
          </w:p>
          <w:p w:rsidR="00495A5E" w:rsidRPr="00AA0EDA" w:rsidRDefault="006F1170" w:rsidP="00FE7E6B">
            <w:pPr>
              <w:spacing w:line="270" w:lineRule="exact"/>
            </w:pPr>
          </w:p>
        </w:tc>
      </w:tr>
      <w:tr w:rsidR="00495A5E" w:rsidRPr="00AA0EDA" w:rsidTr="00FE7E6B">
        <w:trPr>
          <w:cantSplit/>
        </w:trPr>
        <w:tc>
          <w:tcPr>
            <w:tcW w:w="95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A5E" w:rsidRPr="00AA0EDA" w:rsidRDefault="000D0265" w:rsidP="00796103">
            <w:pPr>
              <w:pStyle w:val="TabletextS5"/>
              <w:tabs>
                <w:tab w:val="left" w:pos="3120"/>
              </w:tabs>
              <w:rPr>
                <w:rtl/>
              </w:rPr>
            </w:pPr>
            <w:r w:rsidRPr="00AA0EDA">
              <w:rPr>
                <w:rStyle w:val="Tablefreq"/>
              </w:rPr>
              <w:t>5</w:t>
            </w:r>
            <w:r w:rsidR="00796103">
              <w:rPr>
                <w:rStyle w:val="Tablefreq"/>
              </w:rPr>
              <w:t> </w:t>
            </w:r>
            <w:r w:rsidRPr="00AA0EDA">
              <w:rPr>
                <w:rStyle w:val="Tablefreq"/>
              </w:rPr>
              <w:t>450-5 275</w:t>
            </w:r>
            <w:r w:rsidRPr="008107A8">
              <w:tab/>
            </w:r>
            <w:r w:rsidR="00796103">
              <w:rPr>
                <w:rtl/>
              </w:rPr>
              <w:tab/>
            </w:r>
            <w:r w:rsidRPr="00AA0EDA">
              <w:rPr>
                <w:b/>
                <w:bCs/>
                <w:rtl/>
              </w:rPr>
              <w:t>ثابتة</w:t>
            </w:r>
          </w:p>
          <w:p w:rsidR="00495A5E" w:rsidRPr="00AA0EDA" w:rsidRDefault="00796103" w:rsidP="00796103">
            <w:pPr>
              <w:pStyle w:val="TabletextS5"/>
              <w:tabs>
                <w:tab w:val="left" w:pos="3120"/>
              </w:tabs>
            </w:pPr>
            <w:r>
              <w:rPr>
                <w:b/>
                <w:bCs/>
                <w:rtl/>
              </w:rPr>
              <w:tab/>
            </w:r>
            <w:r w:rsidR="000D0265" w:rsidRPr="00AA0EDA">
              <w:rPr>
                <w:rFonts w:hint="cs"/>
                <w:b/>
                <w:bCs/>
                <w:rtl/>
              </w:rPr>
              <w:tab/>
            </w:r>
            <w:r w:rsidR="000D0265" w:rsidRPr="00AA0EDA">
              <w:rPr>
                <w:b/>
                <w:bCs/>
                <w:rtl/>
              </w:rPr>
              <w:t>متنقلة</w:t>
            </w:r>
            <w:r w:rsidR="000D0265" w:rsidRPr="00AA0EDA">
              <w:rPr>
                <w:rtl/>
              </w:rPr>
              <w:t xml:space="preserve"> باستثناء المتنقلة للطيران</w:t>
            </w:r>
          </w:p>
        </w:tc>
      </w:tr>
    </w:tbl>
    <w:p w:rsidR="007E5DE5" w:rsidRPr="002B4E96" w:rsidRDefault="000D0265" w:rsidP="00B64614">
      <w:pPr>
        <w:pStyle w:val="Reasons"/>
        <w:spacing w:before="360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2B4E96">
        <w:rPr>
          <w:rFonts w:hint="cs"/>
          <w:b w:val="0"/>
          <w:bCs w:val="0"/>
          <w:rtl/>
          <w:lang w:bidi="ar-EG"/>
        </w:rPr>
        <w:t xml:space="preserve">أظهرت التجربة أن التقاسم في نطاق الموجات الديكامترية غير ممكن بين خدمة الهواة وخدمة التحديد الراديوي للموقع، وبين خدمة الهواة والخدمتين الثابتة والمتنقلة، </w:t>
      </w:r>
      <w:r w:rsidR="003F3DF9">
        <w:rPr>
          <w:rFonts w:hint="cs"/>
          <w:b w:val="0"/>
          <w:bCs w:val="0"/>
          <w:rtl/>
          <w:lang w:bidi="ar-EG"/>
        </w:rPr>
        <w:t xml:space="preserve">وهي من الخدمات </w:t>
      </w:r>
      <w:r w:rsidR="002B4E96">
        <w:rPr>
          <w:rFonts w:hint="cs"/>
          <w:b w:val="0"/>
          <w:bCs w:val="0"/>
          <w:rtl/>
          <w:lang w:bidi="ar-EG"/>
        </w:rPr>
        <w:t xml:space="preserve">التي تستخدم بكثافة في عمليات إنفاذ القانون والإغاثة من الكوارث </w:t>
      </w:r>
      <w:r w:rsidR="003F3DF9">
        <w:rPr>
          <w:rFonts w:hint="cs"/>
          <w:b w:val="0"/>
          <w:bCs w:val="0"/>
          <w:rtl/>
          <w:lang w:bidi="ar-EG"/>
        </w:rPr>
        <w:t>والطوارئ والحوادث غير المتوقعة.</w:t>
      </w:r>
    </w:p>
    <w:p w:rsidR="007E5DE5" w:rsidRDefault="000D0265">
      <w:pPr>
        <w:pStyle w:val="Proposal"/>
      </w:pPr>
      <w:r>
        <w:t>SUP</w:t>
      </w:r>
      <w:r>
        <w:tab/>
        <w:t>USA/6A4/2</w:t>
      </w:r>
    </w:p>
    <w:p w:rsidR="00156D4B" w:rsidRPr="00C9435B" w:rsidRDefault="000D0265" w:rsidP="00156D4B">
      <w:pPr>
        <w:pStyle w:val="ResNo"/>
        <w:keepLines/>
        <w:rPr>
          <w:rtl/>
          <w:lang w:bidi="ar-SA"/>
        </w:rPr>
      </w:pPr>
      <w:bookmarkStart w:id="4" w:name="_Toc327956733"/>
      <w:r>
        <w:rPr>
          <w:rFonts w:hint="cs"/>
          <w:rtl/>
        </w:rPr>
        <w:t xml:space="preserve">القـرار </w:t>
      </w:r>
      <w:r w:rsidRPr="00156D4B">
        <w:rPr>
          <w:rStyle w:val="href"/>
        </w:rPr>
        <w:t>649</w:t>
      </w:r>
      <w:r>
        <w:t> </w:t>
      </w:r>
      <w:r w:rsidRPr="00AB31CC">
        <w:t>(WRC</w:t>
      </w:r>
      <w:r>
        <w:noBreakHyphen/>
      </w:r>
      <w:r w:rsidRPr="00AB31CC">
        <w:t>12)</w:t>
      </w:r>
      <w:bookmarkEnd w:id="4"/>
    </w:p>
    <w:p w:rsidR="00156D4B" w:rsidRPr="00C76619" w:rsidRDefault="000D0265" w:rsidP="00156D4B">
      <w:pPr>
        <w:pStyle w:val="Restitle"/>
        <w:keepLines/>
        <w:rPr>
          <w:caps/>
          <w:rtl/>
          <w:lang w:bidi="ar-EG"/>
        </w:rPr>
      </w:pPr>
      <w:bookmarkStart w:id="5" w:name="_Toc327956734"/>
      <w:r>
        <w:rPr>
          <w:rFonts w:hint="cs"/>
          <w:caps/>
          <w:rtl/>
          <w:lang w:bidi="ar-EG"/>
        </w:rPr>
        <w:t xml:space="preserve">إمكانية منح توزيع لخدمة الهواة على أساس ثانوي </w:t>
      </w:r>
      <w:r w:rsidR="00B64614">
        <w:rPr>
          <w:caps/>
          <w:rtl/>
          <w:lang w:bidi="ar-EG"/>
        </w:rPr>
        <w:br/>
      </w:r>
      <w:r>
        <w:rPr>
          <w:rFonts w:hint="cs"/>
          <w:caps/>
          <w:rtl/>
          <w:lang w:bidi="ar-EG"/>
        </w:rPr>
        <w:t xml:space="preserve">عند حوالي </w:t>
      </w:r>
      <w:r w:rsidRPr="00A43A77">
        <w:t>kHz</w:t>
      </w:r>
      <w:r>
        <w:t> 5 300</w:t>
      </w:r>
      <w:bookmarkEnd w:id="5"/>
    </w:p>
    <w:p w:rsidR="007E5DE5" w:rsidRPr="00B97441" w:rsidRDefault="000D0265" w:rsidP="00363B6B">
      <w:pPr>
        <w:pStyle w:val="Reasons"/>
        <w:spacing w:before="360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B97441">
        <w:rPr>
          <w:rFonts w:hint="cs"/>
          <w:b w:val="0"/>
          <w:bCs w:val="0"/>
          <w:rtl/>
        </w:rPr>
        <w:t>نتيجة ل</w:t>
      </w:r>
      <w:r w:rsidR="00E47B9F">
        <w:rPr>
          <w:rFonts w:hint="cs"/>
          <w:b w:val="0"/>
          <w:bCs w:val="0"/>
          <w:rtl/>
        </w:rPr>
        <w:t xml:space="preserve">عدم </w:t>
      </w:r>
      <w:r w:rsidR="00363B6B">
        <w:rPr>
          <w:rFonts w:hint="cs"/>
          <w:b w:val="0"/>
          <w:bCs w:val="0"/>
          <w:rtl/>
        </w:rPr>
        <w:t>ملاءمة</w:t>
      </w:r>
      <w:r w:rsidR="00E47B9F">
        <w:rPr>
          <w:rFonts w:hint="cs"/>
          <w:b w:val="0"/>
          <w:bCs w:val="0"/>
          <w:rtl/>
        </w:rPr>
        <w:t xml:space="preserve"> منح توزيع </w:t>
      </w:r>
      <w:r w:rsidR="00363B6B">
        <w:rPr>
          <w:rFonts w:hint="cs"/>
          <w:b w:val="0"/>
          <w:bCs w:val="0"/>
          <w:rtl/>
        </w:rPr>
        <w:t>ل</w:t>
      </w:r>
      <w:r w:rsidR="00E47B9F">
        <w:rPr>
          <w:rFonts w:hint="cs"/>
          <w:b w:val="0"/>
          <w:bCs w:val="0"/>
          <w:rtl/>
        </w:rPr>
        <w:t>خدمة الهواة.</w:t>
      </w:r>
    </w:p>
    <w:p w:rsidR="00796103" w:rsidRPr="00796103" w:rsidRDefault="00796103" w:rsidP="00796103">
      <w:pPr>
        <w:spacing w:before="600"/>
        <w:jc w:val="center"/>
      </w:pPr>
      <w:r>
        <w:rPr>
          <w:rFonts w:hint="cs"/>
          <w:rtl/>
        </w:rPr>
        <w:t>___________</w:t>
      </w:r>
    </w:p>
    <w:sectPr w:rsidR="00796103" w:rsidRPr="00796103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96103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6F1170">
      <w:rPr>
        <w:noProof/>
        <w:lang w:val="es-ES"/>
      </w:rPr>
      <w:t>P:\ARA\ITU-R\CONF-R\CMR15\000\006ADD04A.docx</w:t>
    </w:r>
    <w:r w:rsidRPr="00CB4300">
      <w:fldChar w:fldCharType="end"/>
    </w:r>
    <w:r w:rsidRPr="00CB4300">
      <w:rPr>
        <w:lang w:val="es-ES"/>
      </w:rPr>
      <w:t xml:space="preserve">  (</w:t>
    </w:r>
    <w:r w:rsidR="00796103">
      <w:rPr>
        <w:rFonts w:hint="cs"/>
        <w:rtl/>
        <w:lang w:val="es-ES"/>
      </w:rPr>
      <w:t>387600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6F1170">
      <w:rPr>
        <w:noProof/>
      </w:rPr>
      <w:t>27.10.15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6F1170">
      <w:rPr>
        <w:noProof/>
      </w:rPr>
      <w:t>27.10.15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96103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6F1170">
      <w:rPr>
        <w:noProof/>
        <w:lang w:val="es-ES"/>
      </w:rPr>
      <w:t>P:\ARA\ITU-R\CONF-R\CMR15\000\006ADD04A.docx</w:t>
    </w:r>
    <w:r>
      <w:fldChar w:fldCharType="end"/>
    </w:r>
    <w:r w:rsidRPr="00CB4300">
      <w:rPr>
        <w:lang w:val="es-ES"/>
      </w:rPr>
      <w:t xml:space="preserve">   (</w:t>
    </w:r>
    <w:r w:rsidR="00796103">
      <w:rPr>
        <w:rFonts w:hint="cs"/>
        <w:rtl/>
        <w:lang w:val="es-ES"/>
      </w:rPr>
      <w:t>387600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F1170">
      <w:rPr>
        <w:noProof/>
      </w:rPr>
      <w:t>27.10.15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6F1170">
      <w:rPr>
        <w:noProof/>
      </w:rPr>
      <w:t>27.10.15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  <w:footnote w:id="1">
    <w:p w:rsidR="00291406" w:rsidRDefault="00291406" w:rsidP="00D61837">
      <w:pPr>
        <w:pStyle w:val="FootnoteText"/>
        <w:rPr>
          <w:rtl/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  <w:lang w:bidi="ar-SA"/>
        </w:rPr>
        <w:tab/>
      </w:r>
      <w:r>
        <w:rPr>
          <w:rFonts w:hint="cs"/>
          <w:rtl/>
        </w:rPr>
        <w:t>بدأ نفاذ توزيع خدمة التحديد الراديوي للموقع في النطاق</w:t>
      </w:r>
      <w:r w:rsidR="00D61837">
        <w:rPr>
          <w:rFonts w:hint="cs"/>
          <w:rtl/>
        </w:rPr>
        <w:t xml:space="preserve"> </w:t>
      </w:r>
      <w:r w:rsidR="00D61837">
        <w:t>kHz 5 275</w:t>
      </w:r>
      <w:r w:rsidR="00D61837">
        <w:noBreakHyphen/>
        <w:t>5 250</w:t>
      </w:r>
      <w:r>
        <w:rPr>
          <w:rFonts w:hint="cs"/>
          <w:rtl/>
        </w:rPr>
        <w:t xml:space="preserve"> في </w:t>
      </w:r>
      <w:r w:rsidR="00D61837">
        <w:t>1</w:t>
      </w:r>
      <w:r>
        <w:rPr>
          <w:rFonts w:hint="cs"/>
          <w:rtl/>
        </w:rPr>
        <w:t xml:space="preserve"> كانون الثاني/يناير </w:t>
      </w:r>
      <w:r w:rsidR="00D61837">
        <w:t>2013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F1170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6(Add.4)-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16866"/>
    <w:rsid w:val="00040C94"/>
    <w:rsid w:val="000425FC"/>
    <w:rsid w:val="00044D43"/>
    <w:rsid w:val="00051907"/>
    <w:rsid w:val="00075A3F"/>
    <w:rsid w:val="000A1B16"/>
    <w:rsid w:val="000B5404"/>
    <w:rsid w:val="000D0265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D6845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406"/>
    <w:rsid w:val="002919E1"/>
    <w:rsid w:val="00295917"/>
    <w:rsid w:val="00296071"/>
    <w:rsid w:val="002A4572"/>
    <w:rsid w:val="002A7E2E"/>
    <w:rsid w:val="002B16D8"/>
    <w:rsid w:val="002B2CE1"/>
    <w:rsid w:val="002B4E96"/>
    <w:rsid w:val="002D5F64"/>
    <w:rsid w:val="002D6FBF"/>
    <w:rsid w:val="002E48BF"/>
    <w:rsid w:val="002E61C2"/>
    <w:rsid w:val="0033737F"/>
    <w:rsid w:val="00353652"/>
    <w:rsid w:val="003569E1"/>
    <w:rsid w:val="00363B6B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F3DF9"/>
    <w:rsid w:val="004001CD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4F11D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14F7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04CB6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4BD"/>
    <w:rsid w:val="006B4B90"/>
    <w:rsid w:val="006B658C"/>
    <w:rsid w:val="006C2321"/>
    <w:rsid w:val="006D2674"/>
    <w:rsid w:val="006E38D0"/>
    <w:rsid w:val="006E465B"/>
    <w:rsid w:val="006F1170"/>
    <w:rsid w:val="006F1CA3"/>
    <w:rsid w:val="006F70BF"/>
    <w:rsid w:val="00706AC1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6103"/>
    <w:rsid w:val="007A0802"/>
    <w:rsid w:val="007B1FCA"/>
    <w:rsid w:val="007C2C12"/>
    <w:rsid w:val="007C3CFA"/>
    <w:rsid w:val="007E0E8B"/>
    <w:rsid w:val="007E5DE5"/>
    <w:rsid w:val="007F08CA"/>
    <w:rsid w:val="007F7FC3"/>
    <w:rsid w:val="00810482"/>
    <w:rsid w:val="00817568"/>
    <w:rsid w:val="008204AC"/>
    <w:rsid w:val="008261C2"/>
    <w:rsid w:val="00830D96"/>
    <w:rsid w:val="008356F8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59B9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4614"/>
    <w:rsid w:val="00B66817"/>
    <w:rsid w:val="00B71E3B"/>
    <w:rsid w:val="00B721D5"/>
    <w:rsid w:val="00B81CB5"/>
    <w:rsid w:val="00B8351F"/>
    <w:rsid w:val="00B86C44"/>
    <w:rsid w:val="00B9727C"/>
    <w:rsid w:val="00B97441"/>
    <w:rsid w:val="00BA610A"/>
    <w:rsid w:val="00BA7D44"/>
    <w:rsid w:val="00BD6EF3"/>
    <w:rsid w:val="00BE69C3"/>
    <w:rsid w:val="00BF73EB"/>
    <w:rsid w:val="00C04AE6"/>
    <w:rsid w:val="00C1165E"/>
    <w:rsid w:val="00C22074"/>
    <w:rsid w:val="00C2377B"/>
    <w:rsid w:val="00C3693C"/>
    <w:rsid w:val="00C53F6F"/>
    <w:rsid w:val="00C5489D"/>
    <w:rsid w:val="00C60F35"/>
    <w:rsid w:val="00C71759"/>
    <w:rsid w:val="00C8199C"/>
    <w:rsid w:val="00C84112"/>
    <w:rsid w:val="00C841EB"/>
    <w:rsid w:val="00C84691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1837"/>
    <w:rsid w:val="00D62C78"/>
    <w:rsid w:val="00D81703"/>
    <w:rsid w:val="00D82929"/>
    <w:rsid w:val="00D83BFF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2C3C"/>
    <w:rsid w:val="00E343A3"/>
    <w:rsid w:val="00E47B9F"/>
    <w:rsid w:val="00E51BFA"/>
    <w:rsid w:val="00E621A3"/>
    <w:rsid w:val="00E62523"/>
    <w:rsid w:val="00E73F4C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666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73FBA05-F79A-4078-8F53-0E83FA13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R15-WRC15-C-0006!A4!MSW-A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14D88-5725-4819-9295-905B3E0D87A7}">
  <ds:schemaRefs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A696C2-9B33-40E5-8EA4-B354FC99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R15-WRC15-C-0006!A4!MSW-A</vt:lpstr>
    </vt:vector>
  </TitlesOfParts>
  <Manager>General Secretariat - Pool</Manager>
  <Company>International Telecommunication Union (ITU)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R15-WRC15-C-0006!A4!MSW-A</dc:title>
  <dc:creator>Documents Proposals Manager (DPM)</dc:creator>
  <cp:keywords>DPM_v5.2015.9.16_prod</cp:keywords>
  <cp:lastModifiedBy>Manafikhi, Muwafaq</cp:lastModifiedBy>
  <cp:revision>3</cp:revision>
  <cp:lastPrinted>2015-10-27T12:33:00Z</cp:lastPrinted>
  <dcterms:created xsi:type="dcterms:W3CDTF">2015-10-27T12:29:00Z</dcterms:created>
  <dcterms:modified xsi:type="dcterms:W3CDTF">2015-10-27T12:33:00Z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