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1D2E02" w:rsidTr="001226EC">
        <w:trPr>
          <w:cantSplit/>
        </w:trPr>
        <w:tc>
          <w:tcPr>
            <w:tcW w:w="6771" w:type="dxa"/>
          </w:tcPr>
          <w:p w:rsidR="005651C9" w:rsidRPr="001D2E02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D2E0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1D2E02">
              <w:rPr>
                <w:rFonts w:ascii="Verdana" w:hAnsi="Verdana"/>
                <w:b/>
                <w:bCs/>
                <w:szCs w:val="22"/>
              </w:rPr>
              <w:t>15)</w:t>
            </w:r>
            <w:r w:rsidRPr="001D2E02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1D2E02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1D2E02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1D2E02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D2E02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1D2E02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1D2E02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1D2E0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D2E02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1D2E0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1D2E0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D2E02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1D2E0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D2E0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1D2E0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D2E0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8</w:t>
            </w:r>
            <w:r w:rsidRPr="001D2E0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6(</w:t>
            </w:r>
            <w:proofErr w:type="gramStart"/>
            <w:r w:rsidRPr="001D2E0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Add.21)</w:t>
            </w:r>
            <w:r w:rsidR="005651C9" w:rsidRPr="001D2E0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1D2E0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D2E02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1D2E0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1D2E0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D2E02">
              <w:rPr>
                <w:rFonts w:ascii="Verdana" w:hAnsi="Verdana"/>
                <w:b/>
                <w:bCs/>
                <w:sz w:val="18"/>
                <w:szCs w:val="18"/>
              </w:rPr>
              <w:t>5 октября 2015 года</w:t>
            </w:r>
          </w:p>
        </w:tc>
      </w:tr>
      <w:tr w:rsidR="000F33D8" w:rsidRPr="001D2E02" w:rsidTr="001226EC">
        <w:trPr>
          <w:cantSplit/>
        </w:trPr>
        <w:tc>
          <w:tcPr>
            <w:tcW w:w="6771" w:type="dxa"/>
          </w:tcPr>
          <w:p w:rsidR="000F33D8" w:rsidRPr="001D2E0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1D2E0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D2E0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D2E02" w:rsidTr="009546EA">
        <w:trPr>
          <w:cantSplit/>
        </w:trPr>
        <w:tc>
          <w:tcPr>
            <w:tcW w:w="10031" w:type="dxa"/>
            <w:gridSpan w:val="2"/>
          </w:tcPr>
          <w:p w:rsidR="000F33D8" w:rsidRPr="001D2E0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D2E02">
        <w:trPr>
          <w:cantSplit/>
        </w:trPr>
        <w:tc>
          <w:tcPr>
            <w:tcW w:w="10031" w:type="dxa"/>
            <w:gridSpan w:val="2"/>
          </w:tcPr>
          <w:p w:rsidR="000F33D8" w:rsidRPr="001D2E02" w:rsidRDefault="000F33D8" w:rsidP="001D2E02">
            <w:pPr>
              <w:pStyle w:val="Source"/>
            </w:pPr>
            <w:bookmarkStart w:id="4" w:name="dsource" w:colFirst="0" w:colLast="0"/>
            <w:r w:rsidRPr="001D2E02">
              <w:t>Соединенные Штаты Америки</w:t>
            </w:r>
          </w:p>
        </w:tc>
      </w:tr>
      <w:tr w:rsidR="000F33D8" w:rsidRPr="001D2E02">
        <w:trPr>
          <w:cantSplit/>
        </w:trPr>
        <w:tc>
          <w:tcPr>
            <w:tcW w:w="10031" w:type="dxa"/>
            <w:gridSpan w:val="2"/>
          </w:tcPr>
          <w:p w:rsidR="000F33D8" w:rsidRPr="001D2E02" w:rsidRDefault="001D2E02" w:rsidP="001D2E02">
            <w:pPr>
              <w:pStyle w:val="Title1"/>
            </w:pPr>
            <w:bookmarkStart w:id="5" w:name="dtitle1" w:colFirst="0" w:colLast="0"/>
            <w:bookmarkEnd w:id="4"/>
            <w:r w:rsidRPr="001D2E02">
              <w:t>ПРЕДЛОЖЕНИЯ ДЛЯ РАБОТЫ КОНФЕРЕНЦИИ</w:t>
            </w:r>
          </w:p>
        </w:tc>
      </w:tr>
      <w:tr w:rsidR="000F33D8" w:rsidRPr="001D2E02">
        <w:trPr>
          <w:cantSplit/>
        </w:trPr>
        <w:tc>
          <w:tcPr>
            <w:tcW w:w="10031" w:type="dxa"/>
            <w:gridSpan w:val="2"/>
          </w:tcPr>
          <w:p w:rsidR="000F33D8" w:rsidRPr="001D2E02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D2E02">
        <w:trPr>
          <w:cantSplit/>
        </w:trPr>
        <w:tc>
          <w:tcPr>
            <w:tcW w:w="10031" w:type="dxa"/>
            <w:gridSpan w:val="2"/>
          </w:tcPr>
          <w:p w:rsidR="000F33D8" w:rsidRPr="001D2E02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D2E02">
              <w:rPr>
                <w:lang w:val="ru-RU"/>
              </w:rPr>
              <w:t>Пункт 7(H) повестки дня</w:t>
            </w:r>
          </w:p>
        </w:tc>
      </w:tr>
    </w:tbl>
    <w:bookmarkEnd w:id="7"/>
    <w:p w:rsidR="00CA74EE" w:rsidRPr="001D2E02" w:rsidRDefault="00571A90" w:rsidP="001D2E02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D2E02">
        <w:t>7</w:t>
      </w:r>
      <w:r w:rsidRPr="001D2E02">
        <w:tab/>
        <w:t>рассмотреть возможные изменения и другие варианты в связи с Резолюцией 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1D2E02">
        <w:rPr>
          <w:b/>
          <w:bCs/>
        </w:rPr>
        <w:t>86 (Пересм. ВКР-07)</w:t>
      </w:r>
      <w:r w:rsidRPr="001D2E02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Pr="001D2E02" w:rsidRDefault="00AC5659" w:rsidP="009421F8">
      <w:r>
        <w:t>7(H)</w:t>
      </w:r>
      <w:bookmarkStart w:id="8" w:name="_GoBack"/>
      <w:bookmarkEnd w:id="8"/>
      <w:r w:rsidR="00571A90" w:rsidRPr="001D2E02">
        <w:tab/>
        <w:t>Вопрос H – Использование одной космической станции для ввода в действие частотных присвоений на разных орбитальных позициях в течение короткого промежутка времени</w:t>
      </w:r>
    </w:p>
    <w:p w:rsidR="0003535B" w:rsidRPr="006D11C1" w:rsidRDefault="00AC5341" w:rsidP="00AC5341">
      <w:pPr>
        <w:pStyle w:val="Headingb"/>
        <w:rPr>
          <w:lang w:val="ru-RU"/>
        </w:rPr>
      </w:pPr>
      <w:r w:rsidRPr="006D11C1">
        <w:rPr>
          <w:lang w:val="ru-RU"/>
        </w:rPr>
        <w:t>Базовая информация</w:t>
      </w:r>
    </w:p>
    <w:p w:rsidR="00AC5341" w:rsidRPr="009421F8" w:rsidRDefault="00AC5341" w:rsidP="009421F8">
      <w:r w:rsidRPr="009421F8">
        <w:t>Пункты 11.44B и 11.49 Регламента радиосвязи были пересмотрены на ВКР-12</w:t>
      </w:r>
      <w:r w:rsidR="006D11C1" w:rsidRPr="009421F8">
        <w:t>,</w:t>
      </w:r>
      <w:r w:rsidRPr="009421F8">
        <w:t xml:space="preserve"> </w:t>
      </w:r>
      <w:r w:rsidR="006D11C1" w:rsidRPr="009421F8">
        <w:t>чтобы</w:t>
      </w:r>
      <w:r w:rsidRPr="009421F8">
        <w:t xml:space="preserve"> разъясн</w:t>
      </w:r>
      <w:r w:rsidR="006D11C1" w:rsidRPr="009421F8">
        <w:t>ить</w:t>
      </w:r>
      <w:r w:rsidRPr="009421F8">
        <w:t xml:space="preserve"> вопрос</w:t>
      </w:r>
      <w:r w:rsidR="007D32CA" w:rsidRPr="009421F8">
        <w:t>ы</w:t>
      </w:r>
      <w:r w:rsidRPr="009421F8">
        <w:t xml:space="preserve"> о вводе в действие частотных присвоений, связанных со спутниковыми сетями, или возобновлении их использования после приостановки.</w:t>
      </w:r>
    </w:p>
    <w:p w:rsidR="00AC5341" w:rsidRPr="009421F8" w:rsidRDefault="00AC5341" w:rsidP="009421F8">
      <w:r w:rsidRPr="009421F8">
        <w:t xml:space="preserve">ВКР-12 приняла эти пересмотренные положения, но при этом признала, что их </w:t>
      </w:r>
      <w:r w:rsidR="006D11C1" w:rsidRPr="009421F8">
        <w:t>цель</w:t>
      </w:r>
      <w:r w:rsidRPr="009421F8">
        <w:t xml:space="preserve"> </w:t>
      </w:r>
      <w:r w:rsidR="007D32CA" w:rsidRPr="009421F8">
        <w:t>сос</w:t>
      </w:r>
      <w:r w:rsidR="009421F8" w:rsidRPr="009421F8">
        <w:t>т</w:t>
      </w:r>
      <w:r w:rsidR="007D32CA" w:rsidRPr="009421F8">
        <w:t>оит</w:t>
      </w:r>
      <w:r w:rsidRPr="009421F8">
        <w:t xml:space="preserve"> не в том, чтобы за счет использования одной космической станции вв</w:t>
      </w:r>
      <w:r w:rsidR="006D11C1" w:rsidRPr="009421F8">
        <w:t>ести</w:t>
      </w:r>
      <w:r w:rsidRPr="009421F8">
        <w:t xml:space="preserve"> в действие частотные присвоения на разных орбитальных позициях</w:t>
      </w:r>
      <w:r w:rsidR="007D32CA" w:rsidRPr="009421F8">
        <w:t xml:space="preserve"> в течение короткого периода времени</w:t>
      </w:r>
      <w:r w:rsidRPr="009421F8">
        <w:t xml:space="preserve">. </w:t>
      </w:r>
      <w:r w:rsidR="00B32FD4" w:rsidRPr="009421F8">
        <w:t>ВКР-12 отметила</w:t>
      </w:r>
      <w:r w:rsidR="006D11C1" w:rsidRPr="009421F8">
        <w:t xml:space="preserve"> также</w:t>
      </w:r>
      <w:r w:rsidR="00B32FD4" w:rsidRPr="009421F8">
        <w:t>, что "у администрации или оператора могут быть законные основания, для того чтобы переместить космический аппарат с одной орбитальной позиции на новую орбитальную позицию, и необходимо позаботиться о том, чтобы не ограничивать маневры и управление, связанные с законным использованием космической группировки".</w:t>
      </w:r>
      <w:r w:rsidR="00571A90" w:rsidRPr="009421F8">
        <w:t xml:space="preserve"> </w:t>
      </w:r>
      <w:r w:rsidRPr="009421F8">
        <w:t xml:space="preserve">На своем пленарном заседании ВКР-12 </w:t>
      </w:r>
      <w:r w:rsidR="00D1439D" w:rsidRPr="009421F8">
        <w:t xml:space="preserve">также </w:t>
      </w:r>
      <w:r w:rsidRPr="009421F8">
        <w:t xml:space="preserve">поручила БР </w:t>
      </w:r>
      <w:r w:rsidR="007D32CA" w:rsidRPr="009421F8">
        <w:t xml:space="preserve">до тех пор, </w:t>
      </w:r>
      <w:r w:rsidRPr="009421F8">
        <w:t>пока не будут завершены исследования МСЭ-R, в тех случаях, когда какая-либо администрация вводит в действие частотные присвоения на определенной орбитальной позиции, используя уже находящийся на орбите спутник, направлять запрос</w:t>
      </w:r>
      <w:r w:rsidR="007D32CA" w:rsidRPr="009421F8">
        <w:t>ы</w:t>
      </w:r>
      <w:r w:rsidRPr="009421F8">
        <w:t xml:space="preserve"> администрациям в отношении последних предыдущих орбитальной позиции/частотных присвоений, введенных в действие с этим спутником, и </w:t>
      </w:r>
      <w:r w:rsidR="007D32CA" w:rsidRPr="009421F8">
        <w:t xml:space="preserve">обеспечивать </w:t>
      </w:r>
      <w:r w:rsidRPr="009421F8">
        <w:t>представ</w:t>
      </w:r>
      <w:r w:rsidR="00D1439D" w:rsidRPr="009421F8">
        <w:t>л</w:t>
      </w:r>
      <w:r w:rsidR="007D32CA" w:rsidRPr="009421F8">
        <w:t>ение</w:t>
      </w:r>
      <w:r w:rsidRPr="009421F8">
        <w:t xml:space="preserve"> так</w:t>
      </w:r>
      <w:r w:rsidR="007D32CA" w:rsidRPr="009421F8">
        <w:t>ой</w:t>
      </w:r>
      <w:r w:rsidRPr="009421F8">
        <w:t xml:space="preserve"> информаци</w:t>
      </w:r>
      <w:r w:rsidR="007D32CA" w:rsidRPr="009421F8">
        <w:t>и</w:t>
      </w:r>
      <w:r w:rsidRPr="009421F8">
        <w:t>.</w:t>
      </w:r>
    </w:p>
    <w:p w:rsidR="00571A90" w:rsidRPr="009421F8" w:rsidRDefault="00FD4060" w:rsidP="009421F8">
      <w:r w:rsidRPr="009421F8">
        <w:t>На практике существует много примеров случаев,</w:t>
      </w:r>
      <w:r w:rsidR="00571A90" w:rsidRPr="009421F8">
        <w:t xml:space="preserve"> </w:t>
      </w:r>
      <w:r w:rsidRPr="009421F8">
        <w:t xml:space="preserve">когда для ввода в действие частотных присвоений </w:t>
      </w:r>
      <w:r w:rsidR="0073060B" w:rsidRPr="009421F8">
        <w:t xml:space="preserve">на различных орбитальных позициях в течение короткого периода времени может требоваться </w:t>
      </w:r>
      <w:r w:rsidR="007D32CA" w:rsidRPr="009421F8">
        <w:t xml:space="preserve">один </w:t>
      </w:r>
      <w:r w:rsidR="0073060B" w:rsidRPr="009421F8">
        <w:t>единственный спутник</w:t>
      </w:r>
      <w:r w:rsidR="00571A90" w:rsidRPr="009421F8">
        <w:t xml:space="preserve">. </w:t>
      </w:r>
      <w:r w:rsidR="0073060B" w:rsidRPr="009421F8">
        <w:t>Эт</w:t>
      </w:r>
      <w:r w:rsidR="004B36FA" w:rsidRPr="009421F8">
        <w:t>о, как правило, те случаи, когда</w:t>
      </w:r>
      <w:r w:rsidR="0073060B" w:rsidRPr="009421F8">
        <w:t xml:space="preserve"> время </w:t>
      </w:r>
      <w:r w:rsidR="004B36FA" w:rsidRPr="009421F8">
        <w:t xml:space="preserve">протекания </w:t>
      </w:r>
      <w:r w:rsidR="0073060B" w:rsidRPr="009421F8">
        <w:t>событий может изменить</w:t>
      </w:r>
      <w:r w:rsidR="00571A90" w:rsidRPr="009421F8">
        <w:t xml:space="preserve"> </w:t>
      </w:r>
      <w:r w:rsidR="004B36FA" w:rsidRPr="009421F8">
        <w:t>оценку того, считается тот или иной случай "оправданным" или нет</w:t>
      </w:r>
      <w:r w:rsidR="00571A90" w:rsidRPr="009421F8">
        <w:t xml:space="preserve">. </w:t>
      </w:r>
      <w:r w:rsidR="004B36FA" w:rsidRPr="009421F8">
        <w:t xml:space="preserve">Из рассмотрения </w:t>
      </w:r>
      <w:r w:rsidR="0027023A" w:rsidRPr="009421F8">
        <w:t xml:space="preserve">всех </w:t>
      </w:r>
      <w:r w:rsidR="004B36FA" w:rsidRPr="009421F8">
        <w:t>случаев</w:t>
      </w:r>
      <w:r w:rsidR="0027023A" w:rsidRPr="009421F8">
        <w:t>, представленных в Отчете ПСК, по-видимому, следует</w:t>
      </w:r>
      <w:r w:rsidR="004B36FA" w:rsidRPr="009421F8">
        <w:t xml:space="preserve">, что возможность злоупотребления положениями, связанными с вводом в действие и приостановкой использования, может возникать </w:t>
      </w:r>
      <w:r w:rsidR="004B36FA" w:rsidRPr="009421F8">
        <w:lastRenderedPageBreak/>
        <w:t>только для случаев ввода в действие частотных присвоений находящимся на орбите спутником в нескольких орбитальных позициях в течение к</w:t>
      </w:r>
      <w:r w:rsidR="0027023A" w:rsidRPr="009421F8">
        <w:t>о</w:t>
      </w:r>
      <w:r w:rsidR="004B36FA" w:rsidRPr="009421F8">
        <w:t>р</w:t>
      </w:r>
      <w:r w:rsidR="0027023A" w:rsidRPr="009421F8">
        <w:t>о</w:t>
      </w:r>
      <w:r w:rsidR="004B36FA" w:rsidRPr="009421F8">
        <w:t xml:space="preserve">ткого периода времени, </w:t>
      </w:r>
      <w:r w:rsidR="0027023A" w:rsidRPr="009421F8">
        <w:t>в то время как</w:t>
      </w:r>
      <w:r w:rsidR="004B36FA" w:rsidRPr="009421F8">
        <w:t xml:space="preserve"> одна или несколько ранее занима</w:t>
      </w:r>
      <w:r w:rsidR="001764F3" w:rsidRPr="009421F8">
        <w:t>вшихся</w:t>
      </w:r>
      <w:r w:rsidR="004B36FA" w:rsidRPr="009421F8">
        <w:t xml:space="preserve"> орбитальных позиций остаются в течение некоторого периода</w:t>
      </w:r>
      <w:r w:rsidR="0027023A" w:rsidRPr="009421F8">
        <w:t xml:space="preserve"> не занятыми</w:t>
      </w:r>
      <w:r w:rsidR="004B36FA" w:rsidRPr="009421F8">
        <w:t xml:space="preserve">. Но даже </w:t>
      </w:r>
      <w:r w:rsidR="0027023A" w:rsidRPr="009421F8">
        <w:t>при данных обстоятельствах</w:t>
      </w:r>
      <w:r w:rsidR="004B36FA" w:rsidRPr="009421F8">
        <w:t xml:space="preserve">, </w:t>
      </w:r>
      <w:r w:rsidR="0027023A" w:rsidRPr="009421F8">
        <w:t>по-видимому</w:t>
      </w:r>
      <w:r w:rsidR="004B36FA" w:rsidRPr="009421F8">
        <w:t xml:space="preserve">, будут </w:t>
      </w:r>
      <w:r w:rsidR="0027023A" w:rsidRPr="009421F8">
        <w:t xml:space="preserve">возникать </w:t>
      </w:r>
      <w:r w:rsidR="004B36FA" w:rsidRPr="009421F8">
        <w:t>случаи, когда такие действия мог</w:t>
      </w:r>
      <w:r w:rsidR="0027023A" w:rsidRPr="009421F8">
        <w:t>ут</w:t>
      </w:r>
      <w:r w:rsidR="004B36FA" w:rsidRPr="009421F8">
        <w:t xml:space="preserve"> быть обоснованы</w:t>
      </w:r>
      <w:r w:rsidR="0027023A" w:rsidRPr="009421F8">
        <w:t xml:space="preserve">, как это отражено в </w:t>
      </w:r>
      <w:r w:rsidR="001764F3" w:rsidRPr="009421F8">
        <w:t>О</w:t>
      </w:r>
      <w:r w:rsidR="0027023A" w:rsidRPr="009421F8">
        <w:t>тчете ПСК</w:t>
      </w:r>
      <w:r w:rsidR="004B36FA" w:rsidRPr="009421F8">
        <w:t>. В</w:t>
      </w:r>
      <w:r w:rsidR="0027023A" w:rsidRPr="009421F8">
        <w:t xml:space="preserve"> </w:t>
      </w:r>
      <w:r w:rsidR="006A77B2" w:rsidRPr="009421F8">
        <w:t xml:space="preserve">этой </w:t>
      </w:r>
      <w:r w:rsidR="004B36FA" w:rsidRPr="009421F8">
        <w:t>связи невозможн</w:t>
      </w:r>
      <w:r w:rsidR="006A77B2" w:rsidRPr="009421F8">
        <w:t>о</w:t>
      </w:r>
      <w:r w:rsidR="004B36FA" w:rsidRPr="009421F8">
        <w:t xml:space="preserve"> разработать конкретные регламентарные положения для </w:t>
      </w:r>
      <w:r w:rsidR="006A77B2" w:rsidRPr="009421F8">
        <w:t>регулирования</w:t>
      </w:r>
      <w:r w:rsidR="004B36FA" w:rsidRPr="009421F8">
        <w:t xml:space="preserve"> случая ввода в действие частотных присвоений одним спутником в нескольких орбитальных позициях в течение к</w:t>
      </w:r>
      <w:r w:rsidR="001764F3" w:rsidRPr="009421F8">
        <w:t>о</w:t>
      </w:r>
      <w:r w:rsidR="004B36FA" w:rsidRPr="009421F8">
        <w:t>р</w:t>
      </w:r>
      <w:r w:rsidR="001764F3" w:rsidRPr="009421F8">
        <w:t>о</w:t>
      </w:r>
      <w:r w:rsidR="004B36FA" w:rsidRPr="009421F8">
        <w:t>ткого периода времени</w:t>
      </w:r>
      <w:r w:rsidR="00571A90" w:rsidRPr="009421F8">
        <w:t xml:space="preserve">. </w:t>
      </w:r>
      <w:r w:rsidR="006A77B2" w:rsidRPr="009421F8">
        <w:t>В лучшем случае</w:t>
      </w:r>
      <w:r w:rsidR="00571A90" w:rsidRPr="009421F8">
        <w:t xml:space="preserve"> </w:t>
      </w:r>
      <w:r w:rsidR="006A77B2" w:rsidRPr="009421F8">
        <w:t>можно было бы просить администрации в некоторых случаях</w:t>
      </w:r>
      <w:r w:rsidR="00571A90" w:rsidRPr="009421F8">
        <w:t xml:space="preserve"> </w:t>
      </w:r>
      <w:r w:rsidR="006A77B2" w:rsidRPr="009421F8">
        <w:t xml:space="preserve">предоставить дополнительную информацию, если они заявляют, </w:t>
      </w:r>
      <w:r w:rsidR="001764F3" w:rsidRPr="009421F8">
        <w:t xml:space="preserve">что </w:t>
      </w:r>
      <w:r w:rsidR="006A77B2" w:rsidRPr="009421F8">
        <w:t>частотные присвоения были введены в действие,</w:t>
      </w:r>
      <w:r w:rsidR="00571A90" w:rsidRPr="009421F8">
        <w:t xml:space="preserve"> </w:t>
      </w:r>
      <w:r w:rsidR="006A77B2" w:rsidRPr="009421F8">
        <w:t>используя спутник, находящийся на орбите</w:t>
      </w:r>
      <w:r w:rsidR="00571A90" w:rsidRPr="009421F8">
        <w:t xml:space="preserve">. </w:t>
      </w:r>
    </w:p>
    <w:p w:rsidR="00571A90" w:rsidRPr="00D51677" w:rsidRDefault="00571A90" w:rsidP="009421F8">
      <w:pPr>
        <w:pStyle w:val="Headingb"/>
        <w:rPr>
          <w:lang w:val="ru-RU"/>
        </w:rPr>
      </w:pPr>
      <w:r w:rsidRPr="009421F8">
        <w:rPr>
          <w:lang w:val="ru-RU"/>
        </w:rPr>
        <w:t>Предложение</w:t>
      </w:r>
    </w:p>
    <w:p w:rsidR="00571A90" w:rsidRPr="009421F8" w:rsidRDefault="006A77B2" w:rsidP="009421F8">
      <w:r w:rsidRPr="009421F8">
        <w:t>Соединенные Штаты Америки поддерживают метод</w:t>
      </w:r>
      <w:r w:rsidR="00571A90" w:rsidRPr="009421F8">
        <w:t xml:space="preserve"> H2, </w:t>
      </w:r>
      <w:r w:rsidRPr="009421F8">
        <w:t xml:space="preserve">не вносить изменения в Статью </w:t>
      </w:r>
      <w:r w:rsidR="00571A90" w:rsidRPr="009421F8">
        <w:t xml:space="preserve">11 </w:t>
      </w:r>
      <w:r w:rsidR="00114234" w:rsidRPr="009421F8">
        <w:t>Регламента радиосвязи</w:t>
      </w:r>
      <w:r w:rsidR="00571A90" w:rsidRPr="009421F8">
        <w:t xml:space="preserve">, </w:t>
      </w:r>
      <w:r w:rsidR="00114234" w:rsidRPr="009421F8">
        <w:t>поскольку Бюро радиосвязи</w:t>
      </w:r>
      <w:r w:rsidR="00571A90" w:rsidRPr="009421F8">
        <w:t xml:space="preserve"> </w:t>
      </w:r>
      <w:r w:rsidR="00114234" w:rsidRPr="009421F8">
        <w:t>уже может запрашивать</w:t>
      </w:r>
      <w:r w:rsidR="00571A90" w:rsidRPr="009421F8">
        <w:t xml:space="preserve"> </w:t>
      </w:r>
      <w:r w:rsidR="00114234" w:rsidRPr="009421F8">
        <w:t>информацию у администраций</w:t>
      </w:r>
      <w:r w:rsidR="00571A90" w:rsidRPr="009421F8">
        <w:t xml:space="preserve"> </w:t>
      </w:r>
      <w:r w:rsidR="00114234" w:rsidRPr="009421F8">
        <w:t>в тех случаях, когда</w:t>
      </w:r>
      <w:r w:rsidR="00571A90" w:rsidRPr="009421F8">
        <w:t xml:space="preserve"> </w:t>
      </w:r>
      <w:r w:rsidR="00114234" w:rsidRPr="009421F8">
        <w:t xml:space="preserve">спутник, находящийся на орбите, использован для ввода в действие </w:t>
      </w:r>
      <w:r w:rsidR="007D32CA" w:rsidRPr="009421F8">
        <w:t xml:space="preserve">на </w:t>
      </w:r>
      <w:r w:rsidR="00114234" w:rsidRPr="009421F8">
        <w:t>орбитальной позиции</w:t>
      </w:r>
      <w:r w:rsidR="00571A90" w:rsidRPr="009421F8">
        <w:t>.</w:t>
      </w:r>
    </w:p>
    <w:p w:rsidR="00C265AA" w:rsidRPr="001D2E02" w:rsidRDefault="00571A90">
      <w:pPr>
        <w:pStyle w:val="Proposal"/>
      </w:pPr>
      <w:r w:rsidRPr="001D2E02">
        <w:rPr>
          <w:u w:val="single"/>
        </w:rPr>
        <w:t>NOC</w:t>
      </w:r>
      <w:r w:rsidRPr="001D2E02">
        <w:tab/>
        <w:t>USA/6A21A8/1</w:t>
      </w:r>
    </w:p>
    <w:p w:rsidR="008E2497" w:rsidRPr="001D2E02" w:rsidRDefault="00571A90" w:rsidP="00C25E64">
      <w:pPr>
        <w:pStyle w:val="ArtNo"/>
      </w:pPr>
      <w:bookmarkStart w:id="9" w:name="_Toc331607701"/>
      <w:r w:rsidRPr="001D2E02">
        <w:t xml:space="preserve">СТАТЬЯ </w:t>
      </w:r>
      <w:r w:rsidRPr="001D2E02">
        <w:rPr>
          <w:rStyle w:val="href"/>
        </w:rPr>
        <w:t>11</w:t>
      </w:r>
      <w:bookmarkEnd w:id="9"/>
    </w:p>
    <w:p w:rsidR="008E2497" w:rsidRPr="001D2E02" w:rsidRDefault="00571A90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10" w:name="_Toc331607702"/>
      <w:r w:rsidRPr="001D2E02">
        <w:t xml:space="preserve">Заявление и регистрация частотных </w:t>
      </w:r>
      <w:r w:rsidRPr="001D2E02">
        <w:br/>
        <w:t>присвоений</w:t>
      </w:r>
      <w:r w:rsidRPr="001D2E02">
        <w:rPr>
          <w:rStyle w:val="FootnoteReference"/>
          <w:b w:val="0"/>
          <w:bCs/>
        </w:rPr>
        <w:t>1, 2, 3, 4, 5, 6,</w:t>
      </w:r>
      <w:r w:rsidRPr="001D2E02">
        <w:rPr>
          <w:b w:val="0"/>
          <w:bCs/>
        </w:rPr>
        <w:t xml:space="preserve"> </w:t>
      </w:r>
      <w:r w:rsidRPr="001D2E02">
        <w:rPr>
          <w:rStyle w:val="FootnoteReference"/>
          <w:b w:val="0"/>
          <w:bCs/>
        </w:rPr>
        <w:t>7, 7</w:t>
      </w:r>
      <w:r w:rsidRPr="001D2E02">
        <w:rPr>
          <w:rStyle w:val="FootnoteReference"/>
          <w:b w:val="0"/>
          <w:bCs/>
          <w:i/>
          <w:iCs/>
        </w:rPr>
        <w:t>bis</w:t>
      </w:r>
      <w:r w:rsidRPr="001D2E02">
        <w:rPr>
          <w:b w:val="0"/>
          <w:bCs/>
          <w:sz w:val="16"/>
          <w:szCs w:val="16"/>
        </w:rPr>
        <w:t>  </w:t>
      </w:r>
      <w:proofErr w:type="gramStart"/>
      <w:r w:rsidRPr="001D2E02">
        <w:rPr>
          <w:b w:val="0"/>
          <w:bCs/>
          <w:sz w:val="16"/>
          <w:szCs w:val="16"/>
        </w:rPr>
        <w:t>   (</w:t>
      </w:r>
      <w:proofErr w:type="gramEnd"/>
      <w:r w:rsidRPr="001D2E02">
        <w:rPr>
          <w:b w:val="0"/>
          <w:bCs/>
          <w:sz w:val="16"/>
          <w:szCs w:val="16"/>
        </w:rPr>
        <w:t>ВКР-12)</w:t>
      </w:r>
      <w:bookmarkEnd w:id="10"/>
    </w:p>
    <w:p w:rsidR="00C265AA" w:rsidRPr="009421F8" w:rsidRDefault="00571A90" w:rsidP="009421F8">
      <w:pPr>
        <w:pStyle w:val="Reasons"/>
      </w:pPr>
      <w:proofErr w:type="gramStart"/>
      <w:r w:rsidRPr="009421F8">
        <w:rPr>
          <w:b/>
          <w:bCs/>
        </w:rPr>
        <w:t>Основания</w:t>
      </w:r>
      <w:r w:rsidRPr="009421F8">
        <w:t>:</w:t>
      </w:r>
      <w:r w:rsidRPr="009421F8">
        <w:tab/>
      </w:r>
      <w:proofErr w:type="gramEnd"/>
      <w:r w:rsidR="009421F8" w:rsidRPr="009421F8">
        <w:t>Не</w:t>
      </w:r>
      <w:r w:rsidR="00114234" w:rsidRPr="009421F8">
        <w:t>возможно</w:t>
      </w:r>
      <w:r w:rsidRPr="009421F8">
        <w:t xml:space="preserve"> </w:t>
      </w:r>
      <w:r w:rsidR="00114234" w:rsidRPr="009421F8">
        <w:t>рассматривать неоправданные случаи</w:t>
      </w:r>
      <w:r w:rsidRPr="009421F8">
        <w:t xml:space="preserve"> </w:t>
      </w:r>
      <w:r w:rsidR="00676475" w:rsidRPr="009421F8">
        <w:t>"перескока спутника" без потенциального ограничения</w:t>
      </w:r>
      <w:r w:rsidR="00114234" w:rsidRPr="009421F8">
        <w:t xml:space="preserve"> маневр</w:t>
      </w:r>
      <w:r w:rsidR="00676475" w:rsidRPr="009421F8">
        <w:t>ов и управления, связанных</w:t>
      </w:r>
      <w:r w:rsidR="00114234" w:rsidRPr="009421F8">
        <w:t xml:space="preserve"> с законным использованием космической группировки</w:t>
      </w:r>
      <w:r w:rsidRPr="009421F8">
        <w:t>.</w:t>
      </w:r>
    </w:p>
    <w:p w:rsidR="00571A90" w:rsidRPr="001D2E02" w:rsidRDefault="00571A90" w:rsidP="00571A90">
      <w:pPr>
        <w:spacing w:before="720"/>
        <w:jc w:val="center"/>
      </w:pPr>
      <w:r>
        <w:t>______________</w:t>
      </w:r>
    </w:p>
    <w:sectPr w:rsidR="00571A90" w:rsidRPr="001D2E02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7D32CA" w:rsidRDefault="00567276">
    <w:pPr>
      <w:ind w:right="360"/>
      <w:rPr>
        <w:lang w:val="en-US"/>
      </w:rPr>
    </w:pPr>
    <w:r>
      <w:fldChar w:fldCharType="begin"/>
    </w:r>
    <w:r w:rsidRPr="007D32CA">
      <w:rPr>
        <w:lang w:val="en-US"/>
      </w:rPr>
      <w:instrText xml:space="preserve"> FILENAME \p  \* MERGEFORMAT </w:instrText>
    </w:r>
    <w:r>
      <w:fldChar w:fldCharType="separate"/>
    </w:r>
    <w:r w:rsidR="007B719E">
      <w:rPr>
        <w:noProof/>
        <w:lang w:val="en-US"/>
      </w:rPr>
      <w:t>P:\RUS\ITU-R\CONF-R\CMR15\000\006ADD21ADD08R.docx</w:t>
    </w:r>
    <w:r>
      <w:fldChar w:fldCharType="end"/>
    </w:r>
    <w:r w:rsidRPr="007D32C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B719E">
      <w:rPr>
        <w:noProof/>
      </w:rPr>
      <w:t>18.10.15</w:t>
    </w:r>
    <w:r>
      <w:fldChar w:fldCharType="end"/>
    </w:r>
    <w:r w:rsidRPr="007D32C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B719E">
      <w:rPr>
        <w:noProof/>
      </w:rPr>
      <w:t>18.10.15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D11C1" w:rsidRDefault="00AC5341" w:rsidP="00AC5341">
    <w:pPr>
      <w:pStyle w:val="Footer"/>
      <w:rPr>
        <w:lang w:val="en-US"/>
      </w:rPr>
    </w:pPr>
    <w:r>
      <w:fldChar w:fldCharType="begin"/>
    </w:r>
    <w:r w:rsidRPr="006D11C1">
      <w:rPr>
        <w:lang w:val="en-US"/>
      </w:rPr>
      <w:instrText xml:space="preserve"> FILENAME \p  \* MERGEFORMAT </w:instrText>
    </w:r>
    <w:r>
      <w:fldChar w:fldCharType="separate"/>
    </w:r>
    <w:r w:rsidR="007B719E">
      <w:rPr>
        <w:lang w:val="en-US"/>
      </w:rPr>
      <w:t>P:\RUS\ITU-R\CONF-R\CMR15\000\006ADD21ADD08R.docx</w:t>
    </w:r>
    <w:r>
      <w:fldChar w:fldCharType="end"/>
    </w:r>
    <w:r w:rsidRPr="006D11C1">
      <w:rPr>
        <w:lang w:val="en-US"/>
      </w:rPr>
      <w:t xml:space="preserve"> (387624)</w:t>
    </w:r>
    <w:r w:rsidRPr="006D11C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B719E">
      <w:t>18.10.15</w:t>
    </w:r>
    <w:r>
      <w:fldChar w:fldCharType="end"/>
    </w:r>
    <w:r w:rsidRPr="006D11C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B719E">
      <w:t>18.10.15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D11C1" w:rsidRDefault="00567276" w:rsidP="00DE2EBA">
    <w:pPr>
      <w:pStyle w:val="Footer"/>
      <w:rPr>
        <w:lang w:val="en-US"/>
      </w:rPr>
    </w:pPr>
    <w:r>
      <w:fldChar w:fldCharType="begin"/>
    </w:r>
    <w:r w:rsidRPr="006D11C1">
      <w:rPr>
        <w:lang w:val="en-US"/>
      </w:rPr>
      <w:instrText xml:space="preserve"> FILENAME \p  \* MERGEFORMAT </w:instrText>
    </w:r>
    <w:r>
      <w:fldChar w:fldCharType="separate"/>
    </w:r>
    <w:r w:rsidR="007B719E">
      <w:rPr>
        <w:lang w:val="en-US"/>
      </w:rPr>
      <w:t>P:\RUS\ITU-R\CONF-R\CMR15\000\006ADD21ADD08R.docx</w:t>
    </w:r>
    <w:r>
      <w:fldChar w:fldCharType="end"/>
    </w:r>
    <w:r w:rsidR="00AC5341" w:rsidRPr="006D11C1">
      <w:rPr>
        <w:lang w:val="en-US"/>
      </w:rPr>
      <w:t xml:space="preserve"> (387624)</w:t>
    </w:r>
    <w:r w:rsidRPr="006D11C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B719E">
      <w:t>18.10.15</w:t>
    </w:r>
    <w:r>
      <w:fldChar w:fldCharType="end"/>
    </w:r>
    <w:r w:rsidRPr="006D11C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B719E">
      <w:t>18.10.15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B719E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6(Add.21</w:t>
    </w:r>
    <w:proofErr w:type="gramStart"/>
    <w:r w:rsidR="00F761D2">
      <w:t>)(</w:t>
    </w:r>
    <w:proofErr w:type="gramEnd"/>
    <w:r w:rsidR="00F761D2">
      <w:t>Add.8)-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7AE1"/>
    <w:rsid w:val="000260F1"/>
    <w:rsid w:val="0003535B"/>
    <w:rsid w:val="00082500"/>
    <w:rsid w:val="000A0EF3"/>
    <w:rsid w:val="000F33D8"/>
    <w:rsid w:val="000F39B4"/>
    <w:rsid w:val="00113D0B"/>
    <w:rsid w:val="00114234"/>
    <w:rsid w:val="001226EC"/>
    <w:rsid w:val="00123B68"/>
    <w:rsid w:val="00124C09"/>
    <w:rsid w:val="00126F2E"/>
    <w:rsid w:val="001521AE"/>
    <w:rsid w:val="001764F3"/>
    <w:rsid w:val="001A5585"/>
    <w:rsid w:val="001D2E02"/>
    <w:rsid w:val="001E5FB4"/>
    <w:rsid w:val="00202CA0"/>
    <w:rsid w:val="00230582"/>
    <w:rsid w:val="002449AA"/>
    <w:rsid w:val="00245A1F"/>
    <w:rsid w:val="0027023A"/>
    <w:rsid w:val="00290C74"/>
    <w:rsid w:val="002A2D3F"/>
    <w:rsid w:val="002C2070"/>
    <w:rsid w:val="00300F84"/>
    <w:rsid w:val="00344EB8"/>
    <w:rsid w:val="00346BEC"/>
    <w:rsid w:val="003C583C"/>
    <w:rsid w:val="003F0078"/>
    <w:rsid w:val="00434A7C"/>
    <w:rsid w:val="0045143A"/>
    <w:rsid w:val="004A58F4"/>
    <w:rsid w:val="004B36FA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1A90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76475"/>
    <w:rsid w:val="00692C06"/>
    <w:rsid w:val="006A6E9B"/>
    <w:rsid w:val="006A77B2"/>
    <w:rsid w:val="006C4687"/>
    <w:rsid w:val="006D11C1"/>
    <w:rsid w:val="0073060B"/>
    <w:rsid w:val="00763F4F"/>
    <w:rsid w:val="00775720"/>
    <w:rsid w:val="007917AE"/>
    <w:rsid w:val="007A08B5"/>
    <w:rsid w:val="007B719E"/>
    <w:rsid w:val="007D32CA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421F8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5341"/>
    <w:rsid w:val="00AC5659"/>
    <w:rsid w:val="00AC66E6"/>
    <w:rsid w:val="00AD0117"/>
    <w:rsid w:val="00B32FD4"/>
    <w:rsid w:val="00B468A6"/>
    <w:rsid w:val="00B75113"/>
    <w:rsid w:val="00BA13A4"/>
    <w:rsid w:val="00BA1AA1"/>
    <w:rsid w:val="00BA35DC"/>
    <w:rsid w:val="00BC5313"/>
    <w:rsid w:val="00C20466"/>
    <w:rsid w:val="00C265AA"/>
    <w:rsid w:val="00C266F4"/>
    <w:rsid w:val="00C324A8"/>
    <w:rsid w:val="00C56E7A"/>
    <w:rsid w:val="00C779CE"/>
    <w:rsid w:val="00CC47C6"/>
    <w:rsid w:val="00CC4DE6"/>
    <w:rsid w:val="00CE5E47"/>
    <w:rsid w:val="00CF020F"/>
    <w:rsid w:val="00D1439D"/>
    <w:rsid w:val="00D51677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4060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28542D-13D3-4D3E-BC38-00E58D70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1F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Footnote Reference/,Appel note de bas de p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R15-WRC15-C-0006!A21-A8!MSW-R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2AD92-62F7-49C8-8D1D-36E087123582}">
  <ds:schemaRefs>
    <ds:schemaRef ds:uri="http://www.w3.org/XML/1998/namespace"/>
    <ds:schemaRef ds:uri="http://purl.org/dc/terms/"/>
    <ds:schemaRef ds:uri="32a1a8c5-2265-4ebc-b7a0-2071e2c5c9bb"/>
    <ds:schemaRef ds:uri="http://purl.org/dc/elements/1.1/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059535F-EFA5-464A-9224-2B90B74A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553</Words>
  <Characters>3743</Characters>
  <Application>Microsoft Office Word</Application>
  <DocSecurity>0</DocSecurity>
  <Lines>72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R15-WRC15-C-0006!A21-A8!MSW-R</vt:lpstr>
    </vt:vector>
  </TitlesOfParts>
  <Manager>General Secretariat - Pool</Manager>
  <Company>International Telecommunication Union (ITU)</Company>
  <LinksUpToDate>false</LinksUpToDate>
  <CharactersWithSpaces>4280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R15-WRC15-C-0006!A21-A8!MSW-R</dc:title>
  <dc:subject>World Radiocommunication Conference - 2015</dc:subject>
  <dc:creator>Documents Proposals Manager (DPM)</dc:creator>
  <cp:keywords>DPM_v5.2015.10.8_prod</cp:keywords>
  <dc:description/>
  <cp:lastModifiedBy>Fedosova, Elena</cp:lastModifiedBy>
  <cp:revision>10</cp:revision>
  <cp:lastPrinted>2015-10-18T11:41:00Z</cp:lastPrinted>
  <dcterms:created xsi:type="dcterms:W3CDTF">2015-10-15T09:55:00Z</dcterms:created>
  <dcterms:modified xsi:type="dcterms:W3CDTF">2015-10-18T11:41:00Z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