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A705B6">
            <w:pPr>
              <w:spacing w:before="400" w:after="48"/>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A705B6">
            <w:pPr>
              <w:spacing w:before="0"/>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A705B6">
            <w:pPr>
              <w:spacing w:before="0" w:after="48"/>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A705B6">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A705B6">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A705B6">
            <w:pPr>
              <w:spacing w:before="0"/>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A705B6">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71FF6" w:rsidRDefault="006D4724" w:rsidP="00A705B6">
            <w:pPr>
              <w:spacing w:before="0"/>
              <w:rPr>
                <w:rFonts w:ascii="Verdana" w:hAnsi="Verdana"/>
                <w:sz w:val="20"/>
                <w:lang w:val="fr-CH"/>
              </w:rPr>
            </w:pPr>
            <w:r w:rsidRPr="00271FF6">
              <w:rPr>
                <w:rFonts w:ascii="Verdana" w:eastAsia="SimSun" w:hAnsi="Verdana" w:cs="Traditional Arabic"/>
                <w:b/>
                <w:sz w:val="20"/>
                <w:lang w:val="fr-CH"/>
              </w:rPr>
              <w:t>Addendum 8 au</w:t>
            </w:r>
            <w:r w:rsidRPr="00271FF6">
              <w:rPr>
                <w:rFonts w:ascii="Verdana" w:eastAsia="SimSun" w:hAnsi="Verdana" w:cs="Traditional Arabic"/>
                <w:b/>
                <w:sz w:val="20"/>
                <w:lang w:val="fr-CH"/>
              </w:rPr>
              <w:br/>
              <w:t>Document 6(Add.21)</w:t>
            </w:r>
            <w:r w:rsidR="00BB1D82" w:rsidRPr="00271FF6">
              <w:rPr>
                <w:rFonts w:ascii="Verdana" w:hAnsi="Verdana"/>
                <w:b/>
                <w:sz w:val="20"/>
                <w:lang w:val="fr-CH"/>
              </w:rPr>
              <w:t>-</w:t>
            </w:r>
            <w:r w:rsidRPr="00271FF6">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271FF6" w:rsidRDefault="00690C7B" w:rsidP="00A705B6">
            <w:pPr>
              <w:spacing w:before="0"/>
              <w:rPr>
                <w:rFonts w:ascii="Verdana" w:hAnsi="Verdana"/>
                <w:b/>
                <w:sz w:val="20"/>
                <w:lang w:val="fr-CH"/>
              </w:rPr>
            </w:pPr>
          </w:p>
        </w:tc>
        <w:tc>
          <w:tcPr>
            <w:tcW w:w="3120" w:type="dxa"/>
            <w:shd w:val="clear" w:color="auto" w:fill="auto"/>
          </w:tcPr>
          <w:p w:rsidR="00690C7B" w:rsidRPr="002A6F8F" w:rsidRDefault="00690C7B" w:rsidP="00A705B6">
            <w:pPr>
              <w:spacing w:before="0"/>
              <w:rPr>
                <w:rFonts w:ascii="Verdana" w:hAnsi="Verdana"/>
                <w:b/>
                <w:sz w:val="20"/>
                <w:lang w:val="en-US"/>
              </w:rPr>
            </w:pPr>
            <w:r w:rsidRPr="002A6F8F">
              <w:rPr>
                <w:rFonts w:ascii="Verdana" w:hAnsi="Verdana"/>
                <w:b/>
                <w:sz w:val="20"/>
                <w:lang w:val="en-US"/>
              </w:rPr>
              <w:t>5 octobre 2015</w:t>
            </w:r>
          </w:p>
        </w:tc>
      </w:tr>
      <w:tr w:rsidR="00690C7B" w:rsidRPr="002A6F8F" w:rsidTr="00BB1D82">
        <w:trPr>
          <w:cantSplit/>
        </w:trPr>
        <w:tc>
          <w:tcPr>
            <w:tcW w:w="6911" w:type="dxa"/>
          </w:tcPr>
          <w:p w:rsidR="00690C7B" w:rsidRPr="002A6F8F" w:rsidRDefault="00690C7B" w:rsidP="00A705B6">
            <w:pPr>
              <w:spacing w:before="0" w:after="48"/>
              <w:rPr>
                <w:rFonts w:ascii="Verdana" w:hAnsi="Verdana"/>
                <w:b/>
                <w:smallCaps/>
                <w:sz w:val="20"/>
                <w:lang w:val="en-US"/>
              </w:rPr>
            </w:pPr>
          </w:p>
        </w:tc>
        <w:tc>
          <w:tcPr>
            <w:tcW w:w="3120" w:type="dxa"/>
          </w:tcPr>
          <w:p w:rsidR="00690C7B" w:rsidRPr="002A6F8F" w:rsidRDefault="00690C7B" w:rsidP="00A705B6">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A705B6">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A705B6">
            <w:pPr>
              <w:pStyle w:val="Source"/>
              <w:rPr>
                <w:lang w:val="en-US"/>
              </w:rPr>
            </w:pPr>
            <w:bookmarkStart w:id="2" w:name="dsource" w:colFirst="0" w:colLast="0"/>
            <w:r w:rsidRPr="002A6F8F">
              <w:rPr>
                <w:lang w:val="en-US"/>
              </w:rPr>
              <w:t>Etats-Unis d'Amérique</w:t>
            </w:r>
          </w:p>
        </w:tc>
      </w:tr>
      <w:tr w:rsidR="00690C7B" w:rsidRPr="002A6F8F" w:rsidTr="0050008E">
        <w:trPr>
          <w:cantSplit/>
        </w:trPr>
        <w:tc>
          <w:tcPr>
            <w:tcW w:w="10031" w:type="dxa"/>
            <w:gridSpan w:val="2"/>
          </w:tcPr>
          <w:p w:rsidR="00690C7B" w:rsidRPr="00271FF6" w:rsidRDefault="00271FF6" w:rsidP="00A705B6">
            <w:pPr>
              <w:pStyle w:val="Title1"/>
              <w:rPr>
                <w:lang w:val="fr-CH"/>
              </w:rPr>
            </w:pPr>
            <w:bookmarkStart w:id="3" w:name="dtitle1" w:colFirst="0" w:colLast="0"/>
            <w:bookmarkEnd w:id="2"/>
            <w:r w:rsidRPr="00271FF6">
              <w:rPr>
                <w:lang w:val="fr-CH"/>
              </w:rPr>
              <w:t>PROPOSITION POUR LES TRAVAUX DE LA CONFERENCE</w:t>
            </w:r>
          </w:p>
        </w:tc>
      </w:tr>
      <w:tr w:rsidR="00690C7B" w:rsidRPr="002A6F8F" w:rsidTr="0050008E">
        <w:trPr>
          <w:cantSplit/>
        </w:trPr>
        <w:tc>
          <w:tcPr>
            <w:tcW w:w="10031" w:type="dxa"/>
            <w:gridSpan w:val="2"/>
          </w:tcPr>
          <w:p w:rsidR="00690C7B" w:rsidRPr="00271FF6" w:rsidRDefault="00690C7B" w:rsidP="00A705B6">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A705B6">
            <w:pPr>
              <w:pStyle w:val="Agendaitem"/>
            </w:pPr>
            <w:bookmarkStart w:id="5" w:name="dtitle3" w:colFirst="0" w:colLast="0"/>
            <w:bookmarkEnd w:id="4"/>
            <w:r w:rsidRPr="006D4724">
              <w:t>Point 7(H) de l'ordre du jour</w:t>
            </w:r>
          </w:p>
        </w:tc>
      </w:tr>
    </w:tbl>
    <w:bookmarkEnd w:id="5"/>
    <w:p w:rsidR="001C0E40" w:rsidRPr="00BE242D" w:rsidRDefault="004456CF" w:rsidP="00A705B6">
      <w:pPr>
        <w:rPr>
          <w:lang w:val="fr-CA"/>
        </w:rPr>
      </w:pPr>
      <w:r w:rsidRPr="0003194D">
        <w:rPr>
          <w:lang w:val="fr-CA"/>
        </w:rPr>
        <w:t>7</w:t>
      </w:r>
      <w:r w:rsidRPr="0003194D">
        <w:rPr>
          <w:lang w:val="fr-CA"/>
        </w:rPr>
        <w:tab/>
      </w:r>
      <w:r w:rsidRPr="00BE242D">
        <w:rPr>
          <w:lang w:val="fr-CA"/>
        </w:rPr>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BE242D">
        <w:rPr>
          <w:b/>
          <w:bCs/>
          <w:lang w:val="fr-CA"/>
        </w:rPr>
        <w:t>86 (Rév.CMR-07)</w:t>
      </w:r>
      <w:r w:rsidRPr="00BE242D">
        <w:rPr>
          <w:lang w:val="fr-CA"/>
        </w:rPr>
        <w:t>, afin de faciliter l'utilisation rationnelle, efficace et économique des fréquences radioélectriques et des orbites associées, y compris de l'orbite des satellites géostationnaires;</w:t>
      </w:r>
    </w:p>
    <w:p w:rsidR="001C0E40" w:rsidRPr="00BE242D" w:rsidRDefault="004456CF" w:rsidP="00A705B6">
      <w:pPr>
        <w:rPr>
          <w:lang w:val="fr-CA"/>
        </w:rPr>
      </w:pPr>
      <w:r w:rsidRPr="00BE242D">
        <w:rPr>
          <w:lang w:val="fr-CA"/>
        </w:rPr>
        <w:t xml:space="preserve">7(H) </w:t>
      </w:r>
      <w:r w:rsidRPr="00BE242D">
        <w:rPr>
          <w:lang w:val="fr-CA"/>
        </w:rPr>
        <w:tab/>
        <w:t>Question H</w:t>
      </w:r>
      <w:r w:rsidRPr="00BE242D">
        <w:rPr>
          <w:lang w:val="fr-CH"/>
        </w:rPr>
        <w:t xml:space="preserve"> – </w:t>
      </w:r>
      <w:r w:rsidRPr="00BE242D">
        <w:rPr>
          <w:lang w:val="fr-CA"/>
        </w:rPr>
        <w:t>Utilisation d'une station spatiale pour mettre en service des assignations de fréquence à différentes positions orbitales sur une courte période</w:t>
      </w:r>
    </w:p>
    <w:p w:rsidR="00271FF6" w:rsidRPr="00BE242D" w:rsidRDefault="00FC4488" w:rsidP="00A705B6">
      <w:pPr>
        <w:pStyle w:val="Headingb"/>
        <w:rPr>
          <w:lang w:val="fr-CA"/>
        </w:rPr>
      </w:pPr>
      <w:r w:rsidRPr="00BE242D">
        <w:t>Considérations générales</w:t>
      </w:r>
    </w:p>
    <w:p w:rsidR="00271FF6" w:rsidRPr="00BE242D" w:rsidRDefault="00271FF6" w:rsidP="00A705B6">
      <w:pPr>
        <w:rPr>
          <w:sz w:val="22"/>
          <w:lang w:val="fr-CH" w:eastAsia="ko-KR"/>
        </w:rPr>
      </w:pPr>
      <w:r w:rsidRPr="00BE242D">
        <w:rPr>
          <w:lang w:val="fr-CH" w:eastAsia="ko-KR"/>
        </w:rPr>
        <w:t xml:space="preserve">La CMR-12 a révisé le numéro </w:t>
      </w:r>
      <w:r w:rsidRPr="00BE242D">
        <w:rPr>
          <w:bCs/>
          <w:lang w:val="fr-CH" w:eastAsia="ko-KR"/>
        </w:rPr>
        <w:t xml:space="preserve">11.44B et le numéro </w:t>
      </w:r>
      <w:r w:rsidRPr="00BE242D">
        <w:rPr>
          <w:bCs/>
          <w:lang w:val="fr-CH"/>
        </w:rPr>
        <w:t>11.4</w:t>
      </w:r>
      <w:r w:rsidRPr="00BE242D">
        <w:rPr>
          <w:bCs/>
          <w:lang w:val="fr-CH" w:eastAsia="ko-KR"/>
        </w:rPr>
        <w:t>9</w:t>
      </w:r>
      <w:r w:rsidRPr="00BE242D">
        <w:rPr>
          <w:lang w:val="fr-CH" w:eastAsia="ko-KR"/>
        </w:rPr>
        <w:t xml:space="preserve"> du Règlement des radiocommunications pour clarifier les questions concernant la mise en service, ou la reprise de l'utilisation après une suspension, d'assignations de fréquence associées à des réseaux à satellite.</w:t>
      </w:r>
    </w:p>
    <w:p w:rsidR="00271FF6" w:rsidRPr="00BE242D" w:rsidRDefault="00271FF6" w:rsidP="00246B09">
      <w:pPr>
        <w:rPr>
          <w:sz w:val="22"/>
          <w:lang w:val="fr-CH" w:eastAsia="zh-CN"/>
        </w:rPr>
      </w:pPr>
      <w:r w:rsidRPr="00BE242D">
        <w:rPr>
          <w:lang w:val="fr-CH"/>
        </w:rPr>
        <w:t>Lorsqu'elle a adopté ces dispositions révisées, la CMR-12 a reconnu que l'intention de ces dispositions n'était pas de traiter la question de l'utilisation d'une station spatiale pour mettre en service des assignations de fréquence à des positions orbitales différentes sur une courte période</w:t>
      </w:r>
      <w:r w:rsidR="00E00FA6" w:rsidRPr="00BE242D">
        <w:rPr>
          <w:lang w:val="fr-CH"/>
        </w:rPr>
        <w:t>.</w:t>
      </w:r>
      <w:r w:rsidR="00246B09">
        <w:rPr>
          <w:lang w:val="fr-CH"/>
        </w:rPr>
        <w:t xml:space="preserve"> </w:t>
      </w:r>
      <w:r w:rsidR="00123006" w:rsidRPr="00BE242D">
        <w:rPr>
          <w:color w:val="000000"/>
        </w:rPr>
        <w:t>La</w:t>
      </w:r>
      <w:r w:rsidR="00A705B6">
        <w:rPr>
          <w:color w:val="000000"/>
        </w:rPr>
        <w:t xml:space="preserve"> CMR-12 a également noté «</w:t>
      </w:r>
      <w:r w:rsidR="00123006" w:rsidRPr="00BE242D">
        <w:rPr>
          <w:color w:val="000000"/>
        </w:rPr>
        <w:t>qu'une administration ou un opérateur peut, pour des raisons légitimes, avoir besoin de déplacer un engin spatial d'une position orbitale à une autre et qu'il conviendrait de veiller à ne pas limiter le recours légitime à des manœuvres et à la gestion de flotte».</w:t>
      </w:r>
      <w:r w:rsidR="00123006" w:rsidRPr="00BE242D">
        <w:rPr>
          <w:lang w:val="fr-CH"/>
        </w:rPr>
        <w:t xml:space="preserve"> </w:t>
      </w:r>
      <w:r w:rsidR="00246B09">
        <w:rPr>
          <w:lang w:val="fr-CH"/>
        </w:rPr>
        <w:t>A</w:t>
      </w:r>
      <w:r w:rsidRPr="00BE242D">
        <w:rPr>
          <w:lang w:val="fr-CH"/>
        </w:rPr>
        <w:t xml:space="preserve"> sa séance plénière, la CMR-12 a également demandé au BR, en attendant que les études de l'UIT-R soient achevées, de s'informer auprès des administrations de la dernière position orbitale/des assignations de fréquence précédentes mises en service le plus récemment avec ce satellite et de communiquer ces informations lorsqu'une administration met en service des assignations de fréquence à une position orbitale donnée en utilisant un satellite déjà en orbite.</w:t>
      </w:r>
    </w:p>
    <w:p w:rsidR="004456CF" w:rsidRPr="00BE242D" w:rsidRDefault="00123006" w:rsidP="00246B09">
      <w:pPr>
        <w:keepNext/>
        <w:keepLines/>
        <w:rPr>
          <w:lang w:val="fr-CH" w:eastAsia="ja-JP"/>
        </w:rPr>
      </w:pPr>
      <w:r w:rsidRPr="00BE242D">
        <w:rPr>
          <w:lang w:val="fr-CH" w:eastAsia="zh-CN"/>
        </w:rPr>
        <w:t xml:space="preserve">Dans la pratique, il existe de nombreux exemples de cas où un seul satellite peut être nécessaire pour mettre en service des assignations de fréquence </w:t>
      </w:r>
      <w:r w:rsidRPr="00BE242D">
        <w:rPr>
          <w:lang w:val="fr-CA"/>
        </w:rPr>
        <w:t xml:space="preserve">à différentes positions sur une courte période. </w:t>
      </w:r>
      <w:r w:rsidR="00425C2C" w:rsidRPr="00BE242D">
        <w:rPr>
          <w:lang w:val="fr-CA"/>
        </w:rPr>
        <w:lastRenderedPageBreak/>
        <w:t>Parfois, l</w:t>
      </w:r>
      <w:r w:rsidR="00025064" w:rsidRPr="00BE242D">
        <w:rPr>
          <w:lang w:val="fr-CA"/>
        </w:rPr>
        <w:t xml:space="preserve">a chronologie des </w:t>
      </w:r>
      <w:bookmarkStart w:id="6" w:name="_GoBack"/>
      <w:bookmarkEnd w:id="6"/>
      <w:r w:rsidR="00025064" w:rsidRPr="00BE242D">
        <w:rPr>
          <w:lang w:val="fr-CA"/>
        </w:rPr>
        <w:t>év</w:t>
      </w:r>
      <w:r w:rsidR="00246B09">
        <w:rPr>
          <w:lang w:val="fr-CA"/>
        </w:rPr>
        <w:t>é</w:t>
      </w:r>
      <w:r w:rsidR="00025064" w:rsidRPr="00BE242D">
        <w:rPr>
          <w:lang w:val="fr-CA"/>
        </w:rPr>
        <w:t xml:space="preserve">nements peut </w:t>
      </w:r>
      <w:r w:rsidR="00425C2C" w:rsidRPr="00BE242D">
        <w:rPr>
          <w:lang w:val="fr-CA"/>
        </w:rPr>
        <w:t>influencer le fait qu</w:t>
      </w:r>
      <w:r w:rsidR="00246B09">
        <w:rPr>
          <w:lang w:val="fr-CA"/>
        </w:rPr>
        <w:t>'</w:t>
      </w:r>
      <w:r w:rsidR="00425C2C" w:rsidRPr="00BE242D">
        <w:rPr>
          <w:lang w:val="fr-CA"/>
        </w:rPr>
        <w:t>un cas soit considéré comme «justifiable» ou non.</w:t>
      </w:r>
      <w:r w:rsidR="00246B09">
        <w:rPr>
          <w:lang w:val="fr-CA"/>
        </w:rPr>
        <w:t xml:space="preserve"> </w:t>
      </w:r>
      <w:r w:rsidR="004456CF" w:rsidRPr="00BE242D">
        <w:rPr>
          <w:lang w:val="fr-CH" w:eastAsia="ja-JP"/>
        </w:rPr>
        <w:t xml:space="preserve">Il semble ressortir de l'examen </w:t>
      </w:r>
      <w:r w:rsidR="000F19D9" w:rsidRPr="00BE242D">
        <w:rPr>
          <w:lang w:val="fr-CH" w:eastAsia="ja-JP"/>
        </w:rPr>
        <w:t>de l</w:t>
      </w:r>
      <w:r w:rsidR="00246B09">
        <w:rPr>
          <w:lang w:val="fr-CH" w:eastAsia="ja-JP"/>
        </w:rPr>
        <w:t>'</w:t>
      </w:r>
      <w:r w:rsidR="000F19D9" w:rsidRPr="00BE242D">
        <w:rPr>
          <w:lang w:val="fr-CH" w:eastAsia="ja-JP"/>
        </w:rPr>
        <w:t>ensemble des cas présentés dans le Rapport de la R</w:t>
      </w:r>
      <w:r w:rsidR="00246B09">
        <w:rPr>
          <w:lang w:val="fr-CH" w:eastAsia="ja-JP"/>
        </w:rPr>
        <w:t>PC</w:t>
      </w:r>
      <w:r w:rsidR="004456CF" w:rsidRPr="00BE242D">
        <w:rPr>
          <w:lang w:val="fr-CH" w:eastAsia="ja-JP"/>
        </w:rPr>
        <w:t xml:space="preserve"> que le risque d'utilisation abusive des dispositions relatives à la mise en service ou à la suspension n'apparaît que dans les cas où un satellite en orbite met en service des assignations de fréquence à de multiples positions orbitales sur une courte période tout en laissant inoccupées un certain temps une ou plusieurs des positions orbitales qui étaient précédemment o</w:t>
      </w:r>
      <w:r w:rsidR="000F19D9" w:rsidRPr="00BE242D">
        <w:rPr>
          <w:lang w:val="fr-CH" w:eastAsia="ja-JP"/>
        </w:rPr>
        <w:t>ccupées. Toutefois, même dans ces circonstances</w:t>
      </w:r>
      <w:r w:rsidR="004456CF" w:rsidRPr="00BE242D">
        <w:rPr>
          <w:lang w:val="fr-CH" w:eastAsia="ja-JP"/>
        </w:rPr>
        <w:t>, il semble bien qu'il y ait des cas où de telles mesures pourraient se justifier</w:t>
      </w:r>
      <w:r w:rsidR="000F19D9" w:rsidRPr="00BE242D">
        <w:rPr>
          <w:lang w:val="fr-CH" w:eastAsia="ja-JP"/>
        </w:rPr>
        <w:t>, comme l</w:t>
      </w:r>
      <w:r w:rsidR="00246B09">
        <w:rPr>
          <w:lang w:val="fr-CH" w:eastAsia="ja-JP"/>
        </w:rPr>
        <w:t>'</w:t>
      </w:r>
      <w:r w:rsidR="000F19D9" w:rsidRPr="00BE242D">
        <w:rPr>
          <w:lang w:val="fr-CH" w:eastAsia="ja-JP"/>
        </w:rPr>
        <w:t>indique le Rapport de la R</w:t>
      </w:r>
      <w:r w:rsidR="00246B09">
        <w:rPr>
          <w:lang w:val="fr-CH" w:eastAsia="ja-JP"/>
        </w:rPr>
        <w:t>PC</w:t>
      </w:r>
      <w:r w:rsidR="004456CF" w:rsidRPr="00BE242D">
        <w:rPr>
          <w:lang w:val="fr-CH" w:eastAsia="ja-JP"/>
        </w:rPr>
        <w:t xml:space="preserve">. </w:t>
      </w:r>
      <w:r w:rsidR="000F19D9" w:rsidRPr="00BE242D">
        <w:rPr>
          <w:lang w:val="fr-CH" w:eastAsia="ja-JP"/>
        </w:rPr>
        <w:t>I</w:t>
      </w:r>
      <w:r w:rsidR="004456CF" w:rsidRPr="00BE242D">
        <w:rPr>
          <w:lang w:val="fr-CH" w:eastAsia="ja-JP"/>
        </w:rPr>
        <w:t>l n'est</w:t>
      </w:r>
      <w:r w:rsidR="000F19D9" w:rsidRPr="00BE242D">
        <w:rPr>
          <w:lang w:val="fr-CH" w:eastAsia="ja-JP"/>
        </w:rPr>
        <w:t xml:space="preserve"> donc</w:t>
      </w:r>
      <w:r w:rsidR="004456CF" w:rsidRPr="00BE242D">
        <w:rPr>
          <w:lang w:val="fr-CH" w:eastAsia="ja-JP"/>
        </w:rPr>
        <w:t xml:space="preserve"> pas possible en l'état actuel des choses d'élaborer des dispositions réglementaires pour couvrir spécifiquement le cas d'utilisation d'un seul et même satellite pour mettre en servi</w:t>
      </w:r>
      <w:r w:rsidR="00FC4488" w:rsidRPr="00BE242D">
        <w:rPr>
          <w:lang w:val="fr-CH" w:eastAsia="ja-JP"/>
        </w:rPr>
        <w:t>ce des assignations de fréquence</w:t>
      </w:r>
      <w:r w:rsidR="004456CF" w:rsidRPr="00BE242D">
        <w:rPr>
          <w:lang w:val="fr-CH" w:eastAsia="ja-JP"/>
        </w:rPr>
        <w:t xml:space="preserve"> à des positions orbitales multiples sur une courte période.</w:t>
      </w:r>
    </w:p>
    <w:p w:rsidR="000F19D9" w:rsidRPr="00BE242D" w:rsidRDefault="000F19D9" w:rsidP="00A705B6">
      <w:pPr>
        <w:rPr>
          <w:lang w:val="fr-CH"/>
        </w:rPr>
      </w:pPr>
      <w:r w:rsidRPr="00BE242D">
        <w:rPr>
          <w:lang w:val="fr-CH"/>
        </w:rPr>
        <w:t xml:space="preserve">Au mieux, il pourrait être possible de demander aux administrations, dans certains cas, de fournir des renseignements supplémentaires au moment de </w:t>
      </w:r>
      <w:r w:rsidR="00FC4488" w:rsidRPr="00BE242D">
        <w:rPr>
          <w:lang w:val="fr-CH"/>
        </w:rPr>
        <w:t>déclarer</w:t>
      </w:r>
      <w:r w:rsidRPr="00BE242D">
        <w:rPr>
          <w:lang w:val="fr-CH"/>
        </w:rPr>
        <w:t xml:space="preserve"> la mise en service d</w:t>
      </w:r>
      <w:r w:rsidR="00246B09">
        <w:rPr>
          <w:lang w:val="fr-CH"/>
        </w:rPr>
        <w:t>'</w:t>
      </w:r>
      <w:r w:rsidR="00FC4488" w:rsidRPr="00BE242D">
        <w:rPr>
          <w:lang w:val="fr-CH"/>
        </w:rPr>
        <w:t xml:space="preserve">assignations de fréquence </w:t>
      </w:r>
      <w:r w:rsidR="004A27EE" w:rsidRPr="00BE242D">
        <w:rPr>
          <w:lang w:val="fr-CH"/>
        </w:rPr>
        <w:t>au moyen</w:t>
      </w:r>
      <w:r w:rsidR="00FC4488" w:rsidRPr="00BE242D">
        <w:rPr>
          <w:lang w:val="fr-CH"/>
        </w:rPr>
        <w:t xml:space="preserve"> </w:t>
      </w:r>
      <w:r w:rsidR="004A27EE" w:rsidRPr="00BE242D">
        <w:rPr>
          <w:lang w:val="fr-CH"/>
        </w:rPr>
        <w:t>d</w:t>
      </w:r>
      <w:r w:rsidR="00246B09">
        <w:rPr>
          <w:lang w:val="fr-CH"/>
        </w:rPr>
        <w:t>'</w:t>
      </w:r>
      <w:r w:rsidR="00FC4488" w:rsidRPr="00BE242D">
        <w:rPr>
          <w:lang w:val="fr-CH"/>
        </w:rPr>
        <w:t>un satellite déjà en orbite.</w:t>
      </w:r>
    </w:p>
    <w:p w:rsidR="004456CF" w:rsidRPr="00BE242D" w:rsidRDefault="00FC4488" w:rsidP="00A705B6">
      <w:pPr>
        <w:pStyle w:val="Headingb"/>
        <w:rPr>
          <w:lang w:val="fr-CH"/>
        </w:rPr>
      </w:pPr>
      <w:r w:rsidRPr="00BE242D">
        <w:rPr>
          <w:lang w:val="fr-CH"/>
        </w:rPr>
        <w:t>Proposition</w:t>
      </w:r>
    </w:p>
    <w:p w:rsidR="00FC4488" w:rsidRPr="00BE242D" w:rsidRDefault="00FC4488" w:rsidP="00246B09">
      <w:pPr>
        <w:rPr>
          <w:lang w:val="fr-CH"/>
        </w:rPr>
      </w:pPr>
      <w:r w:rsidRPr="00BE242D">
        <w:rPr>
          <w:lang w:val="fr-CH"/>
        </w:rPr>
        <w:t xml:space="preserve">Les </w:t>
      </w:r>
      <w:r w:rsidR="00246B09">
        <w:rPr>
          <w:lang w:val="fr-CH"/>
        </w:rPr>
        <w:t>E</w:t>
      </w:r>
      <w:r w:rsidRPr="00BE242D">
        <w:rPr>
          <w:lang w:val="fr-CH"/>
        </w:rPr>
        <w:t>tats-Unis sont en faveur de la Méthode H</w:t>
      </w:r>
      <w:r w:rsidR="00AF1A5E" w:rsidRPr="00BE242D">
        <w:rPr>
          <w:lang w:val="fr-CH"/>
        </w:rPr>
        <w:t>2</w:t>
      </w:r>
      <w:r w:rsidRPr="00BE242D">
        <w:rPr>
          <w:lang w:val="fr-CH"/>
        </w:rPr>
        <w:t>, qui consiste à ne pas modifier l</w:t>
      </w:r>
      <w:r w:rsidR="00246B09">
        <w:rPr>
          <w:lang w:val="fr-CH"/>
        </w:rPr>
        <w:t>'</w:t>
      </w:r>
      <w:r w:rsidRPr="00BE242D">
        <w:rPr>
          <w:lang w:val="fr-CH"/>
        </w:rPr>
        <w:t>Article 11 du Règlement des radiocommunications, car le Bureau des radiocommunications peut déjà s</w:t>
      </w:r>
      <w:r w:rsidR="00246B09">
        <w:rPr>
          <w:lang w:val="fr-CH"/>
        </w:rPr>
        <w:t>'</w:t>
      </w:r>
      <w:r w:rsidRPr="00BE242D">
        <w:rPr>
          <w:lang w:val="fr-CH"/>
        </w:rPr>
        <w:t>informer auprès des administrations dans les cas où un satellite déjà en orbite est utilisé pour mettre en service une position orbitale.</w:t>
      </w:r>
    </w:p>
    <w:p w:rsidR="00972429" w:rsidRPr="00BE242D" w:rsidRDefault="004456CF" w:rsidP="00A705B6">
      <w:pPr>
        <w:pStyle w:val="Proposal"/>
      </w:pPr>
      <w:r w:rsidRPr="00BE242D">
        <w:rPr>
          <w:u w:val="single"/>
        </w:rPr>
        <w:t>NOC</w:t>
      </w:r>
      <w:r w:rsidRPr="00BE242D">
        <w:tab/>
        <w:t>USA/6A21A8/1</w:t>
      </w:r>
    </w:p>
    <w:p w:rsidR="004A6A8C" w:rsidRPr="00BE242D" w:rsidRDefault="004456CF" w:rsidP="00A705B6">
      <w:pPr>
        <w:pStyle w:val="ArtNo"/>
      </w:pPr>
      <w:r w:rsidRPr="00BE242D">
        <w:t xml:space="preserve">ARTICLE </w:t>
      </w:r>
      <w:r w:rsidRPr="00BE242D">
        <w:rPr>
          <w:rStyle w:val="href"/>
        </w:rPr>
        <w:t>11</w:t>
      </w:r>
    </w:p>
    <w:p w:rsidR="004A6A8C" w:rsidRPr="00BE242D" w:rsidRDefault="004456CF" w:rsidP="00A705B6">
      <w:pPr>
        <w:pStyle w:val="Arttitle"/>
      </w:pPr>
      <w:r w:rsidRPr="00BE242D">
        <w:t>Notification et inscription des assignations</w:t>
      </w:r>
      <w:r w:rsidRPr="00BE242D">
        <w:br/>
        <w:t>de fréquence</w:t>
      </w:r>
      <w:r w:rsidRPr="00246B09">
        <w:rPr>
          <w:rStyle w:val="FootnoteReference"/>
          <w:b w:val="0"/>
          <w:bCs/>
        </w:rPr>
        <w:t>1, 2, 3, 4, 5, 6, 7, 7</w:t>
      </w:r>
      <w:r w:rsidRPr="00246B09">
        <w:rPr>
          <w:rStyle w:val="FootnoteReference"/>
          <w:b w:val="0"/>
          <w:bCs/>
          <w:i/>
          <w:iCs/>
        </w:rPr>
        <w:t>bis</w:t>
      </w:r>
      <w:r w:rsidRPr="00BE242D">
        <w:rPr>
          <w:rStyle w:val="FootnoteReference"/>
        </w:rPr>
        <w:t> </w:t>
      </w:r>
      <w:r w:rsidRPr="00BE242D">
        <w:rPr>
          <w:b w:val="0"/>
          <w:bCs/>
          <w:sz w:val="16"/>
          <w:szCs w:val="16"/>
        </w:rPr>
        <w:t> </w:t>
      </w:r>
      <w:r w:rsidR="00246B09" w:rsidRPr="00BE242D">
        <w:rPr>
          <w:b w:val="0"/>
          <w:bCs/>
          <w:sz w:val="16"/>
          <w:szCs w:val="16"/>
        </w:rPr>
        <w:t>   </w:t>
      </w:r>
      <w:r w:rsidRPr="00BE242D">
        <w:rPr>
          <w:b w:val="0"/>
          <w:bCs/>
          <w:sz w:val="16"/>
          <w:szCs w:val="16"/>
        </w:rPr>
        <w:t> (CMR-12)</w:t>
      </w:r>
    </w:p>
    <w:p w:rsidR="004456CF" w:rsidRPr="00BE242D" w:rsidRDefault="004456CF" w:rsidP="00A705B6">
      <w:pPr>
        <w:pStyle w:val="Reasons"/>
      </w:pPr>
      <w:r w:rsidRPr="00BE242D">
        <w:rPr>
          <w:b/>
        </w:rPr>
        <w:t>Motifs:</w:t>
      </w:r>
      <w:r w:rsidRPr="00BE242D">
        <w:tab/>
      </w:r>
      <w:r w:rsidR="0010038D" w:rsidRPr="00BE242D">
        <w:t>Il n</w:t>
      </w:r>
      <w:r w:rsidR="00246B09">
        <w:t>'</w:t>
      </w:r>
      <w:r w:rsidR="0010038D" w:rsidRPr="00BE242D">
        <w:t>est pas possible d</w:t>
      </w:r>
      <w:r w:rsidR="00246B09">
        <w:t>'</w:t>
      </w:r>
      <w:r w:rsidR="0010038D" w:rsidRPr="00BE242D">
        <w:t>agir contre les cas de déplacem</w:t>
      </w:r>
      <w:r w:rsidR="007C168E" w:rsidRPr="00BE242D">
        <w:t>ent injustifié</w:t>
      </w:r>
      <w:r w:rsidR="0010038D" w:rsidRPr="00BE242D">
        <w:t xml:space="preserve"> de satellites d</w:t>
      </w:r>
      <w:r w:rsidR="00246B09">
        <w:t>'</w:t>
      </w:r>
      <w:r w:rsidR="0010038D" w:rsidRPr="00BE242D">
        <w:t>une position à l</w:t>
      </w:r>
      <w:r w:rsidR="00246B09">
        <w:t>'</w:t>
      </w:r>
      <w:r w:rsidR="0010038D" w:rsidRPr="00BE242D">
        <w:t xml:space="preserve">autre sans risquer de </w:t>
      </w:r>
      <w:r w:rsidR="0010038D" w:rsidRPr="00BE242D">
        <w:rPr>
          <w:color w:val="000000"/>
        </w:rPr>
        <w:t>limiter le recours légitime à des manœuvres et à la gestion de flotte</w:t>
      </w:r>
      <w:r w:rsidR="007C168E" w:rsidRPr="00BE242D">
        <w:rPr>
          <w:color w:val="000000"/>
        </w:rPr>
        <w:t>s de satellites.</w:t>
      </w:r>
    </w:p>
    <w:p w:rsidR="00972429" w:rsidRPr="004456CF" w:rsidRDefault="004456CF" w:rsidP="00A705B6">
      <w:pPr>
        <w:jc w:val="center"/>
      </w:pPr>
      <w:r w:rsidRPr="00BE242D">
        <w:t>______________</w:t>
      </w:r>
    </w:p>
    <w:sectPr w:rsidR="00972429" w:rsidRPr="004456C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192" w:rsidRDefault="00DF0192">
      <w:r>
        <w:separator/>
      </w:r>
    </w:p>
  </w:endnote>
  <w:endnote w:type="continuationSeparator" w:id="0">
    <w:p w:rsidR="00DF0192" w:rsidRDefault="00DF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F1A5E">
      <w:rPr>
        <w:noProof/>
        <w:lang w:val="en-US"/>
      </w:rPr>
      <w:t>C:\Users\thivoyon\Documents\Traduction\387624\006ADD21ADD08FMontage.docx</w:t>
    </w:r>
    <w:r>
      <w:fldChar w:fldCharType="end"/>
    </w:r>
    <w:r>
      <w:rPr>
        <w:lang w:val="en-US"/>
      </w:rPr>
      <w:tab/>
    </w:r>
    <w:r>
      <w:fldChar w:fldCharType="begin"/>
    </w:r>
    <w:r>
      <w:instrText xml:space="preserve"> SAVEDATE \@ DD.MM.YY </w:instrText>
    </w:r>
    <w:r>
      <w:fldChar w:fldCharType="separate"/>
    </w:r>
    <w:r w:rsidR="00246B09">
      <w:rPr>
        <w:noProof/>
      </w:rPr>
      <w:t>16.10.15</w:t>
    </w:r>
    <w:r>
      <w:fldChar w:fldCharType="end"/>
    </w:r>
    <w:r>
      <w:rPr>
        <w:lang w:val="en-US"/>
      </w:rPr>
      <w:tab/>
    </w:r>
    <w:r>
      <w:fldChar w:fldCharType="begin"/>
    </w:r>
    <w:r>
      <w:instrText xml:space="preserve"> PRINTDATE \@ DD.MM.YY </w:instrText>
    </w:r>
    <w:r>
      <w:fldChar w:fldCharType="separate"/>
    </w:r>
    <w:r w:rsidR="00AF1A5E">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05B6">
      <w:rPr>
        <w:lang w:val="en-US"/>
      </w:rPr>
      <w:t>P:\FRA\ITU-R\CONF-R\CMR15\000\006ADD21ADD08F.docx</w:t>
    </w:r>
    <w:r>
      <w:fldChar w:fldCharType="end"/>
    </w:r>
    <w:r w:rsidR="004456CF">
      <w:t xml:space="preserve"> (387624)</w:t>
    </w:r>
    <w:r>
      <w:rPr>
        <w:lang w:val="en-US"/>
      </w:rPr>
      <w:tab/>
    </w:r>
    <w:r>
      <w:fldChar w:fldCharType="begin"/>
    </w:r>
    <w:r>
      <w:instrText xml:space="preserve"> SAVEDATE \@ DD.MM.YY </w:instrText>
    </w:r>
    <w:r>
      <w:fldChar w:fldCharType="separate"/>
    </w:r>
    <w:r w:rsidR="00246B09">
      <w:t>16.10.15</w:t>
    </w:r>
    <w:r>
      <w:fldChar w:fldCharType="end"/>
    </w:r>
    <w:r>
      <w:rPr>
        <w:lang w:val="en-US"/>
      </w:rPr>
      <w:tab/>
    </w:r>
    <w:r>
      <w:fldChar w:fldCharType="begin"/>
    </w:r>
    <w:r>
      <w:instrText xml:space="preserve"> PRINTDATE \@ DD.MM.YY </w:instrText>
    </w:r>
    <w:r>
      <w:fldChar w:fldCharType="separate"/>
    </w:r>
    <w:r w:rsidR="00AF1A5E">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A705B6">
      <w:rPr>
        <w:lang w:val="en-US"/>
      </w:rPr>
      <w:t>P:\FRA\ITU-R\CONF-R\CMR15\000\006ADD21ADD08F.docx</w:t>
    </w:r>
    <w:r>
      <w:fldChar w:fldCharType="end"/>
    </w:r>
    <w:r w:rsidR="004456CF">
      <w:t xml:space="preserve"> (387624)</w:t>
    </w:r>
    <w:r>
      <w:rPr>
        <w:lang w:val="en-US"/>
      </w:rPr>
      <w:tab/>
    </w:r>
    <w:r>
      <w:fldChar w:fldCharType="begin"/>
    </w:r>
    <w:r>
      <w:instrText xml:space="preserve"> SAVEDATE \@ DD.MM.YY </w:instrText>
    </w:r>
    <w:r>
      <w:fldChar w:fldCharType="separate"/>
    </w:r>
    <w:r w:rsidR="00246B09">
      <w:t>16.10.15</w:t>
    </w:r>
    <w:r>
      <w:fldChar w:fldCharType="end"/>
    </w:r>
    <w:r>
      <w:rPr>
        <w:lang w:val="en-US"/>
      </w:rPr>
      <w:tab/>
    </w:r>
    <w:r>
      <w:fldChar w:fldCharType="begin"/>
    </w:r>
    <w:r>
      <w:instrText xml:space="preserve"> PRINTDATE \@ DD.MM.YY </w:instrText>
    </w:r>
    <w:r>
      <w:fldChar w:fldCharType="separate"/>
    </w:r>
    <w:r w:rsidR="00AF1A5E">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192" w:rsidRDefault="00DF0192">
      <w:r>
        <w:rPr>
          <w:b/>
        </w:rPr>
        <w:t>_______________</w:t>
      </w:r>
    </w:p>
  </w:footnote>
  <w:footnote w:type="continuationSeparator" w:id="0">
    <w:p w:rsidR="00DF0192" w:rsidRDefault="00DF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46B09">
      <w:rPr>
        <w:noProof/>
      </w:rPr>
      <w:t>2</w:t>
    </w:r>
    <w:r>
      <w:fldChar w:fldCharType="end"/>
    </w:r>
  </w:p>
  <w:p w:rsidR="004F1F8E" w:rsidRDefault="004F1F8E" w:rsidP="002C28A4">
    <w:pPr>
      <w:pStyle w:val="Header"/>
    </w:pPr>
    <w:r>
      <w:t>CMR1</w:t>
    </w:r>
    <w:r w:rsidR="002C28A4">
      <w:t>5</w:t>
    </w:r>
    <w:r>
      <w:t>/</w:t>
    </w:r>
    <w:r w:rsidR="006A4B45">
      <w:t>6(Add.21)(Add.8)-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5064"/>
    <w:rsid w:val="0003522F"/>
    <w:rsid w:val="00080E2C"/>
    <w:rsid w:val="000A4755"/>
    <w:rsid w:val="000B2E0C"/>
    <w:rsid w:val="000B3D0C"/>
    <w:rsid w:val="000F19D9"/>
    <w:rsid w:val="0010038D"/>
    <w:rsid w:val="001167B9"/>
    <w:rsid w:val="00123006"/>
    <w:rsid w:val="001267A0"/>
    <w:rsid w:val="0015203F"/>
    <w:rsid w:val="00160C64"/>
    <w:rsid w:val="0018169B"/>
    <w:rsid w:val="00185055"/>
    <w:rsid w:val="0019352B"/>
    <w:rsid w:val="001960D0"/>
    <w:rsid w:val="001F17E8"/>
    <w:rsid w:val="00204306"/>
    <w:rsid w:val="00232FD2"/>
    <w:rsid w:val="00246B09"/>
    <w:rsid w:val="002530D2"/>
    <w:rsid w:val="0026554E"/>
    <w:rsid w:val="00271FF6"/>
    <w:rsid w:val="002A4622"/>
    <w:rsid w:val="002A6F8F"/>
    <w:rsid w:val="002B17E5"/>
    <w:rsid w:val="002C0EBF"/>
    <w:rsid w:val="002C28A4"/>
    <w:rsid w:val="00314CDE"/>
    <w:rsid w:val="00315AFE"/>
    <w:rsid w:val="003606A6"/>
    <w:rsid w:val="0036650C"/>
    <w:rsid w:val="00393ACD"/>
    <w:rsid w:val="003A583E"/>
    <w:rsid w:val="003E112B"/>
    <w:rsid w:val="003E1D1C"/>
    <w:rsid w:val="003E7B05"/>
    <w:rsid w:val="00425C2C"/>
    <w:rsid w:val="004456CF"/>
    <w:rsid w:val="00466211"/>
    <w:rsid w:val="004834A9"/>
    <w:rsid w:val="004A27EE"/>
    <w:rsid w:val="004D01FC"/>
    <w:rsid w:val="004E28C3"/>
    <w:rsid w:val="004F1F8E"/>
    <w:rsid w:val="004F7AA4"/>
    <w:rsid w:val="00512A32"/>
    <w:rsid w:val="00586CF2"/>
    <w:rsid w:val="005C3768"/>
    <w:rsid w:val="005C6C3F"/>
    <w:rsid w:val="00613635"/>
    <w:rsid w:val="0062093D"/>
    <w:rsid w:val="006225E7"/>
    <w:rsid w:val="00637ECF"/>
    <w:rsid w:val="00647B59"/>
    <w:rsid w:val="00690C7B"/>
    <w:rsid w:val="006A4B45"/>
    <w:rsid w:val="006D4724"/>
    <w:rsid w:val="00701BAE"/>
    <w:rsid w:val="00721F04"/>
    <w:rsid w:val="00730E95"/>
    <w:rsid w:val="007426B9"/>
    <w:rsid w:val="00764342"/>
    <w:rsid w:val="00774362"/>
    <w:rsid w:val="00786598"/>
    <w:rsid w:val="007924F0"/>
    <w:rsid w:val="007A04E8"/>
    <w:rsid w:val="007C168E"/>
    <w:rsid w:val="00851625"/>
    <w:rsid w:val="00863C0A"/>
    <w:rsid w:val="008A3120"/>
    <w:rsid w:val="008D41BE"/>
    <w:rsid w:val="008D58D3"/>
    <w:rsid w:val="00923064"/>
    <w:rsid w:val="00930FFD"/>
    <w:rsid w:val="00936D25"/>
    <w:rsid w:val="00941EA5"/>
    <w:rsid w:val="00964700"/>
    <w:rsid w:val="00966C16"/>
    <w:rsid w:val="00972429"/>
    <w:rsid w:val="0098732F"/>
    <w:rsid w:val="009A045F"/>
    <w:rsid w:val="009C7E7C"/>
    <w:rsid w:val="00A00473"/>
    <w:rsid w:val="00A03C9B"/>
    <w:rsid w:val="00A37105"/>
    <w:rsid w:val="00A606C3"/>
    <w:rsid w:val="00A705B6"/>
    <w:rsid w:val="00A83B09"/>
    <w:rsid w:val="00A84541"/>
    <w:rsid w:val="00AE36A0"/>
    <w:rsid w:val="00AF1A5E"/>
    <w:rsid w:val="00B00294"/>
    <w:rsid w:val="00B027ED"/>
    <w:rsid w:val="00B64FD0"/>
    <w:rsid w:val="00BA5BD0"/>
    <w:rsid w:val="00BB1D82"/>
    <w:rsid w:val="00BC424C"/>
    <w:rsid w:val="00BE242D"/>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F0192"/>
    <w:rsid w:val="00E00FA6"/>
    <w:rsid w:val="00E03A27"/>
    <w:rsid w:val="00E049F1"/>
    <w:rsid w:val="00E251AA"/>
    <w:rsid w:val="00E37A25"/>
    <w:rsid w:val="00E537FF"/>
    <w:rsid w:val="00E6539B"/>
    <w:rsid w:val="00E70A31"/>
    <w:rsid w:val="00EA3F38"/>
    <w:rsid w:val="00EA5AB6"/>
    <w:rsid w:val="00EC7615"/>
    <w:rsid w:val="00ED16AA"/>
    <w:rsid w:val="00EF662E"/>
    <w:rsid w:val="00F148F1"/>
    <w:rsid w:val="00FA3BBF"/>
    <w:rsid w:val="00FC41F8"/>
    <w:rsid w:val="00FC448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91D1E51-FF42-48E6-9F39-12C38F1D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271FF6"/>
    <w:rPr>
      <w:rFonts w:ascii="Times New Roman" w:hAnsi="Times New Roman"/>
      <w:sz w:val="24"/>
      <w:lang w:val="fr-FR" w:eastAsia="en-US"/>
    </w:rPr>
  </w:style>
  <w:style w:type="paragraph" w:styleId="BalloonText">
    <w:name w:val="Balloon Text"/>
    <w:basedOn w:val="Normal"/>
    <w:link w:val="BalloonTextChar"/>
    <w:semiHidden/>
    <w:unhideWhenUsed/>
    <w:rsid w:val="00AF1A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1A5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6617">
      <w:bodyDiv w:val="1"/>
      <w:marLeft w:val="0"/>
      <w:marRight w:val="0"/>
      <w:marTop w:val="0"/>
      <w:marBottom w:val="0"/>
      <w:divBdr>
        <w:top w:val="none" w:sz="0" w:space="0" w:color="auto"/>
        <w:left w:val="none" w:sz="0" w:space="0" w:color="auto"/>
        <w:bottom w:val="none" w:sz="0" w:space="0" w:color="auto"/>
        <w:right w:val="none" w:sz="0" w:space="0" w:color="auto"/>
      </w:divBdr>
    </w:div>
    <w:div w:id="1358507683">
      <w:bodyDiv w:val="1"/>
      <w:marLeft w:val="0"/>
      <w:marRight w:val="0"/>
      <w:marTop w:val="0"/>
      <w:marBottom w:val="0"/>
      <w:divBdr>
        <w:top w:val="none" w:sz="0" w:space="0" w:color="auto"/>
        <w:left w:val="none" w:sz="0" w:space="0" w:color="auto"/>
        <w:bottom w:val="none" w:sz="0" w:space="0" w:color="auto"/>
        <w:right w:val="none" w:sz="0" w:space="0" w:color="auto"/>
      </w:divBdr>
    </w:div>
    <w:div w:id="19183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R15-WRC15-C-0006!A21-A8!MSW-F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2462D-19BA-4D48-B587-7BA2938F0BB0}">
  <ds:schemaRefs>
    <ds:schemaRef ds:uri="http://schemas.microsoft.com/office/2006/documentManagement/types"/>
    <ds:schemaRef ds:uri="http://purl.org/dc/terms/"/>
    <ds:schemaRef ds:uri="996b2e75-67fd-4955-a3b0-5ab9934cb50b"/>
    <ds:schemaRef ds:uri="http://www.w3.org/XML/1998/namespace"/>
    <ds:schemaRef ds:uri="http://purl.org/dc/elements/1.1/"/>
    <ds:schemaRef ds:uri="http://purl.org/dc/dcmitype/"/>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R15-WRC15-C-0006!A21-A8!MSW-F</vt:lpstr>
    </vt:vector>
  </TitlesOfParts>
  <Manager>Secrétariat général - Pool</Manager>
  <Company>Union internationale des télécommunications (UIT)</Company>
  <LinksUpToDate>false</LinksUpToDate>
  <CharactersWithSpaces>4564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R15-WRC15-C-0006!A21-A8!MSW-F</dc:title>
  <dc:subject>Conférence mondiale des radiocommunications - 2015</dc:subject>
  <dc:creator>Documents Proposals Manager (DPM)</dc:creator>
  <cp:keywords>DPM_v5.2015.10.8_prod</cp:keywords>
  <dc:description/>
  <cp:lastModifiedBy>Saxod, Nathalie</cp:lastModifiedBy>
  <cp:revision>4</cp:revision>
  <cp:lastPrinted>2015-10-13T15:04:00Z</cp:lastPrinted>
  <dcterms:created xsi:type="dcterms:W3CDTF">2015-10-16T19:34:00Z</dcterms:created>
  <dcterms:modified xsi:type="dcterms:W3CDTF">2015-10-18T07:32:00Z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