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55A5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55A56">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55A5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55A5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55A56">
            <w:pPr>
              <w:rPr>
                <w:rFonts w:ascii="Verdana" w:hAnsi="Verdana"/>
                <w:b/>
                <w:bCs/>
                <w:sz w:val="20"/>
              </w:rPr>
            </w:pPr>
          </w:p>
        </w:tc>
        <w:tc>
          <w:tcPr>
            <w:tcW w:w="3120" w:type="dxa"/>
            <w:tcBorders>
              <w:top w:val="single" w:sz="12" w:space="0" w:color="auto"/>
            </w:tcBorders>
          </w:tcPr>
          <w:p w:rsidR="00622560" w:rsidRPr="00CB4E5A" w:rsidRDefault="00622560" w:rsidP="00655A56">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55A5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BB4446">
            <w:pPr>
              <w:spacing w:before="0"/>
              <w:rPr>
                <w:rFonts w:ascii="Verdana" w:hAnsi="Verdana"/>
                <w:sz w:val="20"/>
              </w:rPr>
            </w:pPr>
            <w:proofErr w:type="spellStart"/>
            <w:r>
              <w:rPr>
                <w:rFonts w:ascii="Verdana" w:hAnsi="Verdana" w:cs="Traditional Arabic"/>
                <w:b/>
                <w:sz w:val="20"/>
              </w:rPr>
              <w:t>文件</w:t>
            </w:r>
            <w:proofErr w:type="spellEnd"/>
            <w:r w:rsidR="00345C7F">
              <w:rPr>
                <w:rFonts w:ascii="Verdana" w:hAnsi="Verdana" w:cs="Traditional Arabic"/>
                <w:b/>
                <w:sz w:val="20"/>
              </w:rPr>
              <w:t xml:space="preserve"> 6(Add.21)(Add.8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55A56">
            <w:pPr>
              <w:spacing w:before="0"/>
              <w:rPr>
                <w:rFonts w:ascii="Verdana" w:hAnsi="Verdana"/>
                <w:b/>
                <w:smallCaps/>
                <w:sz w:val="20"/>
              </w:rPr>
            </w:pPr>
          </w:p>
        </w:tc>
        <w:tc>
          <w:tcPr>
            <w:tcW w:w="3120" w:type="dxa"/>
            <w:shd w:val="clear" w:color="auto" w:fill="auto"/>
          </w:tcPr>
          <w:p w:rsidR="008221A4" w:rsidRPr="00622560" w:rsidRDefault="008221A4" w:rsidP="00655A5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655A56">
            <w:pPr>
              <w:spacing w:before="0"/>
              <w:rPr>
                <w:rFonts w:ascii="Verdana" w:hAnsi="Verdana"/>
                <w:b/>
                <w:bCs/>
                <w:sz w:val="20"/>
              </w:rPr>
            </w:pPr>
          </w:p>
        </w:tc>
        <w:tc>
          <w:tcPr>
            <w:tcW w:w="3120" w:type="dxa"/>
          </w:tcPr>
          <w:p w:rsidR="008221A4" w:rsidRPr="00622560" w:rsidRDefault="008221A4" w:rsidP="00655A5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55A56">
            <w:pPr>
              <w:spacing w:before="0"/>
              <w:rPr>
                <w:rFonts w:ascii="Verdana" w:hAnsi="Verdana"/>
                <w:b/>
                <w:bCs/>
                <w:sz w:val="20"/>
              </w:rPr>
            </w:pPr>
          </w:p>
        </w:tc>
      </w:tr>
      <w:tr w:rsidR="008221A4">
        <w:trPr>
          <w:cantSplit/>
        </w:trPr>
        <w:tc>
          <w:tcPr>
            <w:tcW w:w="10031" w:type="dxa"/>
            <w:gridSpan w:val="2"/>
          </w:tcPr>
          <w:p w:rsidR="008221A4" w:rsidRDefault="008221A4" w:rsidP="00655A56">
            <w:pPr>
              <w:pStyle w:val="Source"/>
            </w:pPr>
            <w:bookmarkStart w:id="4" w:name="dsource" w:colFirst="0" w:colLast="0"/>
            <w:proofErr w:type="spellStart"/>
            <w:r w:rsidRPr="000273B7">
              <w:t>美利坚合众国</w:t>
            </w:r>
            <w:proofErr w:type="spellEnd"/>
          </w:p>
        </w:tc>
      </w:tr>
      <w:tr w:rsidR="008221A4">
        <w:trPr>
          <w:cantSplit/>
        </w:trPr>
        <w:tc>
          <w:tcPr>
            <w:tcW w:w="10031" w:type="dxa"/>
            <w:gridSpan w:val="2"/>
          </w:tcPr>
          <w:p w:rsidR="008221A4" w:rsidRDefault="00DE31BC" w:rsidP="00655A56">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655A56">
            <w:pPr>
              <w:pStyle w:val="Title2"/>
            </w:pPr>
            <w:bookmarkStart w:id="6" w:name="dtitle2" w:colFirst="0" w:colLast="0"/>
            <w:bookmarkEnd w:id="5"/>
          </w:p>
        </w:tc>
      </w:tr>
      <w:tr w:rsidR="008221A4">
        <w:trPr>
          <w:cantSplit/>
        </w:trPr>
        <w:tc>
          <w:tcPr>
            <w:tcW w:w="10031" w:type="dxa"/>
            <w:gridSpan w:val="2"/>
          </w:tcPr>
          <w:p w:rsidR="008221A4" w:rsidRDefault="008221A4" w:rsidP="00655A56">
            <w:pPr>
              <w:pStyle w:val="Agendaitem"/>
            </w:pPr>
            <w:bookmarkStart w:id="7" w:name="dtitle3" w:colFirst="0" w:colLast="0"/>
            <w:bookmarkEnd w:id="6"/>
            <w:r w:rsidRPr="000273B7">
              <w:t>议项</w:t>
            </w:r>
            <w:r w:rsidRPr="000273B7">
              <w:t>7</w:t>
            </w:r>
            <w:bookmarkStart w:id="8" w:name="_GoBack"/>
            <w:bookmarkEnd w:id="8"/>
            <w:r w:rsidRPr="000273B7">
              <w:t>(H)</w:t>
            </w:r>
          </w:p>
        </w:tc>
      </w:tr>
    </w:tbl>
    <w:bookmarkEnd w:id="7"/>
    <w:p w:rsidR="008B60D0" w:rsidRPr="007806A0" w:rsidRDefault="00EF64BB" w:rsidP="0067034D">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EF64BB" w:rsidP="00655A56">
      <w:pPr>
        <w:rPr>
          <w:rFonts w:ascii="SimSun" w:hAnsi="SimSun" w:cs="SimSun"/>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655A56">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BB4446" w:rsidRPr="00BB4446" w:rsidRDefault="00BB4446" w:rsidP="00BB4446"/>
    <w:p w:rsidR="00D8644F" w:rsidRPr="007806A0" w:rsidRDefault="00D71A04" w:rsidP="00655A56">
      <w:pPr>
        <w:pStyle w:val="Headingb"/>
        <w:rPr>
          <w:lang w:eastAsia="zh-CN"/>
        </w:rPr>
      </w:pPr>
      <w:r>
        <w:rPr>
          <w:rFonts w:hint="eastAsia"/>
          <w:lang w:eastAsia="zh-CN"/>
        </w:rPr>
        <w:t>背景</w:t>
      </w:r>
    </w:p>
    <w:p w:rsidR="00D8644F" w:rsidRDefault="00D8644F" w:rsidP="00655A56">
      <w:pPr>
        <w:ind w:firstLineChars="200" w:firstLine="480"/>
        <w:rPr>
          <w:lang w:eastAsia="ko-KR"/>
        </w:rPr>
      </w:pPr>
      <w:r>
        <w:rPr>
          <w:lang w:eastAsia="ko-KR"/>
        </w:rPr>
        <w:t>WRC-12</w:t>
      </w:r>
      <w:r>
        <w:rPr>
          <w:rFonts w:hint="eastAsia"/>
          <w:lang w:eastAsia="zh-CN"/>
        </w:rPr>
        <w:t>对《无线电规则》第</w:t>
      </w:r>
      <w:r w:rsidRPr="00CD4A8B">
        <w:rPr>
          <w:bCs/>
          <w:lang w:eastAsia="ko-KR"/>
        </w:rPr>
        <w:t>11.44B</w:t>
      </w:r>
      <w:r w:rsidRPr="00CD4A8B">
        <w:rPr>
          <w:rFonts w:hint="eastAsia"/>
          <w:bCs/>
          <w:lang w:eastAsia="zh-CN"/>
        </w:rPr>
        <w:t>和</w:t>
      </w:r>
      <w:r w:rsidRPr="00CD4A8B">
        <w:rPr>
          <w:bCs/>
          <w:lang w:eastAsia="zh-CN"/>
        </w:rPr>
        <w:t>11.4</w:t>
      </w:r>
      <w:r w:rsidRPr="00CD4A8B">
        <w:rPr>
          <w:bCs/>
          <w:lang w:eastAsia="ko-KR"/>
        </w:rPr>
        <w:t>9</w:t>
      </w:r>
      <w:r>
        <w:rPr>
          <w:rFonts w:hint="eastAsia"/>
          <w:lang w:eastAsia="zh-CN"/>
        </w:rPr>
        <w:t>款做出修订，以澄清与卫星网络相关的频率指配的启用和暂停后重新启用的问题。</w:t>
      </w:r>
    </w:p>
    <w:p w:rsidR="00D8644F" w:rsidRDefault="00D8644F" w:rsidP="00195CB4">
      <w:pPr>
        <w:tabs>
          <w:tab w:val="clear" w:pos="1134"/>
          <w:tab w:val="clear" w:pos="1871"/>
          <w:tab w:val="clear" w:pos="2268"/>
        </w:tabs>
        <w:overflowPunct/>
        <w:autoSpaceDE/>
        <w:autoSpaceDN/>
        <w:adjustRightInd/>
        <w:ind w:firstLineChars="200" w:firstLine="480"/>
        <w:rPr>
          <w:szCs w:val="24"/>
          <w:lang w:val="en-US" w:eastAsia="zh-CN"/>
        </w:rPr>
      </w:pPr>
      <w:r>
        <w:rPr>
          <w:lang w:eastAsia="ja-JP"/>
        </w:rPr>
        <w:t>WRC-12</w:t>
      </w:r>
      <w:r>
        <w:rPr>
          <w:rFonts w:hint="eastAsia"/>
          <w:lang w:eastAsia="zh-CN"/>
        </w:rPr>
        <w:t>在通过这些修订条款时认识到，利用一个空间电台在很短的时间段内在多个不同轨道位置启用频率指配的问题不是这些修订条款的初衷。然而</w:t>
      </w:r>
      <w:r>
        <w:rPr>
          <w:lang w:eastAsia="zh-CN"/>
        </w:rPr>
        <w:t>WRC-12</w:t>
      </w:r>
      <w:r>
        <w:rPr>
          <w:rFonts w:hint="eastAsia"/>
          <w:lang w:eastAsia="zh-CN"/>
        </w:rPr>
        <w:t>还认识到，一主管部门或运营商要将航天器从一个轨道位置移至一个新的轨道位置是有其正当理由的，应努力避免限制合法的航空器移动和管理。</w:t>
      </w:r>
      <w:r>
        <w:rPr>
          <w:lang w:eastAsia="zh-CN"/>
        </w:rPr>
        <w:t>WRC-12</w:t>
      </w:r>
      <w:r>
        <w:rPr>
          <w:rFonts w:hint="eastAsia"/>
          <w:lang w:eastAsia="zh-CN"/>
        </w:rPr>
        <w:t>全体会议还要求无线电通信局，在</w:t>
      </w:r>
      <w:r>
        <w:rPr>
          <w:lang w:eastAsia="zh-CN"/>
        </w:rPr>
        <w:t>ITU-R</w:t>
      </w:r>
      <w:r>
        <w:rPr>
          <w:rFonts w:hint="eastAsia"/>
          <w:lang w:eastAsia="zh-CN"/>
        </w:rPr>
        <w:t>的研究工作结束之前，针对一主管部门利用一在轨卫星在某一特定轨道位置启用频率指配的情况，就该卫星最近一次启用的轨道位置</w:t>
      </w:r>
      <w:r>
        <w:rPr>
          <w:lang w:eastAsia="zh-CN"/>
        </w:rPr>
        <w:t>/</w:t>
      </w:r>
      <w:r>
        <w:rPr>
          <w:rFonts w:hint="eastAsia"/>
          <w:lang w:eastAsia="zh-CN"/>
        </w:rPr>
        <w:t>频率指配向该主管部门进行问询，并公布这一信息。</w:t>
      </w:r>
    </w:p>
    <w:p w:rsidR="00622560" w:rsidRDefault="002E36D2" w:rsidP="009028C7">
      <w:pPr>
        <w:ind w:firstLineChars="200" w:firstLine="480"/>
        <w:rPr>
          <w:lang w:eastAsia="zh-CN"/>
        </w:rPr>
      </w:pPr>
      <w:r>
        <w:rPr>
          <w:rFonts w:hint="eastAsia"/>
          <w:lang w:eastAsia="zh-CN"/>
        </w:rPr>
        <w:t>实际上，</w:t>
      </w:r>
      <w:r w:rsidR="00630D42">
        <w:rPr>
          <w:rFonts w:hint="eastAsia"/>
          <w:lang w:eastAsia="zh-CN"/>
        </w:rPr>
        <w:t>存在很多例证可疑说明一颗卫星需要在短期内启用多个轨道位置，其中包括对于时间的安排可能改变对于某一案例是否“合理”的评估。</w:t>
      </w:r>
      <w:r w:rsidR="00361C86">
        <w:rPr>
          <w:rFonts w:hint="eastAsia"/>
          <w:lang w:eastAsia="zh-CN"/>
        </w:rPr>
        <w:t>从</w:t>
      </w:r>
      <w:r w:rsidR="00361C86">
        <w:rPr>
          <w:lang w:eastAsia="zh-CN"/>
        </w:rPr>
        <w:t>对</w:t>
      </w:r>
      <w:r w:rsidR="00630D42">
        <w:rPr>
          <w:rFonts w:hint="eastAsia"/>
          <w:lang w:eastAsia="zh-CN"/>
        </w:rPr>
        <w:t>CPM</w:t>
      </w:r>
      <w:r w:rsidR="00630D42">
        <w:rPr>
          <w:rFonts w:hint="eastAsia"/>
          <w:lang w:eastAsia="zh-CN"/>
        </w:rPr>
        <w:t>报告的所有</w:t>
      </w:r>
      <w:r w:rsidR="00361C86">
        <w:rPr>
          <w:rFonts w:hint="eastAsia"/>
          <w:lang w:eastAsia="zh-CN"/>
        </w:rPr>
        <w:t>案例的</w:t>
      </w:r>
      <w:r w:rsidR="00361C86">
        <w:rPr>
          <w:lang w:eastAsia="zh-CN"/>
        </w:rPr>
        <w:t>思考</w:t>
      </w:r>
      <w:r w:rsidR="00361C86">
        <w:rPr>
          <w:rFonts w:hint="eastAsia"/>
          <w:lang w:eastAsia="zh-CN"/>
        </w:rPr>
        <w:t>确实可以</w:t>
      </w:r>
      <w:r w:rsidR="00361C86">
        <w:rPr>
          <w:lang w:eastAsia="zh-CN"/>
        </w:rPr>
        <w:t>看出启用可能受到滥用的情况，而且暂停规定似乎仅适用于一在轨</w:t>
      </w:r>
      <w:r w:rsidR="00361C86">
        <w:rPr>
          <w:rFonts w:hint="eastAsia"/>
          <w:lang w:eastAsia="zh-CN"/>
        </w:rPr>
        <w:t>卫星</w:t>
      </w:r>
      <w:r w:rsidR="00361C86">
        <w:rPr>
          <w:lang w:eastAsia="zh-CN"/>
        </w:rPr>
        <w:t>短</w:t>
      </w:r>
      <w:r w:rsidR="00361C86">
        <w:rPr>
          <w:rFonts w:hint="eastAsia"/>
          <w:lang w:eastAsia="zh-CN"/>
        </w:rPr>
        <w:t>期</w:t>
      </w:r>
      <w:r w:rsidR="00361C86">
        <w:rPr>
          <w:lang w:eastAsia="zh-CN"/>
        </w:rPr>
        <w:t>内启用多轨位频率指配的情况，与此同时，</w:t>
      </w:r>
      <w:r w:rsidR="00361C86">
        <w:rPr>
          <w:rFonts w:hint="eastAsia"/>
          <w:lang w:eastAsia="zh-CN"/>
        </w:rPr>
        <w:t>致使</w:t>
      </w:r>
      <w:r w:rsidR="00361C86">
        <w:rPr>
          <w:lang w:eastAsia="zh-CN"/>
        </w:rPr>
        <w:t>一个</w:t>
      </w:r>
      <w:r w:rsidR="00361C86">
        <w:rPr>
          <w:rFonts w:hint="eastAsia"/>
          <w:lang w:eastAsia="zh-CN"/>
        </w:rPr>
        <w:t>或</w:t>
      </w:r>
      <w:r w:rsidR="00361C86">
        <w:rPr>
          <w:lang w:eastAsia="zh-CN"/>
        </w:rPr>
        <w:t>多个此前所占轨位在一段时</w:t>
      </w:r>
      <w:r w:rsidR="00361C86">
        <w:rPr>
          <w:rFonts w:hint="eastAsia"/>
          <w:lang w:eastAsia="zh-CN"/>
        </w:rPr>
        <w:t>间</w:t>
      </w:r>
      <w:r w:rsidR="00361C86">
        <w:rPr>
          <w:lang w:eastAsia="zh-CN"/>
        </w:rPr>
        <w:t>内</w:t>
      </w:r>
      <w:r w:rsidR="00361C86">
        <w:rPr>
          <w:rFonts w:hint="eastAsia"/>
          <w:lang w:eastAsia="zh-CN"/>
        </w:rPr>
        <w:t>空置</w:t>
      </w:r>
      <w:r w:rsidR="00361C86">
        <w:rPr>
          <w:lang w:eastAsia="zh-CN"/>
        </w:rPr>
        <w:t>。然而</w:t>
      </w:r>
      <w:r w:rsidR="00361C86">
        <w:rPr>
          <w:rFonts w:hint="eastAsia"/>
          <w:lang w:eastAsia="zh-CN"/>
        </w:rPr>
        <w:t>，</w:t>
      </w:r>
      <w:r w:rsidR="00361C86">
        <w:rPr>
          <w:lang w:eastAsia="zh-CN"/>
        </w:rPr>
        <w:t>即使</w:t>
      </w:r>
      <w:r w:rsidR="00361C86">
        <w:rPr>
          <w:rFonts w:hint="eastAsia"/>
          <w:lang w:eastAsia="zh-CN"/>
        </w:rPr>
        <w:t>出现</w:t>
      </w:r>
      <w:r w:rsidR="00361C86">
        <w:rPr>
          <w:lang w:eastAsia="zh-CN"/>
        </w:rPr>
        <w:t>这种情况，</w:t>
      </w:r>
      <w:r w:rsidR="00630D42">
        <w:rPr>
          <w:rFonts w:hint="eastAsia"/>
          <w:lang w:eastAsia="zh-CN"/>
        </w:rPr>
        <w:t>CPM</w:t>
      </w:r>
      <w:r w:rsidR="00630D42">
        <w:rPr>
          <w:rFonts w:hint="eastAsia"/>
          <w:lang w:eastAsia="zh-CN"/>
        </w:rPr>
        <w:t>报告中</w:t>
      </w:r>
      <w:r w:rsidR="00361C86">
        <w:rPr>
          <w:lang w:eastAsia="zh-CN"/>
        </w:rPr>
        <w:t>依然有案例证明这些行动的正确</w:t>
      </w:r>
      <w:r w:rsidR="00361C86">
        <w:rPr>
          <w:rFonts w:hint="eastAsia"/>
          <w:lang w:eastAsia="zh-CN"/>
        </w:rPr>
        <w:t>性</w:t>
      </w:r>
      <w:r w:rsidR="00361C86">
        <w:rPr>
          <w:lang w:eastAsia="zh-CN"/>
        </w:rPr>
        <w:t>。</w:t>
      </w:r>
      <w:r w:rsidR="00361C86">
        <w:rPr>
          <w:rFonts w:hint="eastAsia"/>
          <w:lang w:eastAsia="zh-CN"/>
        </w:rPr>
        <w:t>因此</w:t>
      </w:r>
      <w:r w:rsidR="00361C86">
        <w:rPr>
          <w:lang w:eastAsia="zh-CN"/>
        </w:rPr>
        <w:t>人们认为</w:t>
      </w:r>
      <w:r w:rsidR="00361C86">
        <w:rPr>
          <w:rFonts w:hint="eastAsia"/>
          <w:lang w:eastAsia="zh-CN"/>
        </w:rPr>
        <w:t>，</w:t>
      </w:r>
      <w:r w:rsidR="00361C86">
        <w:rPr>
          <w:lang w:eastAsia="zh-CN"/>
        </w:rPr>
        <w:t>不可能通过制定具体的规则性条款，解决单一卫星在短</w:t>
      </w:r>
      <w:r w:rsidR="00361C86">
        <w:rPr>
          <w:rFonts w:hint="eastAsia"/>
          <w:lang w:eastAsia="zh-CN"/>
        </w:rPr>
        <w:t>期</w:t>
      </w:r>
      <w:r w:rsidR="00361C86">
        <w:rPr>
          <w:lang w:eastAsia="zh-CN"/>
        </w:rPr>
        <w:t>内启用多轨位频率指配的问题。</w:t>
      </w:r>
      <w:r w:rsidR="00630D42">
        <w:rPr>
          <w:rFonts w:hint="eastAsia"/>
          <w:lang w:eastAsia="zh-CN"/>
        </w:rPr>
        <w:t>至</w:t>
      </w:r>
      <w:r w:rsidR="00630D42">
        <w:rPr>
          <w:rFonts w:hint="eastAsia"/>
          <w:lang w:eastAsia="zh-CN"/>
        </w:rPr>
        <w:lastRenderedPageBreak/>
        <w:t>多，或许可以要求主管部门在特定情况下，当宣称使用一颗在轨卫星启用频率指配时提供额外信息。</w:t>
      </w:r>
    </w:p>
    <w:p w:rsidR="009A0F9C" w:rsidRPr="00B157B6" w:rsidRDefault="00630D42" w:rsidP="00655A56">
      <w:pPr>
        <w:pStyle w:val="Headingb"/>
        <w:rPr>
          <w:lang w:eastAsia="zh-CN"/>
        </w:rPr>
      </w:pPr>
      <w:r>
        <w:rPr>
          <w:rFonts w:hint="eastAsia"/>
          <w:lang w:eastAsia="zh-CN"/>
        </w:rPr>
        <w:t>提案</w:t>
      </w:r>
    </w:p>
    <w:p w:rsidR="009A0F9C" w:rsidRPr="00D8644F" w:rsidRDefault="00630D42" w:rsidP="00655A56">
      <w:pPr>
        <w:ind w:firstLineChars="200" w:firstLine="480"/>
        <w:rPr>
          <w:lang w:val="en-US" w:eastAsia="zh-CN"/>
        </w:rPr>
      </w:pPr>
      <w:r>
        <w:rPr>
          <w:rFonts w:hint="eastAsia"/>
          <w:lang w:eastAsia="zh-CN"/>
        </w:rPr>
        <w:t>由于无线电通信局已经可以向主管部门询问有关在轨卫星用于启用某一轨位的情况，美国支持方法</w:t>
      </w:r>
      <w:r>
        <w:rPr>
          <w:rFonts w:hint="eastAsia"/>
          <w:lang w:eastAsia="zh-CN"/>
        </w:rPr>
        <w:t>H2</w:t>
      </w:r>
      <w:r>
        <w:rPr>
          <w:rFonts w:hint="eastAsia"/>
          <w:lang w:eastAsia="zh-CN"/>
        </w:rPr>
        <w:t>，即不对《无线电规则》的第</w:t>
      </w:r>
      <w:r>
        <w:rPr>
          <w:rFonts w:hint="eastAsia"/>
          <w:lang w:eastAsia="zh-CN"/>
        </w:rPr>
        <w:t>11</w:t>
      </w:r>
      <w:r>
        <w:rPr>
          <w:rFonts w:hint="eastAsia"/>
          <w:lang w:eastAsia="zh-CN"/>
        </w:rPr>
        <w:t>条进行修订。</w:t>
      </w:r>
    </w:p>
    <w:p w:rsidR="00845545" w:rsidRDefault="00EF64BB" w:rsidP="00655A56">
      <w:pPr>
        <w:pStyle w:val="Proposal"/>
        <w:rPr>
          <w:lang w:eastAsia="zh-CN"/>
        </w:rPr>
      </w:pPr>
      <w:r>
        <w:rPr>
          <w:u w:val="single"/>
          <w:lang w:eastAsia="zh-CN"/>
        </w:rPr>
        <w:t>NOC</w:t>
      </w:r>
      <w:r>
        <w:rPr>
          <w:lang w:eastAsia="zh-CN"/>
        </w:rPr>
        <w:tab/>
        <w:t>USA/6A21A8/1</w:t>
      </w:r>
    </w:p>
    <w:p w:rsidR="00DB1CAC" w:rsidRPr="00F439B1" w:rsidRDefault="00EF64BB" w:rsidP="00655A56">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EF64BB" w:rsidP="00655A56">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845545" w:rsidRDefault="00EF64BB" w:rsidP="00655A56">
      <w:pPr>
        <w:pStyle w:val="Reasons"/>
        <w:rPr>
          <w:lang w:eastAsia="zh-CN"/>
        </w:rPr>
      </w:pPr>
      <w:r>
        <w:rPr>
          <w:b/>
          <w:lang w:eastAsia="zh-CN"/>
        </w:rPr>
        <w:t>理由：</w:t>
      </w:r>
      <w:r>
        <w:rPr>
          <w:lang w:eastAsia="zh-CN"/>
        </w:rPr>
        <w:tab/>
      </w:r>
      <w:r w:rsidR="000954E6">
        <w:rPr>
          <w:rFonts w:hint="eastAsia"/>
          <w:lang w:eastAsia="zh-CN"/>
        </w:rPr>
        <w:t>在不限制卫星编队移动和管理的前提下解决不正当的卫星跳跃问题是不可能的。</w:t>
      </w:r>
    </w:p>
    <w:p w:rsidR="00F36F36" w:rsidRDefault="00F36F36" w:rsidP="00655A56">
      <w:pPr>
        <w:pStyle w:val="Reasons"/>
        <w:rPr>
          <w:lang w:eastAsia="zh-CN"/>
        </w:rPr>
      </w:pPr>
    </w:p>
    <w:p w:rsidR="00F36F36" w:rsidRDefault="00F36F36" w:rsidP="009028C7">
      <w:pPr>
        <w:jc w:val="center"/>
      </w:pPr>
      <w:r>
        <w:t>______________</w:t>
      </w:r>
    </w:p>
    <w:sectPr w:rsidR="00F36F3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60D44" w:rsidP="00A24824">
    <w:pPr>
      <w:pStyle w:val="Footer"/>
      <w:tabs>
        <w:tab w:val="clear" w:pos="5954"/>
        <w:tab w:val="left" w:pos="6804"/>
      </w:tabs>
      <w:rPr>
        <w:lang w:val="en-US"/>
      </w:rPr>
    </w:pPr>
    <w:r>
      <w:fldChar w:fldCharType="begin"/>
    </w:r>
    <w:r>
      <w:instrText xml:space="preserve"> FILENAME \p  \* MERGEFORMAT </w:instrText>
    </w:r>
    <w:r>
      <w:fldChar w:fldCharType="separate"/>
    </w:r>
    <w:r>
      <w:t>P:\CHI\ITU-R\CONF-R\CMR15\000\006ADD21ADD08C.docx</w:t>
    </w:r>
    <w:r>
      <w:fldChar w:fldCharType="end"/>
    </w:r>
    <w:r w:rsidR="00A24824">
      <w:rPr>
        <w:rFonts w:hint="eastAsia"/>
        <w:lang w:eastAsia="zh-CN"/>
      </w:rPr>
      <w:t xml:space="preserve"> (</w:t>
    </w:r>
    <w:r w:rsidR="00A24824">
      <w:rPr>
        <w:lang w:eastAsia="zh-CN"/>
      </w:rPr>
      <w:t>387624</w:t>
    </w:r>
    <w:r w:rsidR="00A24824">
      <w:rPr>
        <w:rFonts w:hint="eastAsia"/>
        <w:lang w:eastAsia="zh-CN"/>
      </w:rPr>
      <w:t>)</w:t>
    </w:r>
    <w:r w:rsidR="00A24824">
      <w:tab/>
    </w:r>
    <w:r w:rsidR="00A24824">
      <w:fldChar w:fldCharType="begin"/>
    </w:r>
    <w:r w:rsidR="00A24824">
      <w:instrText xml:space="preserve"> SAVEDATE \@ DD.MM.YY </w:instrText>
    </w:r>
    <w:r w:rsidR="00A24824">
      <w:fldChar w:fldCharType="separate"/>
    </w:r>
    <w:r>
      <w:t>16.10.15</w:t>
    </w:r>
    <w:r w:rsidR="00A24824">
      <w:fldChar w:fldCharType="end"/>
    </w:r>
    <w:r w:rsidR="00A24824">
      <w:tab/>
    </w:r>
    <w:r w:rsidR="00A24824">
      <w:fldChar w:fldCharType="begin"/>
    </w:r>
    <w:r w:rsidR="00A24824">
      <w:instrText xml:space="preserve"> PRINTDATE \@ DD.MM.YY </w:instrText>
    </w:r>
    <w:r w:rsidR="00A24824">
      <w:fldChar w:fldCharType="separate"/>
    </w:r>
    <w:r>
      <w:t>16.10.15</w:t>
    </w:r>
    <w:r w:rsidR="00A248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24824" w:rsidRDefault="00160D44" w:rsidP="00A24824">
    <w:pPr>
      <w:pStyle w:val="Footer"/>
      <w:tabs>
        <w:tab w:val="clear" w:pos="5954"/>
        <w:tab w:val="left" w:pos="6804"/>
      </w:tabs>
    </w:pPr>
    <w:r>
      <w:fldChar w:fldCharType="begin"/>
    </w:r>
    <w:r>
      <w:instrText xml:space="preserve"> FILENAME \p  \* MERGEFORMAT </w:instrText>
    </w:r>
    <w:r>
      <w:fldChar w:fldCharType="separate"/>
    </w:r>
    <w:r>
      <w:t>P:\CHI\ITU-R\CONF-R\CMR15\000\006ADD21ADD08C.docx</w:t>
    </w:r>
    <w:r>
      <w:fldChar w:fldCharType="end"/>
    </w:r>
    <w:r w:rsidR="00A24824">
      <w:rPr>
        <w:rFonts w:hint="eastAsia"/>
        <w:lang w:eastAsia="zh-CN"/>
      </w:rPr>
      <w:t xml:space="preserve"> (</w:t>
    </w:r>
    <w:r w:rsidR="00A24824">
      <w:rPr>
        <w:lang w:eastAsia="zh-CN"/>
      </w:rPr>
      <w:t>387624</w:t>
    </w:r>
    <w:r w:rsidR="00A24824">
      <w:rPr>
        <w:rFonts w:hint="eastAsia"/>
        <w:lang w:eastAsia="zh-CN"/>
      </w:rPr>
      <w:t>)</w:t>
    </w:r>
    <w:r w:rsidR="00A24824">
      <w:tab/>
    </w:r>
    <w:r w:rsidR="00A24824">
      <w:fldChar w:fldCharType="begin"/>
    </w:r>
    <w:r w:rsidR="00A24824">
      <w:instrText xml:space="preserve"> SAVEDATE \@ DD.MM.YY </w:instrText>
    </w:r>
    <w:r w:rsidR="00A24824">
      <w:fldChar w:fldCharType="separate"/>
    </w:r>
    <w:r>
      <w:t>16.10.15</w:t>
    </w:r>
    <w:r w:rsidR="00A24824">
      <w:fldChar w:fldCharType="end"/>
    </w:r>
    <w:r w:rsidR="00A24824">
      <w:tab/>
    </w:r>
    <w:r w:rsidR="00A24824">
      <w:fldChar w:fldCharType="begin"/>
    </w:r>
    <w:r w:rsidR="00A24824">
      <w:instrText xml:space="preserve"> PRINTDATE \@ DD.MM.YY </w:instrText>
    </w:r>
    <w:r w:rsidR="00A24824">
      <w:fldChar w:fldCharType="separate"/>
    </w:r>
    <w:r>
      <w:t>16.10.15</w:t>
    </w:r>
    <w:r w:rsidR="00A248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0D4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6(Add.21)(Add.8)-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5504"/>
    <w:rsid w:val="000954E6"/>
    <w:rsid w:val="000C09BA"/>
    <w:rsid w:val="000C1F1E"/>
    <w:rsid w:val="000C6AA7"/>
    <w:rsid w:val="000E26F6"/>
    <w:rsid w:val="00123C07"/>
    <w:rsid w:val="00133D89"/>
    <w:rsid w:val="00160D44"/>
    <w:rsid w:val="00166859"/>
    <w:rsid w:val="001765EC"/>
    <w:rsid w:val="001853E8"/>
    <w:rsid w:val="00195CB4"/>
    <w:rsid w:val="001B6360"/>
    <w:rsid w:val="001F4EA6"/>
    <w:rsid w:val="00214959"/>
    <w:rsid w:val="002260A6"/>
    <w:rsid w:val="0025066C"/>
    <w:rsid w:val="002742B3"/>
    <w:rsid w:val="002A4C9C"/>
    <w:rsid w:val="002B509B"/>
    <w:rsid w:val="002E2A59"/>
    <w:rsid w:val="002E36D2"/>
    <w:rsid w:val="002E4507"/>
    <w:rsid w:val="00305254"/>
    <w:rsid w:val="003169D2"/>
    <w:rsid w:val="00345C7F"/>
    <w:rsid w:val="00361C86"/>
    <w:rsid w:val="003B4BEF"/>
    <w:rsid w:val="003C6B45"/>
    <w:rsid w:val="0041282E"/>
    <w:rsid w:val="00437869"/>
    <w:rsid w:val="00465A34"/>
    <w:rsid w:val="004C4554"/>
    <w:rsid w:val="004D2DEC"/>
    <w:rsid w:val="004F2BE6"/>
    <w:rsid w:val="00527E8A"/>
    <w:rsid w:val="00542E85"/>
    <w:rsid w:val="00562479"/>
    <w:rsid w:val="00576849"/>
    <w:rsid w:val="005A0ACB"/>
    <w:rsid w:val="005A3205"/>
    <w:rsid w:val="005E08D2"/>
    <w:rsid w:val="005E7FD8"/>
    <w:rsid w:val="0060427B"/>
    <w:rsid w:val="006143B6"/>
    <w:rsid w:val="00622560"/>
    <w:rsid w:val="00630D42"/>
    <w:rsid w:val="00644391"/>
    <w:rsid w:val="00647712"/>
    <w:rsid w:val="00655A56"/>
    <w:rsid w:val="00662E12"/>
    <w:rsid w:val="0067034D"/>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3B3C"/>
    <w:rsid w:val="00824BD6"/>
    <w:rsid w:val="0083672D"/>
    <w:rsid w:val="00844734"/>
    <w:rsid w:val="00845545"/>
    <w:rsid w:val="00865DFB"/>
    <w:rsid w:val="008A7416"/>
    <w:rsid w:val="008B6852"/>
    <w:rsid w:val="008C26FF"/>
    <w:rsid w:val="008D1D14"/>
    <w:rsid w:val="008E1785"/>
    <w:rsid w:val="008E7127"/>
    <w:rsid w:val="008E7C8E"/>
    <w:rsid w:val="008F6E26"/>
    <w:rsid w:val="009028C7"/>
    <w:rsid w:val="00912959"/>
    <w:rsid w:val="009355E1"/>
    <w:rsid w:val="009657F9"/>
    <w:rsid w:val="0099525B"/>
    <w:rsid w:val="009A0F9C"/>
    <w:rsid w:val="009C72B7"/>
    <w:rsid w:val="00A0052C"/>
    <w:rsid w:val="00A223BF"/>
    <w:rsid w:val="00A24824"/>
    <w:rsid w:val="00A31B14"/>
    <w:rsid w:val="00A323DC"/>
    <w:rsid w:val="00A466E6"/>
    <w:rsid w:val="00A815BE"/>
    <w:rsid w:val="00AA5DA1"/>
    <w:rsid w:val="00AE369F"/>
    <w:rsid w:val="00B026CB"/>
    <w:rsid w:val="00B711CC"/>
    <w:rsid w:val="00B851D4"/>
    <w:rsid w:val="00B868FC"/>
    <w:rsid w:val="00B95072"/>
    <w:rsid w:val="00BB26CD"/>
    <w:rsid w:val="00BB4446"/>
    <w:rsid w:val="00BB6F30"/>
    <w:rsid w:val="00C07239"/>
    <w:rsid w:val="00C364B1"/>
    <w:rsid w:val="00C47D87"/>
    <w:rsid w:val="00C609C8"/>
    <w:rsid w:val="00C627F9"/>
    <w:rsid w:val="00C6584D"/>
    <w:rsid w:val="00C929E0"/>
    <w:rsid w:val="00CB4E5A"/>
    <w:rsid w:val="00CC73D7"/>
    <w:rsid w:val="00CD4A8B"/>
    <w:rsid w:val="00CF0AD7"/>
    <w:rsid w:val="00CF0BE1"/>
    <w:rsid w:val="00D52A14"/>
    <w:rsid w:val="00D6206A"/>
    <w:rsid w:val="00D71A04"/>
    <w:rsid w:val="00D74599"/>
    <w:rsid w:val="00D8644F"/>
    <w:rsid w:val="00DA0469"/>
    <w:rsid w:val="00DD13B7"/>
    <w:rsid w:val="00DE31BC"/>
    <w:rsid w:val="00DF3B0C"/>
    <w:rsid w:val="00E07EE5"/>
    <w:rsid w:val="00E14984"/>
    <w:rsid w:val="00E22A25"/>
    <w:rsid w:val="00E5597B"/>
    <w:rsid w:val="00E560F1"/>
    <w:rsid w:val="00E92319"/>
    <w:rsid w:val="00EF64BB"/>
    <w:rsid w:val="00F36F36"/>
    <w:rsid w:val="00F837F4"/>
    <w:rsid w:val="00F963E4"/>
    <w:rsid w:val="00FA402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D01363-8D0C-403B-BB15-767646D9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locked/>
    <w:rsid w:val="00D8644F"/>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0768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R15-WRC15-C-0006!A21-A8!MSW-C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DD145-62CE-4931-A8FA-5AF832B4DB2B}">
  <ds:schemaRefs>
    <ds:schemaRef ds:uri="http://schemas.openxmlformats.org/package/2006/metadata/core-properties"/>
    <ds:schemaRef ds:uri="996b2e75-67fd-4955-a3b0-5ab9934cb50b"/>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920</Words>
  <Characters>1050</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R15-WRC15-C-0006!A21-A8!MSW-C</vt:lpstr>
    </vt:vector>
  </TitlesOfParts>
  <Manager>General Secretariat - Pool</Manager>
  <Company>International Telecommunication Union (ITU)</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R15-WRC15-C-0006!A21-A8!MSW-C</dc:title>
  <dc:subject>World Radiocommunication Conference - 2015</dc:subject>
  <dc:creator>Documents Proposals Manager (DPM)</dc:creator>
  <cp:keywords>DPM_v5.2015.9.16_prod</cp:keywords>
  <cp:lastModifiedBy>Xu, Hui</cp:lastModifiedBy>
  <cp:revision>12</cp:revision>
  <cp:lastPrinted>2015-10-16T14:06:00Z</cp:lastPrinted>
  <dcterms:created xsi:type="dcterms:W3CDTF">2015-10-13T14:26:00Z</dcterms:created>
  <dcterms:modified xsi:type="dcterms:W3CDTF">2015-10-16T14:07:00Z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