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9309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793091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93091" w:rsidRDefault="003E1608" w:rsidP="00C03E94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93091">
              <w:rPr>
                <w:rFonts w:ascii="Verdana" w:hAnsi="Verdana"/>
                <w:rtl/>
              </w:rPr>
              <w:t xml:space="preserve">الإضافة </w:t>
            </w:r>
            <w:r w:rsidRPr="00793091">
              <w:rPr>
                <w:rFonts w:ascii="Verdana" w:hAnsi="Verdana"/>
              </w:rPr>
              <w:t>2</w:t>
            </w:r>
            <w:r w:rsidRPr="00793091">
              <w:rPr>
                <w:rFonts w:ascii="Verdana" w:hAnsi="Verdana"/>
              </w:rPr>
              <w:br/>
            </w:r>
            <w:r w:rsidRPr="00793091">
              <w:rPr>
                <w:rFonts w:ascii="Verdana" w:hAnsi="Verdana"/>
                <w:rtl/>
              </w:rPr>
              <w:t>للوثيقة</w:t>
            </w:r>
            <w:r w:rsidR="00C03E94" w:rsidRPr="00793091">
              <w:rPr>
                <w:rFonts w:ascii="Verdana" w:hAnsi="Verdana" w:hint="eastAsia"/>
                <w:rtl/>
              </w:rPr>
              <w:t> </w:t>
            </w:r>
            <w:r w:rsidRPr="00793091">
              <w:rPr>
                <w:rFonts w:ascii="Verdana" w:hAnsi="Verdana"/>
              </w:rPr>
              <w:t>6(Add.1)-</w:t>
            </w:r>
            <w:r w:rsidR="00C03E94" w:rsidRPr="00793091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9309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9309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793091">
              <w:rPr>
                <w:rFonts w:ascii="Verdana" w:eastAsia="SimSun" w:hAnsi="Verdana"/>
              </w:rPr>
              <w:t>5</w:t>
            </w:r>
            <w:r w:rsidRPr="00793091">
              <w:rPr>
                <w:rFonts w:ascii="Verdana" w:eastAsia="SimSun" w:hAnsi="Verdana"/>
                <w:rtl/>
              </w:rPr>
              <w:t xml:space="preserve"> أكتوبر </w:t>
            </w:r>
            <w:r w:rsidRPr="00793091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9309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9309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793091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03E94" w:rsidP="0079309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93091">
              <w:rPr>
                <w:rFonts w:hint="cs"/>
                <w:rtl/>
              </w:rPr>
              <w:t>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03E9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C03E94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E55AB5" w:rsidP="00C03E9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51A8A" w:rsidRPr="002A3EBE" w:rsidRDefault="00FA2CCE" w:rsidP="002A3EBE">
      <w:pPr>
        <w:jc w:val="center"/>
        <w:rPr>
          <w:rFonts w:eastAsia="SimSun"/>
          <w:sz w:val="28"/>
          <w:szCs w:val="40"/>
        </w:rPr>
      </w:pPr>
      <w:r w:rsidRPr="002A3EBE">
        <w:rPr>
          <w:rFonts w:eastAsia="SimSun"/>
          <w:sz w:val="28"/>
          <w:szCs w:val="40"/>
          <w:u w:val="single"/>
        </w:rPr>
        <w:t>NOC</w:t>
      </w:r>
      <w:r w:rsidRPr="002A3EBE">
        <w:rPr>
          <w:rFonts w:eastAsia="SimSun"/>
          <w:sz w:val="28"/>
          <w:szCs w:val="40"/>
          <w:rtl/>
        </w:rPr>
        <w:tab/>
      </w:r>
      <w:r w:rsidRPr="002A3EBE">
        <w:rPr>
          <w:rFonts w:eastAsia="SimSun"/>
          <w:sz w:val="28"/>
          <w:szCs w:val="40"/>
        </w:rPr>
        <w:t>MHz</w:t>
      </w:r>
      <w:r w:rsidR="00286B0C" w:rsidRPr="002A3EBE">
        <w:rPr>
          <w:rFonts w:eastAsia="SimSun"/>
          <w:sz w:val="28"/>
          <w:szCs w:val="40"/>
        </w:rPr>
        <w:t> </w:t>
      </w:r>
      <w:r w:rsidRPr="002A3EBE">
        <w:rPr>
          <w:rFonts w:eastAsia="SimSun"/>
          <w:sz w:val="28"/>
          <w:szCs w:val="40"/>
        </w:rPr>
        <w:t>4 500</w:t>
      </w:r>
      <w:r w:rsidRPr="002A3EBE">
        <w:rPr>
          <w:rFonts w:eastAsia="SimSun"/>
          <w:sz w:val="28"/>
          <w:szCs w:val="40"/>
        </w:rPr>
        <w:noBreakHyphen/>
        <w:t>4 400</w:t>
      </w:r>
      <w:r w:rsidRPr="002A3EBE">
        <w:rPr>
          <w:rFonts w:eastAsia="SimSun" w:hint="cs"/>
          <w:sz w:val="28"/>
          <w:szCs w:val="40"/>
          <w:rtl/>
        </w:rPr>
        <w:t xml:space="preserve"> و</w:t>
      </w:r>
      <w:r w:rsidRPr="002A3EBE">
        <w:rPr>
          <w:rFonts w:eastAsia="SimSun"/>
          <w:sz w:val="28"/>
          <w:szCs w:val="40"/>
        </w:rPr>
        <w:t>MHz 4 990</w:t>
      </w:r>
      <w:r w:rsidRPr="002A3EBE">
        <w:rPr>
          <w:rFonts w:eastAsia="SimSun"/>
          <w:sz w:val="28"/>
          <w:szCs w:val="40"/>
        </w:rPr>
        <w:noBreakHyphen/>
        <w:t>4 800</w:t>
      </w:r>
    </w:p>
    <w:p w:rsidR="00F16602" w:rsidRDefault="00C03E94" w:rsidP="00C03E94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C03E94" w:rsidRDefault="00342F39" w:rsidP="00286B0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أقر المؤتمر العالمي للاتصالات الراديوية لعام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(WRC-12)</w:t>
      </w:r>
      <w:r>
        <w:rPr>
          <w:rFonts w:hint="cs"/>
          <w:rtl/>
          <w:lang w:bidi="ar-EG"/>
        </w:rPr>
        <w:t xml:space="preserve"> الحاجة إلى طيف راديوي إضافي لدعم زيادة حركة البيانات المتنقلة </w:t>
      </w:r>
      <w:r w:rsidR="009444E2">
        <w:rPr>
          <w:rFonts w:hint="cs"/>
          <w:rtl/>
          <w:lang w:bidi="ar-EG"/>
        </w:rPr>
        <w:t>وأدرج</w:t>
      </w:r>
      <w:r>
        <w:rPr>
          <w:rFonts w:hint="cs"/>
          <w:rtl/>
          <w:lang w:bidi="ar-EG"/>
        </w:rPr>
        <w:t xml:space="preserve"> في بند جدول أعمال المؤتمر </w:t>
      </w:r>
      <w:r>
        <w:rPr>
          <w:lang w:bidi="ar-EG"/>
        </w:rPr>
        <w:t>WRC-15</w:t>
      </w:r>
      <w:r>
        <w:rPr>
          <w:rFonts w:hint="cs"/>
          <w:rtl/>
          <w:lang w:bidi="ar-EG"/>
        </w:rPr>
        <w:t xml:space="preserve"> النظر في منح توزيع</w:t>
      </w:r>
      <w:r w:rsidR="000D66B7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إضافية من الطيف للتطبيقات المتنقلة عريضة النطاق للأرض. وأنشأ الاتحاد فريق المهام المشترك </w:t>
      </w:r>
      <w:r>
        <w:rPr>
          <w:lang w:bidi="ar-EG"/>
        </w:rPr>
        <w:t>(JTG)</w:t>
      </w:r>
      <w:r>
        <w:rPr>
          <w:rFonts w:hint="cs"/>
          <w:rtl/>
          <w:lang w:bidi="ar-EG"/>
        </w:rPr>
        <w:t xml:space="preserve"> </w:t>
      </w:r>
      <w:r w:rsidR="00286B0C">
        <w:rPr>
          <w:lang w:bidi="ar-EG"/>
        </w:rPr>
        <w:t>4-5-6-7</w:t>
      </w:r>
      <w:r>
        <w:rPr>
          <w:rFonts w:hint="cs"/>
          <w:rtl/>
          <w:lang w:bidi="ar-EG"/>
        </w:rPr>
        <w:t xml:space="preserve"> لإجراء دراسات التقاسم وإعداد مشروع نص الاجتماع التحضيري للمؤتمر </w:t>
      </w:r>
      <w:r w:rsidR="000D66B7">
        <w:rPr>
          <w:rFonts w:hint="cs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البند </w:t>
      </w:r>
      <w:r>
        <w:rPr>
          <w:lang w:bidi="ar-EG"/>
        </w:rPr>
        <w:t>1.1</w:t>
      </w:r>
      <w:r>
        <w:rPr>
          <w:rFonts w:hint="cs"/>
          <w:rtl/>
          <w:lang w:bidi="ar-EG"/>
        </w:rPr>
        <w:t xml:space="preserve"> من جدول أعمال المؤتمر</w:t>
      </w:r>
      <w:r w:rsidR="00286B0C">
        <w:rPr>
          <w:rFonts w:hint="eastAsia"/>
          <w:rtl/>
          <w:lang w:bidi="ar-EG"/>
        </w:rPr>
        <w:t> </w:t>
      </w:r>
      <w:r>
        <w:rPr>
          <w:lang w:bidi="ar-EG"/>
        </w:rPr>
        <w:t>WRC-15</w:t>
      </w:r>
      <w:r>
        <w:rPr>
          <w:rFonts w:hint="cs"/>
          <w:rtl/>
          <w:lang w:bidi="ar-EG"/>
        </w:rPr>
        <w:t>.</w:t>
      </w:r>
    </w:p>
    <w:p w:rsidR="00C03E94" w:rsidRPr="00CF791F" w:rsidRDefault="00354E5F" w:rsidP="00DD3CEE">
      <w:pPr>
        <w:rPr>
          <w:rtl/>
          <w:lang w:bidi="ar-EG"/>
        </w:rPr>
      </w:pPr>
      <w:r>
        <w:rPr>
          <w:rFonts w:hint="cs"/>
          <w:rtl/>
          <w:lang w:bidi="ar-EG"/>
        </w:rPr>
        <w:t>يُوزع نطاق</w:t>
      </w:r>
      <w:r w:rsidR="002876E2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 التردد </w:t>
      </w:r>
      <w:r>
        <w:rPr>
          <w:lang w:bidi="ar-EG"/>
        </w:rPr>
        <w:t>MHz 4 500-4 400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4 990-4 800</w:t>
      </w:r>
      <w:r>
        <w:rPr>
          <w:rFonts w:hint="cs"/>
          <w:rtl/>
          <w:lang w:bidi="ar-EG"/>
        </w:rPr>
        <w:t xml:space="preserve"> للخدمة الثابتة </w:t>
      </w:r>
      <w:r>
        <w:rPr>
          <w:lang w:bidi="ar-EG"/>
        </w:rPr>
        <w:t>(FS)</w:t>
      </w:r>
      <w:r>
        <w:rPr>
          <w:rFonts w:hint="cs"/>
          <w:rtl/>
          <w:lang w:bidi="ar-EG"/>
        </w:rPr>
        <w:t xml:space="preserve"> والخدمة المتنقلة </w:t>
      </w:r>
      <w:r>
        <w:rPr>
          <w:lang w:bidi="ar-EG"/>
        </w:rPr>
        <w:t>(MS)</w:t>
      </w:r>
      <w:r>
        <w:rPr>
          <w:rFonts w:hint="cs"/>
          <w:rtl/>
          <w:lang w:bidi="ar-EG"/>
        </w:rPr>
        <w:t xml:space="preserve"> على أساس أولي مشترك.</w:t>
      </w:r>
      <w:r w:rsidR="00F929BF">
        <w:rPr>
          <w:rFonts w:hint="cs"/>
          <w:rtl/>
          <w:lang w:bidi="ar-EG"/>
        </w:rPr>
        <w:t xml:space="preserve"> وأجرى قطاع الاتصالات الراديوية دراسات التوافق بين الاتصالات المتنقلة الدولية والخدمة الثابتة، وكذلك بين أنظمة الاتصالات المتنقلة الدولية وأنظمة الخدمة المتنقلة العاملة في مدى التردد </w:t>
      </w:r>
      <w:r w:rsidR="00F929BF">
        <w:rPr>
          <w:lang w:bidi="ar-EG"/>
        </w:rPr>
        <w:t>MHz 4 990-4 40</w:t>
      </w:r>
      <w:bookmarkStart w:id="1" w:name="_GoBack"/>
      <w:bookmarkEnd w:id="1"/>
      <w:r w:rsidR="00F929BF">
        <w:rPr>
          <w:lang w:bidi="ar-EG"/>
        </w:rPr>
        <w:t>0</w:t>
      </w:r>
      <w:r w:rsidR="00F929BF">
        <w:rPr>
          <w:rFonts w:hint="cs"/>
          <w:rtl/>
          <w:lang w:bidi="ar-EG"/>
        </w:rPr>
        <w:t xml:space="preserve">. </w:t>
      </w:r>
      <w:r w:rsidR="00CF791F">
        <w:rPr>
          <w:rFonts w:hint="cs"/>
          <w:rtl/>
          <w:lang w:bidi="ar-EG"/>
        </w:rPr>
        <w:t>ويتضمن</w:t>
      </w:r>
      <w:r w:rsidR="005322D4">
        <w:rPr>
          <w:rFonts w:hint="cs"/>
          <w:rtl/>
          <w:lang w:bidi="ar-EG"/>
        </w:rPr>
        <w:t xml:space="preserve"> تقرير رئيس فريق المهام المشترك </w:t>
      </w:r>
      <w:r w:rsidR="00286B0C">
        <w:rPr>
          <w:lang w:bidi="ar-EG"/>
        </w:rPr>
        <w:t>4-5-6-7</w:t>
      </w:r>
      <w:r w:rsidR="0006239B">
        <w:rPr>
          <w:rFonts w:hint="cs"/>
          <w:rtl/>
          <w:lang w:bidi="ar-EG"/>
        </w:rPr>
        <w:t xml:space="preserve"> دراسات </w:t>
      </w:r>
      <w:r w:rsidR="00CF791F">
        <w:rPr>
          <w:rFonts w:hint="cs"/>
          <w:rtl/>
          <w:lang w:bidi="ar-EG"/>
        </w:rPr>
        <w:t>التوافق</w:t>
      </w:r>
      <w:r w:rsidR="0006239B">
        <w:rPr>
          <w:rFonts w:hint="cs"/>
          <w:rtl/>
          <w:lang w:bidi="ar-EG"/>
        </w:rPr>
        <w:t xml:space="preserve"> بين أنظمة الاتصالات المتنقلة والخدمة الثابتة</w:t>
      </w:r>
      <w:r w:rsidR="00CF791F">
        <w:rPr>
          <w:rFonts w:hint="cs"/>
          <w:rtl/>
          <w:lang w:bidi="ar-EG"/>
        </w:rPr>
        <w:t xml:space="preserve"> في الملحق</w:t>
      </w:r>
      <w:r w:rsidR="00DD3CEE">
        <w:rPr>
          <w:rFonts w:hint="eastAsia"/>
          <w:rtl/>
          <w:lang w:bidi="ar-EG"/>
        </w:rPr>
        <w:t> </w:t>
      </w:r>
      <w:r w:rsidR="00CF791F">
        <w:rPr>
          <w:lang w:bidi="ar-EG"/>
        </w:rPr>
        <w:t>18</w:t>
      </w:r>
      <w:r w:rsidR="00CF791F">
        <w:rPr>
          <w:rFonts w:hint="cs"/>
          <w:rtl/>
          <w:lang w:bidi="ar-EG"/>
        </w:rPr>
        <w:t xml:space="preserve"> ودراسات التوافق بين أنظمة الاتصالات المتنقلة والخدمة المتنقلة في الملحق</w:t>
      </w:r>
      <w:r w:rsidR="00DD3CEE">
        <w:rPr>
          <w:rFonts w:hint="eastAsia"/>
          <w:rtl/>
          <w:lang w:bidi="ar-EG"/>
        </w:rPr>
        <w:t> </w:t>
      </w:r>
      <w:r w:rsidR="00CF791F">
        <w:rPr>
          <w:lang w:bidi="ar-EG"/>
        </w:rPr>
        <w:t>33</w:t>
      </w:r>
      <w:r w:rsidR="00CF791F">
        <w:rPr>
          <w:rFonts w:hint="cs"/>
          <w:rtl/>
          <w:lang w:bidi="ar-EG"/>
        </w:rPr>
        <w:t xml:space="preserve">. ووافقت لجنة الدراسات </w:t>
      </w:r>
      <w:r w:rsidR="001616DF">
        <w:rPr>
          <w:lang w:bidi="ar-EG"/>
        </w:rPr>
        <w:t>(SG) </w:t>
      </w:r>
      <w:r w:rsidR="00CF791F">
        <w:rPr>
          <w:lang w:bidi="ar-EG"/>
        </w:rPr>
        <w:t>5</w:t>
      </w:r>
      <w:r w:rsidR="00CF791F">
        <w:rPr>
          <w:rFonts w:hint="cs"/>
          <w:rtl/>
          <w:lang w:bidi="ar-EG"/>
        </w:rPr>
        <w:t xml:space="preserve"> على دراسات التقاسم بين الاتصالات المتنقلة الدولية والخدمة الثابتة في اجتماعها في</w:t>
      </w:r>
      <w:r w:rsidR="00DD3CEE">
        <w:rPr>
          <w:rFonts w:hint="eastAsia"/>
          <w:rtl/>
          <w:lang w:bidi="ar-EG"/>
        </w:rPr>
        <w:t> </w:t>
      </w:r>
      <w:r w:rsidR="00CF791F">
        <w:rPr>
          <w:lang w:bidi="ar-EG"/>
        </w:rPr>
        <w:t>11-10</w:t>
      </w:r>
      <w:r w:rsidR="00CF791F">
        <w:rPr>
          <w:rFonts w:hint="cs"/>
          <w:rtl/>
          <w:lang w:bidi="ar-EG"/>
        </w:rPr>
        <w:t xml:space="preserve"> نوفمبر</w:t>
      </w:r>
      <w:r w:rsidR="00DD3CEE">
        <w:rPr>
          <w:rFonts w:hint="eastAsia"/>
          <w:rtl/>
          <w:lang w:bidi="ar-EG"/>
        </w:rPr>
        <w:t> </w:t>
      </w:r>
      <w:r w:rsidR="00CF791F">
        <w:rPr>
          <w:lang w:bidi="ar-EG"/>
        </w:rPr>
        <w:t>2014</w:t>
      </w:r>
      <w:r w:rsidR="00CF791F">
        <w:rPr>
          <w:rFonts w:hint="cs"/>
          <w:rtl/>
          <w:lang w:bidi="ar-EG"/>
        </w:rPr>
        <w:t xml:space="preserve">. ولم يوافق فريق المهام المشترك على دراسات التقاسم بين الاتصالات المتنقلة الدولية والخدمة المتنقلة؛ وبالتالي، لم تأخذ لجنة الدراسات </w:t>
      </w:r>
      <w:r w:rsidR="00CF791F">
        <w:rPr>
          <w:lang w:bidi="ar-EG"/>
        </w:rPr>
        <w:t>5</w:t>
      </w:r>
      <w:r w:rsidR="00CF791F">
        <w:rPr>
          <w:rFonts w:hint="cs"/>
          <w:rtl/>
          <w:lang w:bidi="ar-EG"/>
        </w:rPr>
        <w:t xml:space="preserve"> هذه الدراسات بعين</w:t>
      </w:r>
      <w:r w:rsidR="00DD3CEE">
        <w:rPr>
          <w:rFonts w:hint="eastAsia"/>
          <w:rtl/>
          <w:lang w:bidi="ar-EG"/>
        </w:rPr>
        <w:t> </w:t>
      </w:r>
      <w:r w:rsidR="00CF791F">
        <w:rPr>
          <w:rFonts w:hint="cs"/>
          <w:rtl/>
          <w:lang w:bidi="ar-EG"/>
        </w:rPr>
        <w:t>الاعتبار.</w:t>
      </w:r>
    </w:p>
    <w:p w:rsidR="00F51A8A" w:rsidRPr="008A61B7" w:rsidRDefault="003806EE" w:rsidP="00E96888">
      <w:pPr>
        <w:rPr>
          <w:spacing w:val="-2"/>
          <w:rtl/>
          <w:lang w:bidi="ar-EG"/>
        </w:rPr>
      </w:pPr>
      <w:r>
        <w:rPr>
          <w:rFonts w:hint="cs"/>
          <w:spacing w:val="-2"/>
          <w:rtl/>
        </w:rPr>
        <w:lastRenderedPageBreak/>
        <w:t>وتبين دراسات قطاع الاتصالات الراديوية عموماً أنه سيكون من المطلوب مسافات فصل كبيرة (مئات الكيلومترات) بين محطات الاتصالات المتنقلة الدولية ومحطات الخدمتين الثابتة والمتنقلة.</w:t>
      </w:r>
      <w:r w:rsidR="00D6263A">
        <w:rPr>
          <w:rFonts w:hint="cs"/>
          <w:spacing w:val="-2"/>
          <w:rtl/>
        </w:rPr>
        <w:t xml:space="preserve"> </w:t>
      </w:r>
      <w:r w:rsidR="001A3485">
        <w:rPr>
          <w:rFonts w:hint="cs"/>
          <w:spacing w:val="-2"/>
          <w:rtl/>
        </w:rPr>
        <w:t>و</w:t>
      </w:r>
      <w:r w:rsidR="00D6263A">
        <w:rPr>
          <w:rFonts w:hint="cs"/>
          <w:spacing w:val="-2"/>
          <w:rtl/>
        </w:rPr>
        <w:t xml:space="preserve">تظهر هذه النتائج أن تقاسم التردد </w:t>
      </w:r>
      <w:r w:rsidR="001A3485">
        <w:rPr>
          <w:rFonts w:hint="cs"/>
          <w:spacing w:val="-2"/>
          <w:rtl/>
        </w:rPr>
        <w:t xml:space="preserve">نفسه </w:t>
      </w:r>
      <w:r w:rsidR="00D6263A">
        <w:rPr>
          <w:rFonts w:hint="cs"/>
          <w:spacing w:val="-2"/>
          <w:rtl/>
        </w:rPr>
        <w:t>والتغطية المشتركة صعب أو غير ممكن بين أنظمة الخدمة الثابتة أو الخدمة المتنقلة و</w:t>
      </w:r>
      <w:r w:rsidR="008778EA">
        <w:rPr>
          <w:rFonts w:hint="cs"/>
          <w:spacing w:val="-2"/>
          <w:rtl/>
        </w:rPr>
        <w:t xml:space="preserve">أنظمة </w:t>
      </w:r>
      <w:r w:rsidR="00D6263A">
        <w:rPr>
          <w:rFonts w:hint="cs"/>
          <w:spacing w:val="-2"/>
          <w:rtl/>
        </w:rPr>
        <w:t>الاتصالات المتنقلة الدولية في</w:t>
      </w:r>
      <w:r w:rsidR="00DD3CEE">
        <w:rPr>
          <w:rFonts w:hint="eastAsia"/>
          <w:rtl/>
          <w:lang w:bidi="ar-EG"/>
        </w:rPr>
        <w:t> </w:t>
      </w:r>
      <w:r w:rsidR="00D6263A">
        <w:rPr>
          <w:rFonts w:hint="cs"/>
          <w:spacing w:val="-2"/>
          <w:rtl/>
        </w:rPr>
        <w:t>نفس المنطقة الجغرافية.</w:t>
      </w:r>
      <w:r w:rsidR="00162668">
        <w:rPr>
          <w:rFonts w:hint="cs"/>
          <w:spacing w:val="-2"/>
          <w:rtl/>
        </w:rPr>
        <w:t xml:space="preserve"> وتبين دراسات التقاسم بين الاتصالات المتنقلة الدولية والخدمة المتنقلة أن</w:t>
      </w:r>
      <w:r w:rsidR="00162668">
        <w:rPr>
          <w:rFonts w:hint="cs"/>
          <w:spacing w:val="-2"/>
          <w:rtl/>
          <w:lang w:bidi="ar-EG"/>
        </w:rPr>
        <w:t xml:space="preserve"> هناك حاجة إلى </w:t>
      </w:r>
      <w:r w:rsidR="00162668">
        <w:rPr>
          <w:rFonts w:hint="cs"/>
          <w:spacing w:val="-2"/>
          <w:rtl/>
        </w:rPr>
        <w:t xml:space="preserve">مسافات فصل قصوى </w:t>
      </w:r>
      <w:r w:rsidR="00570267">
        <w:rPr>
          <w:rFonts w:hint="cs"/>
          <w:spacing w:val="-2"/>
          <w:rtl/>
        </w:rPr>
        <w:t>بما</w:t>
      </w:r>
      <w:r w:rsidR="00DD3CEE">
        <w:rPr>
          <w:rFonts w:hint="eastAsia"/>
          <w:rtl/>
          <w:lang w:bidi="ar-EG"/>
        </w:rPr>
        <w:t> </w:t>
      </w:r>
      <w:r w:rsidR="00570267">
        <w:rPr>
          <w:rFonts w:hint="cs"/>
          <w:spacing w:val="-2"/>
          <w:rtl/>
        </w:rPr>
        <w:t>في</w:t>
      </w:r>
      <w:r w:rsidR="00DD3CEE">
        <w:rPr>
          <w:rFonts w:hint="eastAsia"/>
          <w:rtl/>
          <w:lang w:bidi="ar-EG"/>
        </w:rPr>
        <w:t> </w:t>
      </w:r>
      <w:r w:rsidR="00570267">
        <w:rPr>
          <w:rFonts w:hint="cs"/>
          <w:spacing w:val="-2"/>
          <w:rtl/>
        </w:rPr>
        <w:t xml:space="preserve">ذلك مسافات </w:t>
      </w:r>
      <w:r w:rsidR="00FE1C5F">
        <w:rPr>
          <w:rFonts w:hint="cs"/>
          <w:spacing w:val="-2"/>
          <w:rtl/>
        </w:rPr>
        <w:t>تفوق</w:t>
      </w:r>
      <w:r w:rsidR="00DD3CEE">
        <w:rPr>
          <w:rFonts w:hint="eastAsia"/>
          <w:rtl/>
          <w:lang w:bidi="ar-EG"/>
        </w:rPr>
        <w:t> </w:t>
      </w:r>
      <w:r w:rsidR="00162668">
        <w:rPr>
          <w:spacing w:val="-2"/>
        </w:rPr>
        <w:t>km 500</w:t>
      </w:r>
      <w:r w:rsidR="00162668">
        <w:rPr>
          <w:rFonts w:hint="cs"/>
          <w:spacing w:val="-2"/>
          <w:rtl/>
          <w:lang w:bidi="ar-EG"/>
        </w:rPr>
        <w:t xml:space="preserve">. </w:t>
      </w:r>
      <w:r w:rsidR="008B29BD">
        <w:rPr>
          <w:rFonts w:hint="cs"/>
          <w:spacing w:val="-2"/>
          <w:rtl/>
          <w:lang w:bidi="ar-EG"/>
        </w:rPr>
        <w:t xml:space="preserve">وعلاوة على ذلك، لم يوافق فريق المهام المشترك على أحد الشروط الأساسية للدراسات المتعلقة بالخدمة المتنقلة والاتصالات المتنقلة الدولية فيما يخص النطاقين </w:t>
      </w:r>
      <w:r w:rsidR="008B29BD">
        <w:rPr>
          <w:spacing w:val="-2"/>
          <w:lang w:bidi="ar-EG"/>
        </w:rPr>
        <w:t>MHz 4 500-4 400</w:t>
      </w:r>
      <w:r w:rsidR="008B29BD">
        <w:rPr>
          <w:rFonts w:hint="cs"/>
          <w:spacing w:val="-2"/>
          <w:rtl/>
          <w:lang w:bidi="ar-EG"/>
        </w:rPr>
        <w:t xml:space="preserve"> و</w:t>
      </w:r>
      <w:r w:rsidR="008B29BD">
        <w:rPr>
          <w:spacing w:val="-2"/>
          <w:lang w:bidi="ar-EG"/>
        </w:rPr>
        <w:t>MHz 4 990-4 800</w:t>
      </w:r>
      <w:r w:rsidR="008B29BD">
        <w:rPr>
          <w:rFonts w:hint="cs"/>
          <w:spacing w:val="-2"/>
          <w:rtl/>
          <w:lang w:bidi="ar-EG"/>
        </w:rPr>
        <w:t xml:space="preserve">؛ </w:t>
      </w:r>
      <w:r w:rsidR="00532118">
        <w:rPr>
          <w:rFonts w:hint="cs"/>
          <w:spacing w:val="-2"/>
          <w:rtl/>
          <w:lang w:bidi="ar-EG"/>
        </w:rPr>
        <w:t>لا سيما إخلاء الأنظمة الحالية لأجزاء من مدى التردد للسماح لتطبيقات الاتصالات المتنقلة الدولية باستخدامها.</w:t>
      </w:r>
      <w:r w:rsidR="00A24C8F">
        <w:rPr>
          <w:rFonts w:hint="cs"/>
          <w:spacing w:val="-2"/>
          <w:rtl/>
          <w:lang w:bidi="ar-EG"/>
        </w:rPr>
        <w:t xml:space="preserve"> وأشارت </w:t>
      </w:r>
      <w:r w:rsidR="00B00EC5">
        <w:rPr>
          <w:rFonts w:hint="cs"/>
          <w:spacing w:val="-2"/>
          <w:rtl/>
          <w:lang w:bidi="ar-EG"/>
        </w:rPr>
        <w:t>ال</w:t>
      </w:r>
      <w:r w:rsidR="00A24C8F">
        <w:rPr>
          <w:rFonts w:hint="cs"/>
          <w:spacing w:val="-2"/>
          <w:rtl/>
          <w:lang w:bidi="ar-EG"/>
        </w:rPr>
        <w:t xml:space="preserve">دراسات </w:t>
      </w:r>
      <w:r w:rsidR="00B00EC5">
        <w:rPr>
          <w:rFonts w:hint="cs"/>
          <w:spacing w:val="-2"/>
          <w:rtl/>
          <w:lang w:bidi="ar-EG"/>
        </w:rPr>
        <w:t xml:space="preserve">التي أجراها </w:t>
      </w:r>
      <w:r w:rsidR="00A24C8F">
        <w:rPr>
          <w:rFonts w:hint="cs"/>
          <w:spacing w:val="-2"/>
          <w:rtl/>
          <w:lang w:bidi="ar-EG"/>
        </w:rPr>
        <w:t xml:space="preserve">فريق المهام المشترك إلى أن </w:t>
      </w:r>
      <w:r w:rsidR="00B00EC5">
        <w:rPr>
          <w:rFonts w:hint="cs"/>
          <w:spacing w:val="-2"/>
          <w:rtl/>
          <w:lang w:bidi="ar-EG"/>
        </w:rPr>
        <w:t>هذا الأمر</w:t>
      </w:r>
      <w:r w:rsidR="00A24C8F">
        <w:rPr>
          <w:rFonts w:hint="cs"/>
          <w:spacing w:val="-2"/>
          <w:rtl/>
          <w:lang w:bidi="ar-EG"/>
        </w:rPr>
        <w:t xml:space="preserve"> سيؤدي إلى خسارة الطيف من أجل الخدمات الحالية.</w:t>
      </w:r>
      <w:r w:rsidR="008A61B7">
        <w:rPr>
          <w:rFonts w:hint="cs"/>
          <w:spacing w:val="-2"/>
          <w:rtl/>
          <w:lang w:bidi="ar-EG"/>
        </w:rPr>
        <w:t xml:space="preserve"> وترى الولايات المتحدة أن هذا</w:t>
      </w:r>
      <w:r w:rsidR="00B00EC5">
        <w:rPr>
          <w:rFonts w:hint="cs"/>
          <w:spacing w:val="-2"/>
          <w:rtl/>
          <w:lang w:bidi="ar-EG"/>
        </w:rPr>
        <w:t xml:space="preserve"> </w:t>
      </w:r>
      <w:r w:rsidR="008A61B7">
        <w:rPr>
          <w:rFonts w:hint="cs"/>
          <w:spacing w:val="-2"/>
          <w:rtl/>
          <w:lang w:bidi="ar-EG"/>
        </w:rPr>
        <w:t>سيؤثر سلباً على</w:t>
      </w:r>
      <w:r w:rsidR="00E96888">
        <w:rPr>
          <w:rFonts w:hint="eastAsia"/>
          <w:spacing w:val="-2"/>
          <w:rtl/>
          <w:lang w:bidi="ar-EG"/>
        </w:rPr>
        <w:t> </w:t>
      </w:r>
      <w:r w:rsidR="008A61B7">
        <w:rPr>
          <w:rFonts w:hint="cs"/>
          <w:spacing w:val="-2"/>
          <w:rtl/>
          <w:lang w:bidi="ar-EG"/>
        </w:rPr>
        <w:t xml:space="preserve">التشغيل والتخطيط المستقبلي </w:t>
      </w:r>
      <w:r w:rsidR="00D07F73">
        <w:rPr>
          <w:rFonts w:hint="cs"/>
          <w:spacing w:val="-2"/>
          <w:rtl/>
          <w:lang w:bidi="ar-EG"/>
        </w:rPr>
        <w:t>ل</w:t>
      </w:r>
      <w:r w:rsidR="008A61B7">
        <w:rPr>
          <w:rFonts w:hint="cs"/>
          <w:spacing w:val="-2"/>
          <w:rtl/>
          <w:lang w:bidi="ar-EG"/>
        </w:rPr>
        <w:t>لاستخدامات</w:t>
      </w:r>
      <w:r w:rsidR="00B00EC5">
        <w:rPr>
          <w:rFonts w:hint="cs"/>
          <w:spacing w:val="-2"/>
          <w:rtl/>
          <w:lang w:bidi="ar-EG"/>
        </w:rPr>
        <w:t xml:space="preserve"> الحالية</w:t>
      </w:r>
      <w:r w:rsidR="008A61B7">
        <w:rPr>
          <w:rFonts w:hint="cs"/>
          <w:spacing w:val="-2"/>
          <w:rtl/>
          <w:lang w:bidi="ar-EG"/>
        </w:rPr>
        <w:t xml:space="preserve"> </w:t>
      </w:r>
      <w:r w:rsidR="00B00EC5">
        <w:rPr>
          <w:rFonts w:hint="cs"/>
          <w:spacing w:val="-2"/>
          <w:rtl/>
          <w:lang w:bidi="ar-EG"/>
        </w:rPr>
        <w:t>ل</w:t>
      </w:r>
      <w:r w:rsidR="008A61B7">
        <w:rPr>
          <w:rFonts w:hint="cs"/>
          <w:spacing w:val="-2"/>
          <w:rtl/>
          <w:lang w:bidi="ar-EG"/>
        </w:rPr>
        <w:t>لخدمة الثابتة والخدمة المتنقلة في</w:t>
      </w:r>
      <w:r w:rsidR="00DD3CEE">
        <w:rPr>
          <w:rFonts w:hint="eastAsia"/>
          <w:rtl/>
          <w:lang w:bidi="ar-EG"/>
        </w:rPr>
        <w:t> </w:t>
      </w:r>
      <w:r w:rsidR="008A61B7">
        <w:rPr>
          <w:rFonts w:hint="cs"/>
          <w:spacing w:val="-2"/>
          <w:rtl/>
          <w:lang w:bidi="ar-EG"/>
        </w:rPr>
        <w:t>مدى التردد</w:t>
      </w:r>
      <w:r w:rsidR="00DD3CEE">
        <w:rPr>
          <w:rFonts w:hint="eastAsia"/>
          <w:rtl/>
          <w:lang w:bidi="ar-EG"/>
        </w:rPr>
        <w:t> </w:t>
      </w:r>
      <w:r w:rsidR="008A61B7">
        <w:rPr>
          <w:spacing w:val="-2"/>
          <w:lang w:bidi="ar-EG"/>
        </w:rPr>
        <w:t>MHz 4 990-4 400</w:t>
      </w:r>
      <w:r w:rsidR="008A61B7">
        <w:rPr>
          <w:rFonts w:hint="cs"/>
          <w:spacing w:val="-2"/>
          <w:rtl/>
          <w:lang w:bidi="ar-EG"/>
        </w:rPr>
        <w:t>.</w:t>
      </w:r>
    </w:p>
    <w:p w:rsidR="00F51A8A" w:rsidRDefault="00B00EC5" w:rsidP="00DD3CEE">
      <w:pPr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>وفي ضوء نتائج الدراسات التي أجراها فريق المهام المشترك و</w:t>
      </w:r>
      <w:r w:rsidR="00D301B5">
        <w:rPr>
          <w:rFonts w:hint="cs"/>
          <w:spacing w:val="-2"/>
          <w:rtl/>
          <w:lang w:bidi="ar-EG"/>
        </w:rPr>
        <w:t>الآثار العكسية لاستعمال الاتصالات المتنقلة الدولية للنطاقات على</w:t>
      </w:r>
      <w:r w:rsidR="00E96888">
        <w:rPr>
          <w:rFonts w:hint="eastAsia"/>
          <w:spacing w:val="-2"/>
          <w:rtl/>
          <w:lang w:bidi="ar-EG"/>
        </w:rPr>
        <w:t> </w:t>
      </w:r>
      <w:r w:rsidR="00D301B5">
        <w:rPr>
          <w:rFonts w:hint="cs"/>
          <w:spacing w:val="-2"/>
          <w:rtl/>
          <w:lang w:bidi="ar-EG"/>
        </w:rPr>
        <w:t>تشغيل الخدمات الحالية، تقترح الولايات المتحدة عدم إدخال أي تعدي</w:t>
      </w:r>
      <w:r w:rsidR="00D07F73">
        <w:rPr>
          <w:rFonts w:hint="cs"/>
          <w:spacing w:val="-2"/>
          <w:rtl/>
          <w:lang w:bidi="ar-EG"/>
        </w:rPr>
        <w:t>ل</w:t>
      </w:r>
      <w:r w:rsidR="00D301B5">
        <w:rPr>
          <w:rFonts w:hint="cs"/>
          <w:spacing w:val="-2"/>
          <w:rtl/>
          <w:lang w:bidi="ar-EG"/>
        </w:rPr>
        <w:t xml:space="preserve"> على لوائح الراديو للاتحاد فيما يخص مدى التردد المجاور </w:t>
      </w:r>
      <w:r w:rsidR="00D301B5">
        <w:rPr>
          <w:spacing w:val="-2"/>
          <w:lang w:bidi="ar-EG"/>
        </w:rPr>
        <w:t>MHz 4 990-4 400</w:t>
      </w:r>
      <w:r w:rsidR="00D301B5">
        <w:rPr>
          <w:rFonts w:hint="cs"/>
          <w:spacing w:val="-2"/>
          <w:rtl/>
          <w:lang w:bidi="ar-EG"/>
        </w:rPr>
        <w:t xml:space="preserve"> في جميع الأقاليم</w:t>
      </w:r>
      <w:r w:rsidR="00DD3CEE">
        <w:rPr>
          <w:rFonts w:hint="eastAsia"/>
          <w:spacing w:val="-2"/>
          <w:rtl/>
          <w:lang w:bidi="ar-EG"/>
        </w:rPr>
        <w:t> </w:t>
      </w:r>
      <w:r w:rsidR="00D301B5">
        <w:rPr>
          <w:rFonts w:hint="cs"/>
          <w:spacing w:val="-2"/>
          <w:rtl/>
          <w:lang w:bidi="ar-EG"/>
        </w:rPr>
        <w:t>الثلاثة</w:t>
      </w:r>
      <w:r w:rsidR="00997ABD">
        <w:rPr>
          <w:rStyle w:val="FootnoteReference"/>
          <w:spacing w:val="-2"/>
          <w:rtl/>
          <w:lang w:bidi="ar-EG"/>
        </w:rPr>
        <w:footnoteReference w:id="1"/>
      </w:r>
      <w:r w:rsidR="00D301B5">
        <w:rPr>
          <w:rFonts w:hint="cs"/>
          <w:spacing w:val="-2"/>
          <w:rtl/>
          <w:lang w:bidi="ar-EG"/>
        </w:rPr>
        <w:t>.</w:t>
      </w:r>
    </w:p>
    <w:p w:rsidR="00F51A8A" w:rsidRDefault="00F12DEF" w:rsidP="00F51A8A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2919E1" w:rsidP="00531DC7">
      <w:pPr>
        <w:rPr>
          <w:noProof/>
          <w:rtl/>
        </w:rPr>
      </w:pPr>
    </w:p>
    <w:p w:rsidR="009F37C9" w:rsidRPr="007031A9" w:rsidRDefault="00E55AB5" w:rsidP="009F37C9">
      <w:pPr>
        <w:pStyle w:val="Arttitle"/>
        <w:rPr>
          <w:b w:val="0"/>
          <w:rtl/>
        </w:rPr>
      </w:pPr>
      <w:bookmarkStart w:id="2" w:name="_Toc331055733"/>
      <w:r w:rsidRPr="007031A9">
        <w:rPr>
          <w:b w:val="0"/>
          <w:rtl/>
        </w:rPr>
        <w:t>توزيع نطاقات التردد</w:t>
      </w:r>
      <w:bookmarkEnd w:id="2"/>
    </w:p>
    <w:p w:rsidR="009F37C9" w:rsidRDefault="00E55AB5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356A35" w:rsidRDefault="00E55AB5">
      <w:pPr>
        <w:pStyle w:val="Proposal"/>
      </w:pPr>
      <w:r>
        <w:rPr>
          <w:u w:val="single"/>
        </w:rPr>
        <w:t>NOC</w:t>
      </w:r>
      <w:r>
        <w:tab/>
        <w:t>USA/6A1A2/1</w:t>
      </w:r>
    </w:p>
    <w:p w:rsidR="009F37C9" w:rsidRPr="002F7F63" w:rsidRDefault="00E55AB5">
      <w:pPr>
        <w:pStyle w:val="Tabletitle"/>
        <w:rPr>
          <w:rtl/>
        </w:rPr>
        <w:pPrChange w:id="3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3030"/>
        <w:gridCol w:w="32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E55AB5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F51A8A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55AB5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55AB5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55AB5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E55AB5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4 500-4 400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E55AB5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 </w:t>
            </w:r>
            <w:r w:rsidRPr="00F51A8A">
              <w:rPr>
                <w:rStyle w:val="Artref"/>
                <w:b w:val="0"/>
                <w:bCs w:val="0"/>
              </w:rPr>
              <w:t>440A.5</w:t>
            </w:r>
            <w:r w:rsidRPr="00F51A8A">
              <w:rPr>
                <w:b/>
                <w:bCs/>
              </w:rPr>
              <w:t> 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E55AB5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 w:rsidRPr="00FA3B95">
              <w:rPr>
                <w:rStyle w:val="Tablefreq"/>
              </w:rPr>
              <w:t>4 800-4 500</w:t>
            </w:r>
            <w:r w:rsidRPr="006253DB">
              <w:tab/>
            </w:r>
            <w:r>
              <w:tab/>
            </w: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F51A8A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</w:pPr>
            <w:r>
              <w:rPr>
                <w:rtl/>
              </w:rPr>
              <w:tab/>
            </w:r>
            <w:r w:rsidR="00E55AB5">
              <w:tab/>
            </w:r>
            <w:r w:rsidR="00E55AB5" w:rsidRPr="006253DB">
              <w:rPr>
                <w:b/>
                <w:bCs/>
                <w:rtl/>
              </w:rPr>
              <w:t>ثابتة ساتلية</w:t>
            </w:r>
            <w:r w:rsidR="00E55AB5" w:rsidRPr="006253DB">
              <w:rPr>
                <w:rtl/>
              </w:rPr>
              <w:t xml:space="preserve"> </w:t>
            </w:r>
            <w:r w:rsidR="00E55AB5" w:rsidRPr="00F51A8A">
              <w:rPr>
                <w:rtl/>
              </w:rPr>
              <w:t>(</w:t>
            </w:r>
            <w:r w:rsidR="00E55AB5" w:rsidRPr="006253DB">
              <w:rPr>
                <w:rtl/>
              </w:rPr>
              <w:t>فضاء-أرض</w:t>
            </w:r>
            <w:r w:rsidR="00E55AB5" w:rsidRPr="00F51A8A">
              <w:rPr>
                <w:rtl/>
              </w:rPr>
              <w:t xml:space="preserve">) </w:t>
            </w:r>
            <w:r w:rsidR="00E55AB5" w:rsidRPr="00F51A8A">
              <w:rPr>
                <w:rFonts w:hint="cs"/>
                <w:rtl/>
              </w:rPr>
              <w:t xml:space="preserve"> </w:t>
            </w:r>
            <w:r w:rsidR="00E55AB5" w:rsidRPr="00F51A8A">
              <w:rPr>
                <w:rStyle w:val="Artref"/>
                <w:b w:val="0"/>
                <w:bCs w:val="0"/>
              </w:rPr>
              <w:t xml:space="preserve">  441.5</w:t>
            </w:r>
          </w:p>
          <w:p w:rsidR="006339CB" w:rsidRPr="006253DB" w:rsidRDefault="00F51A8A" w:rsidP="006339CB">
            <w:pPr>
              <w:pStyle w:val="TabletextS5"/>
              <w:tabs>
                <w:tab w:val="left" w:pos="3129"/>
              </w:tabs>
              <w:spacing w:line="240" w:lineRule="exact"/>
              <w:ind w:left="227" w:right="57"/>
              <w:rPr>
                <w:rtl/>
              </w:rPr>
            </w:pPr>
            <w:r>
              <w:rPr>
                <w:rtl/>
              </w:rPr>
              <w:tab/>
            </w:r>
            <w:r w:rsidR="00E55AB5">
              <w:tab/>
            </w:r>
            <w:r w:rsidR="00E55AB5" w:rsidRPr="006253DB">
              <w:rPr>
                <w:b/>
                <w:bCs/>
                <w:rtl/>
              </w:rPr>
              <w:t>متنقلة</w:t>
            </w:r>
            <w:r w:rsidR="00E55AB5" w:rsidRPr="006253DB">
              <w:rPr>
                <w:rtl/>
              </w:rPr>
              <w:t xml:space="preserve">  </w:t>
            </w:r>
            <w:r w:rsidR="00E55AB5" w:rsidRPr="00F51A8A">
              <w:rPr>
                <w:rStyle w:val="Artref"/>
                <w:b w:val="0"/>
                <w:bCs w:val="0"/>
              </w:rPr>
              <w:t>440A.5</w:t>
            </w:r>
            <w:r w:rsidR="00E55AB5" w:rsidRPr="006253DB">
              <w:t> </w:t>
            </w:r>
          </w:p>
        </w:tc>
      </w:tr>
    </w:tbl>
    <w:p w:rsidR="00356A35" w:rsidRPr="00997ABD" w:rsidRDefault="00E55AB5" w:rsidP="00997AB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997ABD">
        <w:rPr>
          <w:rFonts w:hint="cs"/>
          <w:b w:val="0"/>
          <w:bCs w:val="0"/>
          <w:rtl/>
        </w:rPr>
        <w:t xml:space="preserve">تبين دراسات قطاع الاتصالات الراديوية أن تقاسم التردد نفسه بين أنظمة الاتصالات المتنقلة الدولية </w:t>
      </w:r>
      <w:r w:rsidR="00997ABD" w:rsidRPr="00997ABD">
        <w:rPr>
          <w:rFonts w:hint="cs"/>
          <w:b w:val="0"/>
          <w:bCs w:val="0"/>
          <w:rtl/>
        </w:rPr>
        <w:t>والأنظمة الحالية للخدمة الثابتة والخدمة المتنقلة غير ممكن في</w:t>
      </w:r>
      <w:r w:rsidR="00997ABD">
        <w:rPr>
          <w:rFonts w:hint="cs"/>
          <w:b w:val="0"/>
          <w:bCs w:val="0"/>
          <w:rtl/>
        </w:rPr>
        <w:t xml:space="preserve"> النطاق </w:t>
      </w:r>
      <w:r w:rsidR="00997ABD" w:rsidRPr="00997ABD">
        <w:rPr>
          <w:b w:val="0"/>
          <w:bCs w:val="0"/>
          <w:spacing w:val="-2"/>
          <w:lang w:bidi="ar-EG"/>
        </w:rPr>
        <w:t>MHz 4 </w:t>
      </w:r>
      <w:r w:rsidR="00997ABD">
        <w:rPr>
          <w:b w:val="0"/>
          <w:bCs w:val="0"/>
          <w:spacing w:val="-2"/>
          <w:lang w:bidi="ar-EG"/>
        </w:rPr>
        <w:t>50</w:t>
      </w:r>
      <w:r w:rsidR="00997ABD" w:rsidRPr="00997ABD">
        <w:rPr>
          <w:b w:val="0"/>
          <w:bCs w:val="0"/>
          <w:spacing w:val="-2"/>
          <w:lang w:bidi="ar-EG"/>
        </w:rPr>
        <w:t>0-4 400</w:t>
      </w:r>
      <w:r w:rsidR="00997ABD" w:rsidRPr="00997ABD">
        <w:rPr>
          <w:rFonts w:hint="cs"/>
          <w:b w:val="0"/>
          <w:bCs w:val="0"/>
          <w:rtl/>
        </w:rPr>
        <w:t xml:space="preserve"> </w:t>
      </w:r>
      <w:r w:rsidR="006923EE">
        <w:rPr>
          <w:rFonts w:hint="cs"/>
          <w:b w:val="0"/>
          <w:bCs w:val="0"/>
          <w:rtl/>
        </w:rPr>
        <w:t xml:space="preserve">في نفس المنطقة الجغرافية بدون </w:t>
      </w:r>
      <w:r w:rsidR="006923EE">
        <w:rPr>
          <w:rFonts w:hint="cs"/>
          <w:b w:val="0"/>
          <w:bCs w:val="0"/>
          <w:rtl/>
          <w:lang w:bidi="ar-EG"/>
        </w:rPr>
        <w:t>إعاقة التشغيل الحالي والمخطط للأنظمة الحالية في نطاق</w:t>
      </w:r>
      <w:r w:rsidR="00BA7FB3">
        <w:rPr>
          <w:rFonts w:hint="eastAsia"/>
          <w:b w:val="0"/>
          <w:bCs w:val="0"/>
          <w:rtl/>
          <w:lang w:bidi="ar-EG"/>
        </w:rPr>
        <w:t> </w:t>
      </w:r>
      <w:r w:rsidR="006923EE">
        <w:rPr>
          <w:rFonts w:hint="cs"/>
          <w:b w:val="0"/>
          <w:bCs w:val="0"/>
          <w:rtl/>
          <w:lang w:bidi="ar-EG"/>
        </w:rPr>
        <w:t>التردد.</w:t>
      </w:r>
    </w:p>
    <w:p w:rsidR="00F51A8A" w:rsidRPr="00DD3CEE" w:rsidRDefault="00352F86" w:rsidP="00BA7FB3">
      <w:pPr>
        <w:pStyle w:val="Reasons"/>
        <w:rPr>
          <w:b w:val="0"/>
          <w:bCs w:val="0"/>
          <w:rtl/>
          <w:lang w:bidi="ar-EG"/>
        </w:rPr>
      </w:pPr>
      <w:r w:rsidRPr="00DD3CEE">
        <w:rPr>
          <w:rFonts w:hint="cs"/>
          <w:b w:val="0"/>
          <w:bCs w:val="0"/>
          <w:rtl/>
        </w:rPr>
        <w:t>وإضافة إلى ذلك، اعتمدت لجنة البلدان الأمريكي</w:t>
      </w:r>
      <w:r w:rsidR="007F327E" w:rsidRPr="00DD3CEE">
        <w:rPr>
          <w:rFonts w:hint="cs"/>
          <w:b w:val="0"/>
          <w:bCs w:val="0"/>
          <w:rtl/>
        </w:rPr>
        <w:t xml:space="preserve">ة للاتصالات مقترحاً بعدم إدخال أي تغيير على النطاق </w:t>
      </w:r>
      <w:r w:rsidR="007F327E" w:rsidRPr="00DD3CEE">
        <w:rPr>
          <w:b w:val="0"/>
          <w:bCs w:val="0"/>
        </w:rPr>
        <w:t>4 800</w:t>
      </w:r>
      <w:r w:rsidR="00BA7FB3">
        <w:rPr>
          <w:b w:val="0"/>
          <w:bCs w:val="0"/>
        </w:rPr>
        <w:noBreakHyphen/>
      </w:r>
      <w:r w:rsidR="007F327E" w:rsidRPr="00DD3CEE">
        <w:rPr>
          <w:b w:val="0"/>
          <w:bCs w:val="0"/>
        </w:rPr>
        <w:t>4 500</w:t>
      </w:r>
      <w:r w:rsidR="007F327E" w:rsidRPr="00DD3CEE">
        <w:rPr>
          <w:rFonts w:hint="cs"/>
          <w:b w:val="0"/>
          <w:bCs w:val="0"/>
          <w:rtl/>
          <w:lang w:bidi="ar-EG"/>
        </w:rPr>
        <w:t xml:space="preserve">. وهذا المقترح المقدم من الولايات المتحدة بعدم إدخال أي تغيير على </w:t>
      </w:r>
      <w:r w:rsidR="007F327E" w:rsidRPr="00DD3CEE">
        <w:rPr>
          <w:rFonts w:hint="cs"/>
          <w:b w:val="0"/>
          <w:bCs w:val="0"/>
          <w:rtl/>
        </w:rPr>
        <w:t xml:space="preserve">النطاق </w:t>
      </w:r>
      <w:r w:rsidR="007F327E" w:rsidRPr="00DD3CEE">
        <w:rPr>
          <w:b w:val="0"/>
          <w:bCs w:val="0"/>
        </w:rPr>
        <w:t>4 500</w:t>
      </w:r>
      <w:r w:rsidR="00BA7FB3">
        <w:rPr>
          <w:b w:val="0"/>
          <w:bCs w:val="0"/>
        </w:rPr>
        <w:noBreakHyphen/>
      </w:r>
      <w:r w:rsidR="007F327E" w:rsidRPr="00DD3CEE">
        <w:rPr>
          <w:b w:val="0"/>
          <w:bCs w:val="0"/>
        </w:rPr>
        <w:t>4 400</w:t>
      </w:r>
      <w:r w:rsidR="007F327E" w:rsidRPr="00DD3CEE">
        <w:rPr>
          <w:rFonts w:hint="cs"/>
          <w:b w:val="0"/>
          <w:bCs w:val="0"/>
          <w:rtl/>
          <w:lang w:bidi="ar-EG"/>
        </w:rPr>
        <w:t xml:space="preserve"> يرمي إلى تكملة إجراء لجنة البلدان الأمريكية</w:t>
      </w:r>
      <w:r w:rsidR="00BA7FB3">
        <w:rPr>
          <w:rFonts w:hint="eastAsia"/>
          <w:b w:val="0"/>
          <w:bCs w:val="0"/>
          <w:rtl/>
          <w:lang w:bidi="ar-EG"/>
        </w:rPr>
        <w:t> </w:t>
      </w:r>
      <w:r w:rsidR="007F327E" w:rsidRPr="00DD3CEE">
        <w:rPr>
          <w:rFonts w:hint="cs"/>
          <w:b w:val="0"/>
          <w:bCs w:val="0"/>
          <w:rtl/>
          <w:lang w:bidi="ar-EG"/>
        </w:rPr>
        <w:t>للاتصالات.</w:t>
      </w:r>
    </w:p>
    <w:p w:rsidR="00356A35" w:rsidRDefault="00E55AB5">
      <w:pPr>
        <w:pStyle w:val="Proposal"/>
      </w:pPr>
      <w:r>
        <w:rPr>
          <w:u w:val="single"/>
        </w:rPr>
        <w:lastRenderedPageBreak/>
        <w:t>NOC</w:t>
      </w:r>
      <w:r>
        <w:tab/>
        <w:t>USA/6A1A2/2</w:t>
      </w:r>
    </w:p>
    <w:p w:rsidR="009F37C9" w:rsidRPr="00151CDF" w:rsidRDefault="00E55AB5">
      <w:pPr>
        <w:pStyle w:val="Tabletitle"/>
        <w:rPr>
          <w:rtl/>
        </w:rPr>
        <w:pPrChange w:id="4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6339CB" w:rsidTr="00643321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Default="00E55AB5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6339CB" w:rsidTr="00643321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E55AB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E55AB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Default="00E55AB5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39CB" w:rsidTr="006339C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E741AA" w:rsidRDefault="00E55AB5" w:rsidP="00BA7FB3">
            <w:pPr>
              <w:pStyle w:val="TabletextS5"/>
            </w:pPr>
            <w:r w:rsidRPr="00FA3B95">
              <w:rPr>
                <w:rStyle w:val="Tablefreq"/>
              </w:rPr>
              <w:t>4 990-4 800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6339CB" w:rsidRPr="00E741AA" w:rsidRDefault="00E55AB5" w:rsidP="00BA7FB3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F51A8A">
              <w:rPr>
                <w:rStyle w:val="Artref"/>
                <w:b w:val="0"/>
                <w:bCs w:val="0"/>
              </w:rPr>
              <w:t>440A.5 </w:t>
            </w:r>
            <w:r w:rsidRPr="00F51A8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F51A8A">
              <w:rPr>
                <w:rStyle w:val="Artref"/>
                <w:b w:val="0"/>
                <w:bCs w:val="0"/>
              </w:rPr>
              <w:t>442.5</w:t>
            </w:r>
          </w:p>
          <w:p w:rsidR="006339CB" w:rsidRPr="00E741AA" w:rsidRDefault="00E55AB5" w:rsidP="00BA7FB3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فلك راديوي</w:t>
            </w:r>
          </w:p>
          <w:p w:rsidR="006339CB" w:rsidRPr="00F51A8A" w:rsidRDefault="00E55AB5" w:rsidP="00BA7FB3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F51A8A">
              <w:rPr>
                <w:rStyle w:val="Artref"/>
                <w:b w:val="0"/>
                <w:bCs w:val="0"/>
              </w:rPr>
              <w:t>443.5  339.5  149.5</w:t>
            </w:r>
          </w:p>
        </w:tc>
      </w:tr>
    </w:tbl>
    <w:p w:rsidR="00356A35" w:rsidRDefault="00E55AB5" w:rsidP="00BA7FB3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C21FD">
        <w:rPr>
          <w:rFonts w:hint="cs"/>
          <w:b w:val="0"/>
          <w:bCs w:val="0"/>
          <w:rtl/>
        </w:rPr>
        <w:t xml:space="preserve">تبين دراسات قطاع الاتصالات الراديوية أن تقاسم التردد نفسه بين أنظمة الاتصالات المتنقلة الدولية </w:t>
      </w:r>
      <w:r w:rsidR="004C21FD" w:rsidRPr="00997ABD">
        <w:rPr>
          <w:rFonts w:hint="cs"/>
          <w:b w:val="0"/>
          <w:bCs w:val="0"/>
          <w:rtl/>
        </w:rPr>
        <w:t>والأنظمة الحالية للخدمة الثابتة والخدمة المتنقلة غير ممكن في</w:t>
      </w:r>
      <w:r w:rsidR="004C21FD">
        <w:rPr>
          <w:rFonts w:hint="cs"/>
          <w:b w:val="0"/>
          <w:bCs w:val="0"/>
          <w:rtl/>
        </w:rPr>
        <w:t xml:space="preserve"> النطاق </w:t>
      </w:r>
      <w:r w:rsidR="004C21FD" w:rsidRPr="00997ABD">
        <w:rPr>
          <w:b w:val="0"/>
          <w:bCs w:val="0"/>
          <w:spacing w:val="-2"/>
          <w:lang w:bidi="ar-EG"/>
        </w:rPr>
        <w:t>MHz 4 </w:t>
      </w:r>
      <w:r w:rsidR="00BA7FB3">
        <w:rPr>
          <w:b w:val="0"/>
          <w:bCs w:val="0"/>
          <w:spacing w:val="-2"/>
          <w:lang w:bidi="ar-EG"/>
        </w:rPr>
        <w:t>99</w:t>
      </w:r>
      <w:r w:rsidR="004C21FD" w:rsidRPr="00997ABD">
        <w:rPr>
          <w:b w:val="0"/>
          <w:bCs w:val="0"/>
          <w:spacing w:val="-2"/>
          <w:lang w:bidi="ar-EG"/>
        </w:rPr>
        <w:t>0-4 </w:t>
      </w:r>
      <w:r w:rsidR="00BA7FB3">
        <w:rPr>
          <w:b w:val="0"/>
          <w:bCs w:val="0"/>
          <w:spacing w:val="-2"/>
          <w:lang w:bidi="ar-EG"/>
        </w:rPr>
        <w:t>8</w:t>
      </w:r>
      <w:r w:rsidR="004C21FD" w:rsidRPr="00997ABD">
        <w:rPr>
          <w:b w:val="0"/>
          <w:bCs w:val="0"/>
          <w:spacing w:val="-2"/>
          <w:lang w:bidi="ar-EG"/>
        </w:rPr>
        <w:t>00</w:t>
      </w:r>
      <w:r w:rsidR="004C21FD" w:rsidRPr="00997ABD">
        <w:rPr>
          <w:rFonts w:hint="cs"/>
          <w:b w:val="0"/>
          <w:bCs w:val="0"/>
          <w:rtl/>
        </w:rPr>
        <w:t xml:space="preserve"> </w:t>
      </w:r>
      <w:r w:rsidR="004C21FD">
        <w:rPr>
          <w:rFonts w:hint="cs"/>
          <w:b w:val="0"/>
          <w:bCs w:val="0"/>
          <w:rtl/>
        </w:rPr>
        <w:t xml:space="preserve">في نفس المنطقة الجغرافية بدون </w:t>
      </w:r>
      <w:r w:rsidR="004C21FD">
        <w:rPr>
          <w:rFonts w:hint="cs"/>
          <w:b w:val="0"/>
          <w:bCs w:val="0"/>
          <w:rtl/>
          <w:lang w:bidi="ar-EG"/>
        </w:rPr>
        <w:t>إعاقة التشغيل الحالي والمخطط للأنظمة الحالية في</w:t>
      </w:r>
      <w:r w:rsidR="00BA7FB3">
        <w:rPr>
          <w:rFonts w:hint="eastAsia"/>
          <w:b w:val="0"/>
          <w:bCs w:val="0"/>
          <w:rtl/>
          <w:lang w:bidi="ar-EG"/>
        </w:rPr>
        <w:t> </w:t>
      </w:r>
      <w:r w:rsidR="004C21FD">
        <w:rPr>
          <w:rFonts w:hint="cs"/>
          <w:b w:val="0"/>
          <w:bCs w:val="0"/>
          <w:rtl/>
          <w:lang w:bidi="ar-EG"/>
        </w:rPr>
        <w:t>نطاق</w:t>
      </w:r>
      <w:r w:rsidR="00BA7FB3">
        <w:rPr>
          <w:rFonts w:hint="eastAsia"/>
          <w:b w:val="0"/>
          <w:bCs w:val="0"/>
          <w:rtl/>
          <w:lang w:bidi="ar-EG"/>
        </w:rPr>
        <w:t> </w:t>
      </w:r>
      <w:r w:rsidR="004C21FD">
        <w:rPr>
          <w:rFonts w:hint="cs"/>
          <w:b w:val="0"/>
          <w:bCs w:val="0"/>
          <w:rtl/>
          <w:lang w:bidi="ar-EG"/>
        </w:rPr>
        <w:t>التردد.</w:t>
      </w:r>
    </w:p>
    <w:p w:rsidR="00E35004" w:rsidRPr="00E35004" w:rsidRDefault="00E35004" w:rsidP="00E35004">
      <w:pPr>
        <w:pStyle w:val="Reasons"/>
        <w:rPr>
          <w:rtl/>
          <w:lang w:bidi="ar-EG"/>
        </w:rPr>
      </w:pPr>
    </w:p>
    <w:p w:rsidR="00F51A8A" w:rsidRPr="00F51A8A" w:rsidRDefault="00F51A8A" w:rsidP="00F51A8A">
      <w:pPr>
        <w:spacing w:before="600"/>
        <w:jc w:val="center"/>
      </w:pPr>
      <w:r>
        <w:rPr>
          <w:rFonts w:hint="cs"/>
          <w:rtl/>
        </w:rPr>
        <w:t>___________</w:t>
      </w:r>
    </w:p>
    <w:sectPr w:rsidR="00F51A8A" w:rsidRPr="00F51A8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E55AB5" w:rsidRDefault="00281F5F" w:rsidP="00E55AB5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E55AB5">
      <w:instrText xml:space="preserve"> FILENAME \p \* MERGEFORMAT </w:instrText>
    </w:r>
    <w:r w:rsidRPr="00CB4300">
      <w:fldChar w:fldCharType="separate"/>
    </w:r>
    <w:r w:rsidR="00793091">
      <w:rPr>
        <w:noProof/>
      </w:rPr>
      <w:t>P:\ARA\ITU-R\CONF-R\CMR15\000\006ADD01ADD02A.docx</w:t>
    </w:r>
    <w:r w:rsidRPr="00CB4300">
      <w:fldChar w:fldCharType="end"/>
    </w:r>
    <w:r w:rsidRPr="00E55AB5">
      <w:t xml:space="preserve">  (</w:t>
    </w:r>
    <w:r w:rsidR="00E55AB5">
      <w:rPr>
        <w:rFonts w:hint="cs"/>
        <w:rtl/>
        <w:lang w:val="es-ES"/>
      </w:rPr>
      <w:t>387625</w:t>
    </w:r>
    <w:r w:rsidRPr="00E55AB5">
      <w:t>)</w:t>
    </w:r>
    <w:r w:rsidRPr="00E55AB5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E35004">
      <w:rPr>
        <w:noProof/>
      </w:rPr>
      <w:t>26.10.15</w:t>
    </w:r>
    <w:r w:rsidRPr="00CB4300">
      <w:fldChar w:fldCharType="end"/>
    </w:r>
    <w:r w:rsidRPr="00E55AB5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444E2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51A8A" w:rsidRDefault="00281F5F" w:rsidP="00F51A8A">
    <w:pPr>
      <w:pStyle w:val="Footer"/>
    </w:pPr>
    <w:r>
      <w:fldChar w:fldCharType="begin"/>
    </w:r>
    <w:r w:rsidRPr="00F51A8A">
      <w:instrText xml:space="preserve"> FILENAME \p \* MERGEFORMAT </w:instrText>
    </w:r>
    <w:r>
      <w:fldChar w:fldCharType="separate"/>
    </w:r>
    <w:r w:rsidR="00793091">
      <w:rPr>
        <w:noProof/>
      </w:rPr>
      <w:t>P:\ARA\ITU-R\CONF-R\CMR15\000\006ADD01ADD02A.docx</w:t>
    </w:r>
    <w:r>
      <w:fldChar w:fldCharType="end"/>
    </w:r>
    <w:r w:rsidRPr="00F51A8A">
      <w:t xml:space="preserve">   (</w:t>
    </w:r>
    <w:r w:rsidR="00F51A8A">
      <w:rPr>
        <w:rFonts w:hint="cs"/>
        <w:rtl/>
      </w:rPr>
      <w:t>387625</w:t>
    </w:r>
    <w:r w:rsidRPr="00F51A8A">
      <w:t>)</w:t>
    </w:r>
    <w:r w:rsidRPr="00F51A8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35004">
      <w:rPr>
        <w:noProof/>
      </w:rPr>
      <w:t>26.10.15</w:t>
    </w:r>
    <w:r w:rsidRPr="00B12661">
      <w:fldChar w:fldCharType="end"/>
    </w:r>
    <w:r w:rsidRPr="00F51A8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444E2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997ABD" w:rsidRPr="007417BE" w:rsidRDefault="00997ABD" w:rsidP="00BA7FB3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 w:rsidR="00BA7FB3">
        <w:rPr>
          <w:rtl/>
        </w:rPr>
        <w:tab/>
      </w:r>
      <w:r w:rsidR="007417BE">
        <w:rPr>
          <w:rFonts w:hint="cs"/>
          <w:rtl/>
        </w:rPr>
        <w:t xml:space="preserve">جدير بالإشارة إلى أن لجنة البلدان الأمريكية للاتصالات اعتمدت مقترحاً </w:t>
      </w:r>
      <w:r w:rsidR="00D07F73">
        <w:rPr>
          <w:rFonts w:hint="cs"/>
          <w:rtl/>
        </w:rPr>
        <w:t>من ا</w:t>
      </w:r>
      <w:r w:rsidR="007417BE">
        <w:rPr>
          <w:rFonts w:hint="cs"/>
          <w:rtl/>
        </w:rPr>
        <w:t xml:space="preserve">لبلدان الأمريكية يرمي إلى عدم إدخال أي تغيير على النطاق </w:t>
      </w:r>
      <w:r w:rsidR="007417BE">
        <w:t>MHz 4 800-4 500</w:t>
      </w:r>
      <w:r w:rsidR="007417BE">
        <w:rPr>
          <w:rFonts w:hint="cs"/>
          <w:rtl/>
        </w:rPr>
        <w:t xml:space="preserve"> (انظر الإضافة </w:t>
      </w:r>
      <w:r w:rsidR="007417BE">
        <w:t>9</w:t>
      </w:r>
      <w:r w:rsidR="007417BE">
        <w:rPr>
          <w:rFonts w:hint="cs"/>
          <w:rtl/>
        </w:rPr>
        <w:t xml:space="preserve"> للوثيقة </w:t>
      </w:r>
      <w:r w:rsidR="007417BE">
        <w:t>7(Add.1)</w:t>
      </w:r>
      <w:r w:rsidR="007417BE">
        <w:rPr>
          <w:rFonts w:hint="cs"/>
          <w:rtl/>
        </w:rPr>
        <w:t>)</w:t>
      </w:r>
      <w:r w:rsidR="00EA15C4">
        <w:rPr>
          <w:rFonts w:hint="cs"/>
          <w:rtl/>
        </w:rPr>
        <w:t>. والغرض من هذا المقترح المقدم من الولايات المتحدة تكملة هذا</w:t>
      </w:r>
      <w:r w:rsidR="00BA7FB3">
        <w:rPr>
          <w:rFonts w:hint="eastAsia"/>
          <w:b/>
          <w:bCs/>
          <w:rtl/>
        </w:rPr>
        <w:t> </w:t>
      </w:r>
      <w:r w:rsidR="00EA15C4">
        <w:rPr>
          <w:rFonts w:hint="cs"/>
          <w:rtl/>
        </w:rPr>
        <w:t>الإجراء.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A3EB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6(Add.1)(Add.2)-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239B"/>
    <w:rsid w:val="00075A3F"/>
    <w:rsid w:val="000A1B16"/>
    <w:rsid w:val="000B5404"/>
    <w:rsid w:val="000D1708"/>
    <w:rsid w:val="000D66B7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16DF"/>
    <w:rsid w:val="00162668"/>
    <w:rsid w:val="001629EC"/>
    <w:rsid w:val="00167364"/>
    <w:rsid w:val="001903B2"/>
    <w:rsid w:val="001A3485"/>
    <w:rsid w:val="001C7C0E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6B0C"/>
    <w:rsid w:val="002876E2"/>
    <w:rsid w:val="002919E1"/>
    <w:rsid w:val="002923BB"/>
    <w:rsid w:val="00295917"/>
    <w:rsid w:val="00296071"/>
    <w:rsid w:val="002A3EBE"/>
    <w:rsid w:val="002A4572"/>
    <w:rsid w:val="002A7E2E"/>
    <w:rsid w:val="002B16D8"/>
    <w:rsid w:val="002D5F64"/>
    <w:rsid w:val="002D6FBF"/>
    <w:rsid w:val="002E48BF"/>
    <w:rsid w:val="002E61C2"/>
    <w:rsid w:val="0033737F"/>
    <w:rsid w:val="00342F39"/>
    <w:rsid w:val="00352F86"/>
    <w:rsid w:val="00353652"/>
    <w:rsid w:val="00354E5F"/>
    <w:rsid w:val="003569E1"/>
    <w:rsid w:val="00356A35"/>
    <w:rsid w:val="003806EE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489E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C21FD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2118"/>
    <w:rsid w:val="005322D4"/>
    <w:rsid w:val="005350B0"/>
    <w:rsid w:val="00546A99"/>
    <w:rsid w:val="00553411"/>
    <w:rsid w:val="00554AE7"/>
    <w:rsid w:val="00564746"/>
    <w:rsid w:val="0056512C"/>
    <w:rsid w:val="00570267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23EE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7BE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091"/>
    <w:rsid w:val="007A0802"/>
    <w:rsid w:val="007B1FCA"/>
    <w:rsid w:val="007C2C12"/>
    <w:rsid w:val="007C3CFA"/>
    <w:rsid w:val="007E0E8B"/>
    <w:rsid w:val="007F08CA"/>
    <w:rsid w:val="007F327E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778EA"/>
    <w:rsid w:val="0088384B"/>
    <w:rsid w:val="008911EC"/>
    <w:rsid w:val="00893E53"/>
    <w:rsid w:val="008A1137"/>
    <w:rsid w:val="008A1788"/>
    <w:rsid w:val="008A4185"/>
    <w:rsid w:val="008A61B7"/>
    <w:rsid w:val="008A6352"/>
    <w:rsid w:val="008A6552"/>
    <w:rsid w:val="008B29BD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44E2"/>
    <w:rsid w:val="00951718"/>
    <w:rsid w:val="00953805"/>
    <w:rsid w:val="00954CCB"/>
    <w:rsid w:val="00960962"/>
    <w:rsid w:val="00972CE0"/>
    <w:rsid w:val="00997ABD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4C8F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0EC5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A7FB3"/>
    <w:rsid w:val="00BD6EF3"/>
    <w:rsid w:val="00BE69C3"/>
    <w:rsid w:val="00C03E94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7927"/>
    <w:rsid w:val="00CE0E68"/>
    <w:rsid w:val="00CE5BA4"/>
    <w:rsid w:val="00CF0FE6"/>
    <w:rsid w:val="00CF791F"/>
    <w:rsid w:val="00D07F73"/>
    <w:rsid w:val="00D25120"/>
    <w:rsid w:val="00D301B5"/>
    <w:rsid w:val="00D419CB"/>
    <w:rsid w:val="00D44350"/>
    <w:rsid w:val="00D44E3F"/>
    <w:rsid w:val="00D525F5"/>
    <w:rsid w:val="00D535D0"/>
    <w:rsid w:val="00D6263A"/>
    <w:rsid w:val="00D62C78"/>
    <w:rsid w:val="00D81703"/>
    <w:rsid w:val="00D82929"/>
    <w:rsid w:val="00D84214"/>
    <w:rsid w:val="00D943E5"/>
    <w:rsid w:val="00DA1AE0"/>
    <w:rsid w:val="00DC29DD"/>
    <w:rsid w:val="00DC7C0E"/>
    <w:rsid w:val="00DD3CEE"/>
    <w:rsid w:val="00DF2A6A"/>
    <w:rsid w:val="00DF3B72"/>
    <w:rsid w:val="00E10821"/>
    <w:rsid w:val="00E165ED"/>
    <w:rsid w:val="00E2489D"/>
    <w:rsid w:val="00E25C06"/>
    <w:rsid w:val="00E26520"/>
    <w:rsid w:val="00E343A3"/>
    <w:rsid w:val="00E35004"/>
    <w:rsid w:val="00E51BFA"/>
    <w:rsid w:val="00E55AB5"/>
    <w:rsid w:val="00E621A3"/>
    <w:rsid w:val="00E77D29"/>
    <w:rsid w:val="00E833BC"/>
    <w:rsid w:val="00E8580E"/>
    <w:rsid w:val="00E96888"/>
    <w:rsid w:val="00EA15C4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2DEF"/>
    <w:rsid w:val="00F14763"/>
    <w:rsid w:val="00F16212"/>
    <w:rsid w:val="00F16602"/>
    <w:rsid w:val="00F25B80"/>
    <w:rsid w:val="00F2685F"/>
    <w:rsid w:val="00F350C8"/>
    <w:rsid w:val="00F51A8A"/>
    <w:rsid w:val="00F8654D"/>
    <w:rsid w:val="00F900C9"/>
    <w:rsid w:val="00F929BF"/>
    <w:rsid w:val="00F92C96"/>
    <w:rsid w:val="00FA0D4E"/>
    <w:rsid w:val="00FA2CCE"/>
    <w:rsid w:val="00FB0753"/>
    <w:rsid w:val="00FB5CC8"/>
    <w:rsid w:val="00FC2CD0"/>
    <w:rsid w:val="00FD0594"/>
    <w:rsid w:val="00FE1C5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557A95A5-6DFE-405C-8831-6E00BBE9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R15-WRC15-C-0006!A1-A2!MSW-A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49BD34-C0B0-4C1F-9C54-D7C6B7026E35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30462C9-B6EF-49DC-81B6-166F8EB0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675</Words>
  <Characters>3676</Characters>
  <Application>Microsoft Office Word</Application>
  <DocSecurity>0</DocSecurity>
  <Lines>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R15-WRC15-C-0006!A1-A2!MSW-A</vt:lpstr>
    </vt:vector>
  </TitlesOfParts>
  <Manager>General Secretariat - Pool</Manager>
  <Company>International Telecommunication Union (ITU)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R15-WRC15-C-0006!A1-A2!MSW-A</dc:title>
  <dc:creator>Documents Proposals Manager (DPM)</dc:creator>
  <cp:keywords>DPM_v5.2015.10.8_prod</cp:keywords>
  <cp:lastModifiedBy>Awad, Samy</cp:lastModifiedBy>
  <cp:revision>11</cp:revision>
  <cp:lastPrinted>2015-10-25T15:54:00Z</cp:lastPrinted>
  <dcterms:created xsi:type="dcterms:W3CDTF">2015-10-25T17:21:00Z</dcterms:created>
  <dcterms:modified xsi:type="dcterms:W3CDTF">2015-10-26T15:44:00Z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