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20F9B" w:rsidTr="0050008E">
        <w:trPr>
          <w:cantSplit/>
        </w:trPr>
        <w:tc>
          <w:tcPr>
            <w:tcW w:w="6911" w:type="dxa"/>
          </w:tcPr>
          <w:p w:rsidR="0090121B" w:rsidRPr="00220F9B" w:rsidRDefault="005D46FB" w:rsidP="00560E42">
            <w:pPr>
              <w:spacing w:before="400" w:after="48"/>
              <w:rPr>
                <w:rFonts w:ascii="Verdana" w:hAnsi="Verdana"/>
                <w:position w:val="6"/>
              </w:rPr>
            </w:pPr>
            <w:r w:rsidRPr="00220F9B">
              <w:rPr>
                <w:rFonts w:ascii="Verdana" w:hAnsi="Verdana" w:cs="Times"/>
                <w:b/>
                <w:position w:val="6"/>
                <w:sz w:val="20"/>
              </w:rPr>
              <w:t>Conferencia Mundial de Radiocomunicaciones (CMR-15)</w:t>
            </w:r>
            <w:r w:rsidRPr="00220F9B">
              <w:rPr>
                <w:rFonts w:ascii="Verdana" w:hAnsi="Verdana" w:cs="Times"/>
                <w:b/>
                <w:position w:val="6"/>
                <w:sz w:val="20"/>
              </w:rPr>
              <w:br/>
            </w:r>
            <w:r w:rsidRPr="00220F9B">
              <w:rPr>
                <w:rFonts w:ascii="Verdana" w:hAnsi="Verdana"/>
                <w:b/>
                <w:bCs/>
                <w:position w:val="6"/>
                <w:sz w:val="18"/>
                <w:szCs w:val="18"/>
              </w:rPr>
              <w:t>Ginebra, 2-27 de noviembre de 2015</w:t>
            </w:r>
          </w:p>
        </w:tc>
        <w:tc>
          <w:tcPr>
            <w:tcW w:w="3120" w:type="dxa"/>
          </w:tcPr>
          <w:p w:rsidR="0090121B" w:rsidRPr="00220F9B" w:rsidRDefault="00CE7431" w:rsidP="00560E42">
            <w:pPr>
              <w:spacing w:before="0"/>
              <w:jc w:val="right"/>
            </w:pPr>
            <w:bookmarkStart w:id="0" w:name="ditulogo"/>
            <w:bookmarkEnd w:id="0"/>
            <w:r w:rsidRPr="00220F9B">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20F9B" w:rsidTr="0050008E">
        <w:trPr>
          <w:cantSplit/>
        </w:trPr>
        <w:tc>
          <w:tcPr>
            <w:tcW w:w="6911" w:type="dxa"/>
            <w:tcBorders>
              <w:bottom w:val="single" w:sz="12" w:space="0" w:color="auto"/>
            </w:tcBorders>
          </w:tcPr>
          <w:p w:rsidR="0090121B" w:rsidRPr="00220F9B" w:rsidRDefault="00CE7431" w:rsidP="00560E42">
            <w:pPr>
              <w:spacing w:before="0" w:after="48"/>
              <w:rPr>
                <w:b/>
                <w:smallCaps/>
                <w:szCs w:val="24"/>
              </w:rPr>
            </w:pPr>
            <w:bookmarkStart w:id="1" w:name="dhead"/>
            <w:r w:rsidRPr="00220F9B">
              <w:rPr>
                <w:rFonts w:ascii="Verdana" w:hAnsi="Verdana"/>
                <w:b/>
                <w:smallCaps/>
                <w:sz w:val="20"/>
              </w:rPr>
              <w:t>UNIÓN INTERNACIONAL DE TELECOMUNICACIONES</w:t>
            </w:r>
          </w:p>
        </w:tc>
        <w:tc>
          <w:tcPr>
            <w:tcW w:w="3120" w:type="dxa"/>
            <w:tcBorders>
              <w:bottom w:val="single" w:sz="12" w:space="0" w:color="auto"/>
            </w:tcBorders>
          </w:tcPr>
          <w:p w:rsidR="0090121B" w:rsidRPr="00220F9B" w:rsidRDefault="0090121B" w:rsidP="00560E42">
            <w:pPr>
              <w:spacing w:before="0"/>
              <w:rPr>
                <w:rFonts w:ascii="Verdana" w:hAnsi="Verdana"/>
                <w:szCs w:val="24"/>
              </w:rPr>
            </w:pPr>
          </w:p>
        </w:tc>
      </w:tr>
      <w:tr w:rsidR="0090121B" w:rsidRPr="00220F9B" w:rsidTr="0090121B">
        <w:trPr>
          <w:cantSplit/>
        </w:trPr>
        <w:tc>
          <w:tcPr>
            <w:tcW w:w="6911" w:type="dxa"/>
            <w:tcBorders>
              <w:top w:val="single" w:sz="12" w:space="0" w:color="auto"/>
            </w:tcBorders>
          </w:tcPr>
          <w:p w:rsidR="0090121B" w:rsidRPr="00220F9B" w:rsidRDefault="0090121B" w:rsidP="00560E42">
            <w:pPr>
              <w:spacing w:before="0" w:after="48"/>
              <w:rPr>
                <w:rFonts w:ascii="Verdana" w:hAnsi="Verdana"/>
                <w:b/>
                <w:smallCaps/>
                <w:sz w:val="20"/>
              </w:rPr>
            </w:pPr>
          </w:p>
        </w:tc>
        <w:tc>
          <w:tcPr>
            <w:tcW w:w="3120" w:type="dxa"/>
            <w:tcBorders>
              <w:top w:val="single" w:sz="12" w:space="0" w:color="auto"/>
            </w:tcBorders>
          </w:tcPr>
          <w:p w:rsidR="0090121B" w:rsidRPr="00220F9B" w:rsidRDefault="0090121B" w:rsidP="00560E42">
            <w:pPr>
              <w:spacing w:before="0"/>
              <w:rPr>
                <w:rFonts w:ascii="Verdana" w:hAnsi="Verdana"/>
                <w:sz w:val="20"/>
              </w:rPr>
            </w:pPr>
          </w:p>
        </w:tc>
      </w:tr>
      <w:tr w:rsidR="0090121B" w:rsidRPr="00220F9B" w:rsidTr="0090121B">
        <w:trPr>
          <w:cantSplit/>
        </w:trPr>
        <w:tc>
          <w:tcPr>
            <w:tcW w:w="6911" w:type="dxa"/>
            <w:shd w:val="clear" w:color="auto" w:fill="auto"/>
          </w:tcPr>
          <w:p w:rsidR="0090121B" w:rsidRPr="00220F9B" w:rsidRDefault="00AE658F" w:rsidP="00560E42">
            <w:pPr>
              <w:spacing w:before="0"/>
              <w:rPr>
                <w:rFonts w:ascii="Verdana" w:hAnsi="Verdana"/>
                <w:b/>
                <w:sz w:val="20"/>
              </w:rPr>
            </w:pPr>
            <w:r w:rsidRPr="00220F9B">
              <w:rPr>
                <w:rFonts w:ascii="Verdana" w:hAnsi="Verdana"/>
                <w:b/>
                <w:sz w:val="20"/>
              </w:rPr>
              <w:t>SESIÓN PLENARIA</w:t>
            </w:r>
          </w:p>
        </w:tc>
        <w:tc>
          <w:tcPr>
            <w:tcW w:w="3120" w:type="dxa"/>
            <w:shd w:val="clear" w:color="auto" w:fill="auto"/>
          </w:tcPr>
          <w:p w:rsidR="0090121B" w:rsidRPr="00220F9B" w:rsidRDefault="00AE658F" w:rsidP="00560E42">
            <w:pPr>
              <w:spacing w:before="0"/>
              <w:rPr>
                <w:rFonts w:ascii="Verdana" w:hAnsi="Verdana"/>
                <w:sz w:val="20"/>
              </w:rPr>
            </w:pPr>
            <w:r w:rsidRPr="00220F9B">
              <w:rPr>
                <w:rFonts w:ascii="Verdana" w:eastAsia="SimSun" w:hAnsi="Verdana" w:cs="Traditional Arabic"/>
                <w:b/>
                <w:sz w:val="20"/>
              </w:rPr>
              <w:t>Addéndum 1 al</w:t>
            </w:r>
            <w:r w:rsidRPr="00220F9B">
              <w:rPr>
                <w:rFonts w:ascii="Verdana" w:eastAsia="SimSun" w:hAnsi="Verdana" w:cs="Traditional Arabic"/>
                <w:b/>
                <w:sz w:val="20"/>
              </w:rPr>
              <w:br/>
              <w:t>Documento 6(Add.1)</w:t>
            </w:r>
            <w:r w:rsidR="0090121B" w:rsidRPr="00220F9B">
              <w:rPr>
                <w:rFonts w:ascii="Verdana" w:hAnsi="Verdana"/>
                <w:b/>
                <w:sz w:val="20"/>
              </w:rPr>
              <w:t>-</w:t>
            </w:r>
            <w:r w:rsidRPr="00220F9B">
              <w:rPr>
                <w:rFonts w:ascii="Verdana" w:hAnsi="Verdana"/>
                <w:b/>
                <w:sz w:val="20"/>
              </w:rPr>
              <w:t>S</w:t>
            </w:r>
          </w:p>
        </w:tc>
      </w:tr>
      <w:bookmarkEnd w:id="1"/>
      <w:tr w:rsidR="000A5B9A" w:rsidRPr="00220F9B" w:rsidTr="0090121B">
        <w:trPr>
          <w:cantSplit/>
        </w:trPr>
        <w:tc>
          <w:tcPr>
            <w:tcW w:w="6911" w:type="dxa"/>
            <w:shd w:val="clear" w:color="auto" w:fill="auto"/>
          </w:tcPr>
          <w:p w:rsidR="000A5B9A" w:rsidRPr="00220F9B" w:rsidRDefault="000A5B9A" w:rsidP="00560E42">
            <w:pPr>
              <w:spacing w:before="0" w:after="48"/>
              <w:rPr>
                <w:rFonts w:ascii="Verdana" w:hAnsi="Verdana"/>
                <w:b/>
                <w:smallCaps/>
                <w:sz w:val="20"/>
              </w:rPr>
            </w:pPr>
          </w:p>
        </w:tc>
        <w:tc>
          <w:tcPr>
            <w:tcW w:w="3120" w:type="dxa"/>
            <w:shd w:val="clear" w:color="auto" w:fill="auto"/>
          </w:tcPr>
          <w:p w:rsidR="000A5B9A" w:rsidRPr="00220F9B" w:rsidRDefault="000A5B9A" w:rsidP="00560E42">
            <w:pPr>
              <w:spacing w:before="0"/>
              <w:rPr>
                <w:rFonts w:ascii="Verdana" w:hAnsi="Verdana"/>
                <w:b/>
                <w:sz w:val="20"/>
              </w:rPr>
            </w:pPr>
            <w:r w:rsidRPr="00220F9B">
              <w:rPr>
                <w:rFonts w:ascii="Verdana" w:hAnsi="Verdana"/>
                <w:b/>
                <w:sz w:val="20"/>
              </w:rPr>
              <w:t>5 de octubre de 2015</w:t>
            </w:r>
          </w:p>
        </w:tc>
      </w:tr>
      <w:tr w:rsidR="000A5B9A" w:rsidRPr="00220F9B" w:rsidTr="0090121B">
        <w:trPr>
          <w:cantSplit/>
        </w:trPr>
        <w:tc>
          <w:tcPr>
            <w:tcW w:w="6911" w:type="dxa"/>
          </w:tcPr>
          <w:p w:rsidR="000A5B9A" w:rsidRPr="00220F9B" w:rsidRDefault="000A5B9A" w:rsidP="00560E42">
            <w:pPr>
              <w:spacing w:before="0" w:after="48"/>
              <w:rPr>
                <w:rFonts w:ascii="Verdana" w:hAnsi="Verdana"/>
                <w:b/>
                <w:smallCaps/>
                <w:sz w:val="20"/>
              </w:rPr>
            </w:pPr>
          </w:p>
        </w:tc>
        <w:tc>
          <w:tcPr>
            <w:tcW w:w="3120" w:type="dxa"/>
          </w:tcPr>
          <w:p w:rsidR="000A5B9A" w:rsidRPr="00220F9B" w:rsidRDefault="000A5B9A" w:rsidP="00560E42">
            <w:pPr>
              <w:spacing w:before="0"/>
              <w:rPr>
                <w:rFonts w:ascii="Verdana" w:hAnsi="Verdana"/>
                <w:b/>
                <w:sz w:val="20"/>
              </w:rPr>
            </w:pPr>
            <w:r w:rsidRPr="00220F9B">
              <w:rPr>
                <w:rFonts w:ascii="Verdana" w:hAnsi="Verdana"/>
                <w:b/>
                <w:sz w:val="20"/>
              </w:rPr>
              <w:t>Original: inglés</w:t>
            </w:r>
          </w:p>
        </w:tc>
      </w:tr>
      <w:tr w:rsidR="000A5B9A" w:rsidRPr="00220F9B" w:rsidTr="006744FC">
        <w:trPr>
          <w:cantSplit/>
        </w:trPr>
        <w:tc>
          <w:tcPr>
            <w:tcW w:w="10031" w:type="dxa"/>
            <w:gridSpan w:val="2"/>
          </w:tcPr>
          <w:p w:rsidR="000A5B9A" w:rsidRPr="00220F9B" w:rsidRDefault="000A5B9A" w:rsidP="00560E42">
            <w:pPr>
              <w:spacing w:before="0"/>
              <w:rPr>
                <w:rFonts w:ascii="Verdana" w:hAnsi="Verdana"/>
                <w:b/>
                <w:sz w:val="20"/>
              </w:rPr>
            </w:pPr>
          </w:p>
        </w:tc>
      </w:tr>
      <w:tr w:rsidR="000A5B9A" w:rsidRPr="00220F9B" w:rsidTr="0050008E">
        <w:trPr>
          <w:cantSplit/>
        </w:trPr>
        <w:tc>
          <w:tcPr>
            <w:tcW w:w="10031" w:type="dxa"/>
            <w:gridSpan w:val="2"/>
          </w:tcPr>
          <w:p w:rsidR="000A5B9A" w:rsidRPr="00220F9B" w:rsidRDefault="000A5B9A" w:rsidP="00560E42">
            <w:pPr>
              <w:pStyle w:val="Source"/>
            </w:pPr>
            <w:bookmarkStart w:id="2" w:name="dsource" w:colFirst="0" w:colLast="0"/>
            <w:r w:rsidRPr="00220F9B">
              <w:t>Estados Unidos de América</w:t>
            </w:r>
          </w:p>
        </w:tc>
      </w:tr>
      <w:tr w:rsidR="000A5B9A" w:rsidRPr="00220F9B" w:rsidTr="0050008E">
        <w:trPr>
          <w:cantSplit/>
        </w:trPr>
        <w:tc>
          <w:tcPr>
            <w:tcW w:w="10031" w:type="dxa"/>
            <w:gridSpan w:val="2"/>
          </w:tcPr>
          <w:p w:rsidR="000A5B9A" w:rsidRPr="00220F9B" w:rsidRDefault="00825726" w:rsidP="00560E42">
            <w:pPr>
              <w:pStyle w:val="Title1"/>
            </w:pPr>
            <w:bookmarkStart w:id="3" w:name="dtitle1" w:colFirst="0" w:colLast="0"/>
            <w:bookmarkEnd w:id="2"/>
            <w:r w:rsidRPr="00220F9B">
              <w:t>PROPUESTAS PARA LOS TRABAJOS DE LA CONFERENCIA</w:t>
            </w:r>
          </w:p>
        </w:tc>
      </w:tr>
      <w:tr w:rsidR="000A5B9A" w:rsidRPr="00220F9B" w:rsidTr="0050008E">
        <w:trPr>
          <w:cantSplit/>
        </w:trPr>
        <w:tc>
          <w:tcPr>
            <w:tcW w:w="10031" w:type="dxa"/>
            <w:gridSpan w:val="2"/>
          </w:tcPr>
          <w:p w:rsidR="000A5B9A" w:rsidRPr="00220F9B" w:rsidRDefault="000A5B9A" w:rsidP="00560E42">
            <w:pPr>
              <w:pStyle w:val="Title2"/>
            </w:pPr>
            <w:bookmarkStart w:id="4" w:name="dtitle2" w:colFirst="0" w:colLast="0"/>
            <w:bookmarkEnd w:id="3"/>
          </w:p>
        </w:tc>
      </w:tr>
      <w:tr w:rsidR="000A5B9A" w:rsidRPr="00220F9B" w:rsidTr="0050008E">
        <w:trPr>
          <w:cantSplit/>
        </w:trPr>
        <w:tc>
          <w:tcPr>
            <w:tcW w:w="10031" w:type="dxa"/>
            <w:gridSpan w:val="2"/>
          </w:tcPr>
          <w:p w:rsidR="000A5B9A" w:rsidRPr="00220F9B" w:rsidRDefault="000A5B9A" w:rsidP="00560E42">
            <w:pPr>
              <w:pStyle w:val="Agendaitem"/>
            </w:pPr>
            <w:bookmarkStart w:id="5" w:name="dtitle3" w:colFirst="0" w:colLast="0"/>
            <w:bookmarkEnd w:id="4"/>
            <w:r w:rsidRPr="00220F9B">
              <w:t>Punto 1.1 del orden del día</w:t>
            </w:r>
          </w:p>
        </w:tc>
      </w:tr>
    </w:tbl>
    <w:bookmarkEnd w:id="5"/>
    <w:p w:rsidR="001C0E40" w:rsidRPr="00220F9B" w:rsidRDefault="00AF3391" w:rsidP="00560E42">
      <w:r w:rsidRPr="00220F9B">
        <w:t>1.1</w:t>
      </w:r>
      <w:r w:rsidRPr="00220F9B">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220F9B">
        <w:rPr>
          <w:b/>
          <w:bCs/>
        </w:rPr>
        <w:t>233 (CMR</w:t>
      </w:r>
      <w:r w:rsidRPr="00220F9B">
        <w:rPr>
          <w:b/>
          <w:bCs/>
        </w:rPr>
        <w:noBreakHyphen/>
        <w:t>12)</w:t>
      </w:r>
      <w:r w:rsidRPr="00220F9B">
        <w:t>;</w:t>
      </w:r>
    </w:p>
    <w:p w:rsidR="00AF3391" w:rsidRPr="00220F9B" w:rsidRDefault="00AF3391" w:rsidP="00560E42">
      <w:pPr>
        <w:spacing w:before="240"/>
        <w:jc w:val="center"/>
        <w:rPr>
          <w:sz w:val="28"/>
          <w:szCs w:val="28"/>
        </w:rPr>
      </w:pPr>
      <w:r w:rsidRPr="00220F9B">
        <w:rPr>
          <w:sz w:val="28"/>
          <w:szCs w:val="28"/>
          <w:u w:val="single"/>
        </w:rPr>
        <w:t>NOC</w:t>
      </w:r>
      <w:r w:rsidRPr="00220F9B">
        <w:rPr>
          <w:sz w:val="28"/>
          <w:szCs w:val="28"/>
        </w:rPr>
        <w:t xml:space="preserve"> 3 300-3 400 MHz</w:t>
      </w:r>
    </w:p>
    <w:p w:rsidR="00AF3391" w:rsidRPr="00220F9B" w:rsidRDefault="00074A83" w:rsidP="00560E42">
      <w:pPr>
        <w:pStyle w:val="Headingb"/>
      </w:pPr>
      <w:r w:rsidRPr="00220F9B">
        <w:t>Antecedentes</w:t>
      </w:r>
    </w:p>
    <w:p w:rsidR="002F603D" w:rsidRPr="00220F9B" w:rsidRDefault="002F603D" w:rsidP="00220F9B">
      <w:r w:rsidRPr="00220F9B">
        <w:t>La Conferencia Mundial de Radiocomunicaciones de 2012 (CMR-12) reconoció la necesidad de espectro radioeléctrico adicional para dar cabida al creciente tráfico de datos móviles, e incluyó en el orden del día de la CMR-15 el examen de atribuciones de espectro adicionales para las aplicaciones terrenales móviles de banda ancha. La UIT creó el Grupo Mixto de Tareas Especiales (GMTE) 4-5-6-7 para efectuar estudios de compartición y redactar texto de la RPC para el punto</w:t>
      </w:r>
      <w:r w:rsidR="00220F9B" w:rsidRPr="00220F9B">
        <w:t> </w:t>
      </w:r>
      <w:r w:rsidRPr="00220F9B">
        <w:t>1.1 del orden del día de la CMR-15.</w:t>
      </w:r>
    </w:p>
    <w:p w:rsidR="00AF3391" w:rsidRPr="00220F9B" w:rsidRDefault="002F603D" w:rsidP="00220F9B">
      <w:pPr>
        <w:rPr>
          <w:lang w:eastAsia="zh-CN"/>
        </w:rPr>
      </w:pPr>
      <w:r w:rsidRPr="00220F9B">
        <w:t>Los estudios realizados en el UIT-R mostraron de manera concluyente</w:t>
      </w:r>
      <w:r w:rsidR="00DC3684" w:rsidRPr="00220F9B">
        <w:t xml:space="preserve"> que no es posible la compartición en la banda 3 300-3 400 MHz entre los sistemas de las IMT y los diversos sistemas de radiolocalización de todo el mundo debido a las repercusiones de interferencia derivadas del uso de las IMT para los sistemas de radar existentes, así como a la interferencia de los radares para los sistemas de las IMT. Los estudios del UIT-R llegaron a la siguiente conclusión: </w:t>
      </w:r>
      <w:r w:rsidR="00220F9B" w:rsidRPr="00220F9B">
        <w:t>«</w:t>
      </w:r>
      <w:r w:rsidR="00DC3684" w:rsidRPr="00220F9B">
        <w:t xml:space="preserve">Teniendo presente el despliegue mundial de los sistemas de radar presentados en la Recomendación UIT-R </w:t>
      </w:r>
      <w:r w:rsidR="00AF3391" w:rsidRPr="00220F9B">
        <w:rPr>
          <w:lang w:eastAsia="zh-CN"/>
        </w:rPr>
        <w:t xml:space="preserve">M.1465-1, </w:t>
      </w:r>
      <w:r w:rsidR="00DC3684" w:rsidRPr="00220F9B">
        <w:rPr>
          <w:lang w:eastAsia="zh-CN"/>
        </w:rPr>
        <w:t xml:space="preserve">cabe concluir que no es factible la compartición entre las IMT y el servicio de radiolocalización en la banda </w:t>
      </w:r>
      <w:r w:rsidR="00AF3391" w:rsidRPr="00220F9B">
        <w:rPr>
          <w:lang w:eastAsia="zh-CN"/>
        </w:rPr>
        <w:t>3 300-3 400 MHz.</w:t>
      </w:r>
      <w:r w:rsidR="00220F9B" w:rsidRPr="00220F9B">
        <w:rPr>
          <w:lang w:eastAsia="zh-CN"/>
        </w:rPr>
        <w:t>»</w:t>
      </w:r>
    </w:p>
    <w:p w:rsidR="00AF3391" w:rsidRPr="00220F9B" w:rsidRDefault="00AF3391" w:rsidP="00560E42">
      <w:pPr>
        <w:pStyle w:val="Headingb"/>
      </w:pPr>
      <w:r w:rsidRPr="00220F9B">
        <w:t>Prop</w:t>
      </w:r>
      <w:r w:rsidR="00DC3684" w:rsidRPr="00220F9B">
        <w:t>uesta</w:t>
      </w:r>
    </w:p>
    <w:p w:rsidR="00AF3391" w:rsidRPr="00220F9B" w:rsidRDefault="00770DC9" w:rsidP="00560E42">
      <w:pPr>
        <w:ind w:right="-142"/>
      </w:pPr>
      <w:r w:rsidRPr="00220F9B">
        <w:t xml:space="preserve">Habida cuenta de los resultados de los estudios del UIT-R, los Estados Unidos proponen que no se introduzcan modificaciones en la banda </w:t>
      </w:r>
      <w:r w:rsidR="00AF3391" w:rsidRPr="00220F9B">
        <w:t xml:space="preserve">3 300-3 400 MHz </w:t>
      </w:r>
      <w:r w:rsidRPr="00220F9B">
        <w:t>en ninguna de las tres Regiones</w:t>
      </w:r>
      <w:r w:rsidR="00AF3391" w:rsidRPr="00220F9B">
        <w:t>.</w:t>
      </w:r>
    </w:p>
    <w:p w:rsidR="008750A8" w:rsidRPr="00220F9B" w:rsidRDefault="008750A8" w:rsidP="00560E42">
      <w:pPr>
        <w:tabs>
          <w:tab w:val="clear" w:pos="1134"/>
          <w:tab w:val="clear" w:pos="1871"/>
          <w:tab w:val="clear" w:pos="2268"/>
        </w:tabs>
        <w:overflowPunct/>
        <w:autoSpaceDE/>
        <w:autoSpaceDN/>
        <w:adjustRightInd/>
        <w:spacing w:before="0"/>
        <w:textAlignment w:val="auto"/>
      </w:pPr>
      <w:r w:rsidRPr="00220F9B">
        <w:br w:type="page"/>
      </w:r>
    </w:p>
    <w:p w:rsidR="00F008F3" w:rsidRPr="00220F9B" w:rsidRDefault="00AF3391" w:rsidP="00560E42">
      <w:pPr>
        <w:pStyle w:val="ArtNo"/>
      </w:pPr>
      <w:r w:rsidRPr="00220F9B">
        <w:lastRenderedPageBreak/>
        <w:t xml:space="preserve">ARTÍCULO </w:t>
      </w:r>
      <w:r w:rsidRPr="00220F9B">
        <w:rPr>
          <w:rStyle w:val="href"/>
        </w:rPr>
        <w:t>5</w:t>
      </w:r>
    </w:p>
    <w:p w:rsidR="00F008F3" w:rsidRPr="00220F9B" w:rsidRDefault="00AF3391" w:rsidP="00560E42">
      <w:pPr>
        <w:pStyle w:val="Arttitle"/>
      </w:pPr>
      <w:r w:rsidRPr="00220F9B">
        <w:t>Atribuciones de frecuencia</w:t>
      </w:r>
    </w:p>
    <w:p w:rsidR="00F008F3" w:rsidRPr="00220F9B" w:rsidRDefault="00AF3391" w:rsidP="00560E42">
      <w:pPr>
        <w:pStyle w:val="Section1"/>
      </w:pPr>
      <w:r w:rsidRPr="00220F9B">
        <w:t>Sección IV – Cuadro de atribución de bandas de frecuencias</w:t>
      </w:r>
      <w:r w:rsidRPr="00220F9B">
        <w:br/>
      </w:r>
      <w:r w:rsidRPr="00220F9B">
        <w:rPr>
          <w:b w:val="0"/>
          <w:bCs/>
        </w:rPr>
        <w:t>(Véase el número</w:t>
      </w:r>
      <w:r w:rsidRPr="00220F9B">
        <w:t xml:space="preserve"> </w:t>
      </w:r>
      <w:r w:rsidRPr="00220F9B">
        <w:rPr>
          <w:rStyle w:val="Artref"/>
        </w:rPr>
        <w:t>2.1</w:t>
      </w:r>
      <w:r w:rsidRPr="00220F9B">
        <w:rPr>
          <w:b w:val="0"/>
          <w:bCs/>
        </w:rPr>
        <w:t>)</w:t>
      </w:r>
      <w:r w:rsidRPr="00220F9B">
        <w:br/>
      </w:r>
    </w:p>
    <w:p w:rsidR="00F35F56" w:rsidRPr="00220F9B" w:rsidRDefault="00AF3391" w:rsidP="00560E42">
      <w:pPr>
        <w:pStyle w:val="Proposal"/>
      </w:pPr>
      <w:r w:rsidRPr="00220F9B">
        <w:rPr>
          <w:u w:val="single"/>
        </w:rPr>
        <w:t>NOC</w:t>
      </w:r>
      <w:r w:rsidRPr="00220F9B">
        <w:tab/>
        <w:t>USA/6A1A1/1</w:t>
      </w:r>
    </w:p>
    <w:p w:rsidR="00F008F3" w:rsidRPr="00220F9B" w:rsidRDefault="00AF3391" w:rsidP="00560E42">
      <w:pPr>
        <w:pStyle w:val="Tabletitle"/>
      </w:pPr>
      <w:r w:rsidRPr="00220F9B">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220F9B" w:rsidTr="004C7C9D">
        <w:trPr>
          <w:cantSplit/>
          <w:trHeight w:val="20"/>
        </w:trPr>
        <w:tc>
          <w:tcPr>
            <w:tcW w:w="9203" w:type="dxa"/>
            <w:gridSpan w:val="3"/>
          </w:tcPr>
          <w:p w:rsidR="00F008F3" w:rsidRPr="00220F9B" w:rsidRDefault="00AF3391" w:rsidP="00560E42">
            <w:pPr>
              <w:pStyle w:val="Tablehead"/>
            </w:pPr>
            <w:r w:rsidRPr="00220F9B">
              <w:rPr>
                <w:color w:val="000000"/>
              </w:rPr>
              <w:t>Atribución a los servicios</w:t>
            </w:r>
          </w:p>
        </w:tc>
      </w:tr>
      <w:tr w:rsidR="00F008F3" w:rsidRPr="00220F9B" w:rsidTr="004C7C9D">
        <w:trPr>
          <w:cantSplit/>
          <w:trHeight w:val="20"/>
        </w:trPr>
        <w:tc>
          <w:tcPr>
            <w:tcW w:w="3068" w:type="dxa"/>
          </w:tcPr>
          <w:p w:rsidR="00F008F3" w:rsidRPr="00220F9B" w:rsidRDefault="00AF3391" w:rsidP="00560E42">
            <w:pPr>
              <w:pStyle w:val="Tablehead"/>
            </w:pPr>
            <w:r w:rsidRPr="00220F9B">
              <w:rPr>
                <w:color w:val="000000"/>
              </w:rPr>
              <w:t>Región 1</w:t>
            </w:r>
          </w:p>
        </w:tc>
        <w:tc>
          <w:tcPr>
            <w:tcW w:w="3067" w:type="dxa"/>
          </w:tcPr>
          <w:p w:rsidR="00F008F3" w:rsidRPr="00220F9B" w:rsidRDefault="00AF3391" w:rsidP="00560E42">
            <w:pPr>
              <w:pStyle w:val="Tablehead"/>
            </w:pPr>
            <w:r w:rsidRPr="00220F9B">
              <w:rPr>
                <w:color w:val="000000"/>
              </w:rPr>
              <w:t>Región 2</w:t>
            </w:r>
          </w:p>
        </w:tc>
        <w:tc>
          <w:tcPr>
            <w:tcW w:w="3068" w:type="dxa"/>
          </w:tcPr>
          <w:p w:rsidR="00F008F3" w:rsidRPr="00220F9B" w:rsidRDefault="00AF3391" w:rsidP="00560E42">
            <w:pPr>
              <w:pStyle w:val="Tablehead"/>
            </w:pPr>
            <w:r w:rsidRPr="00220F9B">
              <w:rPr>
                <w:color w:val="000000"/>
              </w:rPr>
              <w:t>Región 3</w:t>
            </w:r>
          </w:p>
        </w:tc>
      </w:tr>
      <w:tr w:rsidR="00F008F3" w:rsidRPr="00220F9B"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220F9B" w:rsidRDefault="00AF3391" w:rsidP="00560E42">
            <w:pPr>
              <w:pStyle w:val="TableTextS5"/>
              <w:spacing w:before="20" w:after="20"/>
              <w:ind w:left="130" w:right="130"/>
              <w:rPr>
                <w:color w:val="000000"/>
              </w:rPr>
            </w:pPr>
            <w:r w:rsidRPr="00220F9B">
              <w:rPr>
                <w:rStyle w:val="Tablefreq"/>
                <w:color w:val="000000"/>
              </w:rPr>
              <w:t>3 300-3 400</w:t>
            </w:r>
          </w:p>
          <w:p w:rsidR="00F008F3" w:rsidRPr="00220F9B" w:rsidRDefault="00AF3391" w:rsidP="00560E42">
            <w:pPr>
              <w:pStyle w:val="TableTextS5"/>
              <w:spacing w:before="20" w:after="20"/>
              <w:ind w:left="130" w:right="130"/>
              <w:rPr>
                <w:color w:val="000000"/>
              </w:rPr>
            </w:pPr>
            <w:r w:rsidRPr="00220F9B">
              <w:rPr>
                <w:color w:val="000000"/>
              </w:rPr>
              <w:t>RADIOLOCALIZACIÓN</w:t>
            </w:r>
          </w:p>
        </w:tc>
        <w:tc>
          <w:tcPr>
            <w:tcW w:w="3067" w:type="dxa"/>
            <w:tcBorders>
              <w:top w:val="single" w:sz="6" w:space="0" w:color="auto"/>
              <w:left w:val="single" w:sz="6" w:space="0" w:color="auto"/>
              <w:right w:val="single" w:sz="6" w:space="0" w:color="auto"/>
            </w:tcBorders>
          </w:tcPr>
          <w:p w:rsidR="00F008F3" w:rsidRPr="00220F9B" w:rsidRDefault="00AF3391" w:rsidP="00560E42">
            <w:pPr>
              <w:pStyle w:val="TableTextS5"/>
              <w:spacing w:before="20" w:after="20"/>
              <w:ind w:left="130" w:right="130"/>
              <w:rPr>
                <w:color w:val="000000"/>
              </w:rPr>
            </w:pPr>
            <w:r w:rsidRPr="00220F9B">
              <w:rPr>
                <w:rStyle w:val="Tablefreq"/>
                <w:color w:val="000000"/>
              </w:rPr>
              <w:t>3 300-3 400</w:t>
            </w:r>
          </w:p>
          <w:p w:rsidR="00F008F3" w:rsidRPr="00220F9B" w:rsidRDefault="00AF3391" w:rsidP="00560E42">
            <w:pPr>
              <w:pStyle w:val="TableTextS5"/>
              <w:spacing w:before="20" w:after="20"/>
              <w:ind w:left="130" w:right="130"/>
              <w:rPr>
                <w:color w:val="000000"/>
              </w:rPr>
            </w:pPr>
            <w:r w:rsidRPr="00220F9B">
              <w:rPr>
                <w:color w:val="000000"/>
              </w:rPr>
              <w:t>RADIOLOCALIZACIÓN</w:t>
            </w:r>
          </w:p>
          <w:p w:rsidR="00F008F3" w:rsidRPr="00220F9B" w:rsidRDefault="00AF3391" w:rsidP="00560E42">
            <w:pPr>
              <w:pStyle w:val="TableTextS5"/>
              <w:spacing w:before="20" w:after="20"/>
              <w:ind w:left="130" w:right="130"/>
              <w:rPr>
                <w:color w:val="000000"/>
              </w:rPr>
            </w:pPr>
            <w:r w:rsidRPr="00220F9B">
              <w:rPr>
                <w:color w:val="000000"/>
              </w:rPr>
              <w:t>Aficionados</w:t>
            </w:r>
          </w:p>
          <w:p w:rsidR="00F008F3" w:rsidRPr="00220F9B" w:rsidRDefault="00AF3391" w:rsidP="00560E42">
            <w:pPr>
              <w:pStyle w:val="TableTextS5"/>
              <w:spacing w:before="20" w:after="20"/>
              <w:ind w:left="130" w:right="130"/>
              <w:rPr>
                <w:color w:val="000000"/>
              </w:rPr>
            </w:pPr>
            <w:r w:rsidRPr="00220F9B">
              <w:rPr>
                <w:color w:val="000000"/>
              </w:rPr>
              <w:t>Fijo</w:t>
            </w:r>
          </w:p>
          <w:p w:rsidR="00F008F3" w:rsidRPr="00220F9B" w:rsidRDefault="00AF3391" w:rsidP="00560E42">
            <w:pPr>
              <w:pStyle w:val="TableTextS5"/>
              <w:spacing w:before="20" w:after="20"/>
              <w:ind w:left="130" w:right="130"/>
              <w:rPr>
                <w:color w:val="000000"/>
              </w:rPr>
            </w:pPr>
            <w:r w:rsidRPr="00220F9B">
              <w:rPr>
                <w:color w:val="000000"/>
              </w:rPr>
              <w:t>Móvil</w:t>
            </w:r>
          </w:p>
        </w:tc>
        <w:tc>
          <w:tcPr>
            <w:tcW w:w="3068" w:type="dxa"/>
            <w:tcBorders>
              <w:top w:val="single" w:sz="6" w:space="0" w:color="auto"/>
              <w:left w:val="single" w:sz="6" w:space="0" w:color="auto"/>
              <w:right w:val="single" w:sz="6" w:space="0" w:color="auto"/>
            </w:tcBorders>
          </w:tcPr>
          <w:p w:rsidR="00F008F3" w:rsidRPr="00220F9B" w:rsidRDefault="00AF3391" w:rsidP="00560E42">
            <w:pPr>
              <w:pStyle w:val="TableTextS5"/>
              <w:spacing w:before="20" w:after="20"/>
              <w:ind w:left="130" w:right="130"/>
              <w:rPr>
                <w:color w:val="000000"/>
              </w:rPr>
            </w:pPr>
            <w:r w:rsidRPr="00220F9B">
              <w:rPr>
                <w:rStyle w:val="Tablefreq"/>
                <w:color w:val="000000"/>
              </w:rPr>
              <w:t>3 300-3 400</w:t>
            </w:r>
          </w:p>
          <w:p w:rsidR="00F008F3" w:rsidRPr="00220F9B" w:rsidRDefault="00AF3391" w:rsidP="00560E42">
            <w:pPr>
              <w:pStyle w:val="TableTextS5"/>
              <w:spacing w:before="20" w:after="20"/>
              <w:ind w:left="130" w:right="130"/>
              <w:rPr>
                <w:color w:val="000000"/>
              </w:rPr>
            </w:pPr>
            <w:r w:rsidRPr="00220F9B">
              <w:rPr>
                <w:color w:val="000000"/>
              </w:rPr>
              <w:t>RADIOLOCALIZACIÓN</w:t>
            </w:r>
          </w:p>
          <w:p w:rsidR="00F008F3" w:rsidRPr="00220F9B" w:rsidRDefault="00AF3391" w:rsidP="00560E42">
            <w:pPr>
              <w:pStyle w:val="TableTextS5"/>
              <w:spacing w:before="20" w:after="20"/>
              <w:ind w:left="130" w:right="130"/>
              <w:rPr>
                <w:color w:val="000000"/>
              </w:rPr>
            </w:pPr>
            <w:r w:rsidRPr="00220F9B">
              <w:rPr>
                <w:color w:val="000000"/>
              </w:rPr>
              <w:t>Aficionados</w:t>
            </w:r>
          </w:p>
        </w:tc>
      </w:tr>
      <w:tr w:rsidR="00F008F3" w:rsidRPr="00220F9B"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220F9B" w:rsidRDefault="00AF3391" w:rsidP="00560E42">
            <w:pPr>
              <w:pStyle w:val="TableTextS5"/>
              <w:spacing w:before="20" w:after="20"/>
              <w:ind w:left="130" w:right="130"/>
              <w:rPr>
                <w:color w:val="000000"/>
              </w:rPr>
            </w:pPr>
            <w:r w:rsidRPr="00220F9B">
              <w:rPr>
                <w:rStyle w:val="Artref"/>
                <w:color w:val="000000"/>
              </w:rPr>
              <w:t>5.149</w:t>
            </w:r>
            <w:r w:rsidRPr="00220F9B">
              <w:rPr>
                <w:color w:val="000000"/>
              </w:rPr>
              <w:t xml:space="preserve">  </w:t>
            </w:r>
            <w:r w:rsidRPr="00220F9B">
              <w:rPr>
                <w:rStyle w:val="Artref"/>
                <w:color w:val="000000"/>
              </w:rPr>
              <w:t>5.429</w:t>
            </w:r>
            <w:r w:rsidRPr="00220F9B">
              <w:rPr>
                <w:color w:val="000000"/>
              </w:rPr>
              <w:t xml:space="preserve">  </w:t>
            </w:r>
            <w:r w:rsidRPr="00220F9B">
              <w:rPr>
                <w:rStyle w:val="Artref"/>
                <w:color w:val="000000"/>
              </w:rPr>
              <w:t>5.430</w:t>
            </w:r>
          </w:p>
        </w:tc>
        <w:tc>
          <w:tcPr>
            <w:tcW w:w="3067" w:type="dxa"/>
            <w:tcBorders>
              <w:left w:val="single" w:sz="6" w:space="0" w:color="auto"/>
              <w:bottom w:val="single" w:sz="6" w:space="0" w:color="auto"/>
              <w:right w:val="single" w:sz="6" w:space="0" w:color="auto"/>
            </w:tcBorders>
          </w:tcPr>
          <w:p w:rsidR="00F008F3" w:rsidRPr="00220F9B" w:rsidRDefault="00AF3391" w:rsidP="00560E42">
            <w:pPr>
              <w:pStyle w:val="TableTextS5"/>
              <w:ind w:left="130" w:right="130"/>
              <w:rPr>
                <w:color w:val="000000"/>
              </w:rPr>
            </w:pPr>
            <w:r w:rsidRPr="00220F9B">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220F9B" w:rsidRDefault="00AF3391" w:rsidP="00560E42">
            <w:pPr>
              <w:pStyle w:val="TableTextS5"/>
              <w:spacing w:before="20" w:after="20"/>
              <w:ind w:left="130" w:right="130"/>
              <w:rPr>
                <w:color w:val="000000"/>
              </w:rPr>
            </w:pPr>
            <w:r w:rsidRPr="00220F9B">
              <w:rPr>
                <w:rStyle w:val="Artref"/>
                <w:color w:val="000000"/>
              </w:rPr>
              <w:t>5.149</w:t>
            </w:r>
            <w:r w:rsidRPr="00220F9B">
              <w:rPr>
                <w:color w:val="000000"/>
              </w:rPr>
              <w:t xml:space="preserve">  </w:t>
            </w:r>
            <w:r w:rsidRPr="00220F9B">
              <w:rPr>
                <w:rStyle w:val="Artref"/>
                <w:color w:val="000000"/>
              </w:rPr>
              <w:t>5.429</w:t>
            </w:r>
          </w:p>
        </w:tc>
      </w:tr>
    </w:tbl>
    <w:p w:rsidR="00F35F56" w:rsidRPr="00220F9B" w:rsidRDefault="00AF3391" w:rsidP="00560E42">
      <w:pPr>
        <w:pStyle w:val="Reasons"/>
      </w:pPr>
      <w:r w:rsidRPr="00220F9B">
        <w:rPr>
          <w:b/>
        </w:rPr>
        <w:t>Motivos:</w:t>
      </w:r>
      <w:r w:rsidRPr="00220F9B">
        <w:tab/>
      </w:r>
      <w:r w:rsidR="00770DC9" w:rsidRPr="00220F9B">
        <w:t xml:space="preserve">Los estudios del UIT-R muestran de manera concluyente que, habida cuenta del despliegue mundial de sistemas de radiolocalización en la banda, la compartición entre las IMT y los sistemas de radiolocalización existentes no es factible en la banda </w:t>
      </w:r>
      <w:r w:rsidRPr="00220F9B">
        <w:t>3 300-3 400 MHz.</w:t>
      </w:r>
    </w:p>
    <w:p w:rsidR="00AF3391" w:rsidRPr="00220F9B" w:rsidRDefault="00AF3391" w:rsidP="00220F9B"/>
    <w:p w:rsidR="00AF3391" w:rsidRPr="00220F9B" w:rsidRDefault="00AF3391" w:rsidP="00560E42">
      <w:pPr>
        <w:jc w:val="center"/>
      </w:pPr>
      <w:bookmarkStart w:id="6" w:name="_GoBack"/>
      <w:r w:rsidRPr="00220F9B">
        <w:t>______________</w:t>
      </w:r>
      <w:bookmarkEnd w:id="6"/>
    </w:p>
    <w:sectPr w:rsidR="00AF3391" w:rsidRPr="00220F9B">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5FA3">
      <w:rPr>
        <w:noProof/>
      </w:rPr>
      <w:t>14.10.15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57" w:rsidRDefault="00800557" w:rsidP="00800557">
    <w:pPr>
      <w:pStyle w:val="Footer"/>
      <w:tabs>
        <w:tab w:val="clear" w:pos="9639"/>
        <w:tab w:val="right" w:pos="8222"/>
      </w:tabs>
      <w:rPr>
        <w:lang w:val="en-US"/>
      </w:rPr>
    </w:pPr>
    <w:r>
      <w:fldChar w:fldCharType="begin"/>
    </w:r>
    <w:r>
      <w:rPr>
        <w:lang w:val="en-US"/>
      </w:rPr>
      <w:instrText xml:space="preserve"> FILENAME \p  \* MERGEFORMAT </w:instrText>
    </w:r>
    <w:r>
      <w:fldChar w:fldCharType="separate"/>
    </w:r>
    <w:r w:rsidR="00220F9B">
      <w:rPr>
        <w:lang w:val="en-US"/>
      </w:rPr>
      <w:t>P:\ESP\ITU-R\CONF-R\CMR15\000\006ADD01ADD01S.docx</w:t>
    </w:r>
    <w:r>
      <w:fldChar w:fldCharType="end"/>
    </w:r>
    <w:r w:rsidRPr="00825726">
      <w:rPr>
        <w:lang w:val="en-US"/>
      </w:rPr>
      <w:t xml:space="preserve"> (384342)</w:t>
    </w:r>
    <w:r>
      <w:rPr>
        <w:lang w:val="en-US"/>
      </w:rPr>
      <w:tab/>
    </w:r>
    <w:r>
      <w:fldChar w:fldCharType="begin"/>
    </w:r>
    <w:r>
      <w:instrText xml:space="preserve"> SAVEDATE \@ DD.MM.YY </w:instrText>
    </w:r>
    <w:r>
      <w:fldChar w:fldCharType="separate"/>
    </w:r>
    <w:r w:rsidR="00220F9B">
      <w:t>14.10.15</w:t>
    </w:r>
    <w:r>
      <w:fldChar w:fldCharType="end"/>
    </w:r>
    <w:r>
      <w:rPr>
        <w:lang w:val="en-US"/>
      </w:rPr>
      <w:tab/>
    </w:r>
    <w:r>
      <w:fldChar w:fldCharType="begin"/>
    </w:r>
    <w:r>
      <w:instrText xml:space="preserve"> PRINTDATE \@ DD.MM.YY </w:instrText>
    </w:r>
    <w:r>
      <w:fldChar w:fldCharType="separate"/>
    </w:r>
    <w:r w:rsidR="00220F9B">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9B" w:rsidRDefault="00220F9B" w:rsidP="00220F9B">
    <w:pPr>
      <w:pStyle w:val="Footer"/>
      <w:tabs>
        <w:tab w:val="clear" w:pos="9639"/>
        <w:tab w:val="right" w:pos="8222"/>
      </w:tabs>
      <w:rPr>
        <w:lang w:val="en-US"/>
      </w:rPr>
    </w:pPr>
    <w:r>
      <w:fldChar w:fldCharType="begin"/>
    </w:r>
    <w:r>
      <w:rPr>
        <w:lang w:val="en-US"/>
      </w:rPr>
      <w:instrText xml:space="preserve"> FILENAME \p  \* MERGEFORMAT </w:instrText>
    </w:r>
    <w:r>
      <w:fldChar w:fldCharType="separate"/>
    </w:r>
    <w:r>
      <w:rPr>
        <w:lang w:val="en-US"/>
      </w:rPr>
      <w:t>P:\ESP\ITU-R\CONF-R\CMR15\000\006ADD01ADD01S.docx</w:t>
    </w:r>
    <w:r>
      <w:fldChar w:fldCharType="end"/>
    </w:r>
    <w:r w:rsidRPr="00825726">
      <w:rPr>
        <w:lang w:val="en-US"/>
      </w:rPr>
      <w:t xml:space="preserve"> (384342)</w:t>
    </w:r>
    <w:r>
      <w:rPr>
        <w:lang w:val="en-US"/>
      </w:rPr>
      <w:tab/>
    </w:r>
    <w:r>
      <w:fldChar w:fldCharType="begin"/>
    </w:r>
    <w:r>
      <w:instrText xml:space="preserve"> SAVEDATE \@ DD.MM.YY </w:instrText>
    </w:r>
    <w:r>
      <w:fldChar w:fldCharType="separate"/>
    </w:r>
    <w:r>
      <w:t>14.10.15</w:t>
    </w:r>
    <w:r>
      <w:fldChar w:fldCharType="end"/>
    </w:r>
    <w:r>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20F9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6(Add.1)(Add.1)-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4A83"/>
    <w:rsid w:val="00087AE8"/>
    <w:rsid w:val="000A5B9A"/>
    <w:rsid w:val="000E5BF9"/>
    <w:rsid w:val="000F0E6D"/>
    <w:rsid w:val="00103331"/>
    <w:rsid w:val="00121170"/>
    <w:rsid w:val="00123CC5"/>
    <w:rsid w:val="0015142D"/>
    <w:rsid w:val="001616DC"/>
    <w:rsid w:val="00163962"/>
    <w:rsid w:val="00191A97"/>
    <w:rsid w:val="001A083F"/>
    <w:rsid w:val="001C41FA"/>
    <w:rsid w:val="001E2B52"/>
    <w:rsid w:val="001E3F27"/>
    <w:rsid w:val="00220F9B"/>
    <w:rsid w:val="00236D2A"/>
    <w:rsid w:val="00255F12"/>
    <w:rsid w:val="00262C09"/>
    <w:rsid w:val="002A791F"/>
    <w:rsid w:val="002C1B26"/>
    <w:rsid w:val="002C5D6C"/>
    <w:rsid w:val="002E701F"/>
    <w:rsid w:val="002F603D"/>
    <w:rsid w:val="003248A9"/>
    <w:rsid w:val="00324FFA"/>
    <w:rsid w:val="0032680B"/>
    <w:rsid w:val="00363A65"/>
    <w:rsid w:val="003B1E8C"/>
    <w:rsid w:val="003C2508"/>
    <w:rsid w:val="003D0AA3"/>
    <w:rsid w:val="00440B3A"/>
    <w:rsid w:val="0045384C"/>
    <w:rsid w:val="00454553"/>
    <w:rsid w:val="004B124A"/>
    <w:rsid w:val="005133B5"/>
    <w:rsid w:val="00532097"/>
    <w:rsid w:val="00560E42"/>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70DC9"/>
    <w:rsid w:val="007952C7"/>
    <w:rsid w:val="007C0B95"/>
    <w:rsid w:val="007C2317"/>
    <w:rsid w:val="007D330A"/>
    <w:rsid w:val="00800557"/>
    <w:rsid w:val="00825726"/>
    <w:rsid w:val="00866AE6"/>
    <w:rsid w:val="008750A8"/>
    <w:rsid w:val="008D5FA3"/>
    <w:rsid w:val="008E5AF2"/>
    <w:rsid w:val="0090121B"/>
    <w:rsid w:val="009144C9"/>
    <w:rsid w:val="0094091F"/>
    <w:rsid w:val="00973754"/>
    <w:rsid w:val="009C0BED"/>
    <w:rsid w:val="009E11EC"/>
    <w:rsid w:val="00A118DB"/>
    <w:rsid w:val="00A4450C"/>
    <w:rsid w:val="00AA5E6C"/>
    <w:rsid w:val="00AE5677"/>
    <w:rsid w:val="00AE658F"/>
    <w:rsid w:val="00AF2F78"/>
    <w:rsid w:val="00AF3391"/>
    <w:rsid w:val="00B239FA"/>
    <w:rsid w:val="00B52D55"/>
    <w:rsid w:val="00B72446"/>
    <w:rsid w:val="00B8288C"/>
    <w:rsid w:val="00BE2E80"/>
    <w:rsid w:val="00BE5EDD"/>
    <w:rsid w:val="00BE6A1F"/>
    <w:rsid w:val="00C126C4"/>
    <w:rsid w:val="00C63EB5"/>
    <w:rsid w:val="00CC01E0"/>
    <w:rsid w:val="00CD5FEE"/>
    <w:rsid w:val="00CE60D2"/>
    <w:rsid w:val="00CE7431"/>
    <w:rsid w:val="00D0288A"/>
    <w:rsid w:val="00D72A5D"/>
    <w:rsid w:val="00DC3684"/>
    <w:rsid w:val="00DC629B"/>
    <w:rsid w:val="00E05BFF"/>
    <w:rsid w:val="00E262F1"/>
    <w:rsid w:val="00E3176A"/>
    <w:rsid w:val="00E54754"/>
    <w:rsid w:val="00E56BD3"/>
    <w:rsid w:val="00E71D14"/>
    <w:rsid w:val="00F35F5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9CA1B9-1C03-46D7-8E46-EFCFFCA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R15-WRC15-C-0006!A1-A1!MSW-S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0CD0A76-57B1-4153-BE74-D4870CE7DD20}">
  <ds:schemaRefs>
    <ds:schemaRef ds:uri="996b2e75-67fd-4955-a3b0-5ab9934cb50b"/>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8A154-8440-4B74-A5E8-75835019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R15-WRC15-C-0006!A1-A1!MSW-S</vt:lpstr>
    </vt:vector>
  </TitlesOfParts>
  <Manager>Secretaría General - Pool</Manager>
  <Company>Unión Internacional de Telecomunicaciones (UIT)</Company>
  <LinksUpToDate>false</LinksUpToDate>
  <CharactersWithSpaces>2809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R15-WRC15-C-0006!A1-A1!MSW-S</dc:title>
  <dc:subject>Conferencia Mundial de Radiocomunicaciones - 2015</dc:subject>
  <dc:creator>Documents Proposals Manager (DPM)</dc:creator>
  <cp:keywords>DPM_v5.2015.9.16_prod</cp:keywords>
  <dc:description/>
  <cp:lastModifiedBy>Spanish</cp:lastModifiedBy>
  <cp:revision>4</cp:revision>
  <cp:lastPrinted>2003-02-19T20:20:00Z</cp:lastPrinted>
  <dcterms:created xsi:type="dcterms:W3CDTF">2015-10-14T17:29:00Z</dcterms:created>
  <dcterms:modified xsi:type="dcterms:W3CDTF">2015-10-14T17:34:00Z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