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82721" w:rsidTr="0050008E">
        <w:trPr>
          <w:cantSplit/>
        </w:trPr>
        <w:tc>
          <w:tcPr>
            <w:tcW w:w="6911" w:type="dxa"/>
          </w:tcPr>
          <w:p w:rsidR="00382721" w:rsidRPr="00DF23FC" w:rsidRDefault="00382721" w:rsidP="00D405F7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382721" w:rsidRDefault="00382721" w:rsidP="00382721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3ADC7F61" wp14:editId="380F874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721" w:rsidRPr="009538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382721" w:rsidRPr="009538D2" w:rsidRDefault="00382721" w:rsidP="0038272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</w:tr>
      <w:tr w:rsidR="00382721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82721" w:rsidRPr="00C324A8" w:rsidRDefault="00382721" w:rsidP="0038272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82721" w:rsidRPr="00C324A8" w:rsidRDefault="00382721" w:rsidP="0038272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382721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382721" w:rsidRPr="009005D0" w:rsidRDefault="009005D0" w:rsidP="0038272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9005D0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120" w:type="dxa"/>
          </w:tcPr>
          <w:p w:rsidR="00382721" w:rsidRPr="00382721" w:rsidRDefault="00382721" w:rsidP="0038272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9005D0">
              <w:rPr>
                <w:rFonts w:ascii="Verdana" w:hAnsi="Verdana"/>
                <w:b/>
                <w:sz w:val="20"/>
              </w:rPr>
              <w:t>6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382721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382721" w:rsidRPr="00C324A8" w:rsidRDefault="00382721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382721" w:rsidRPr="00382721" w:rsidRDefault="00382721" w:rsidP="0038272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15 de octubre de 2015</w:t>
            </w:r>
          </w:p>
        </w:tc>
      </w:tr>
      <w:tr w:rsidR="00382721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382721" w:rsidRPr="00C324A8" w:rsidRDefault="00382721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382721" w:rsidRPr="00382721" w:rsidRDefault="00382721" w:rsidP="00382721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9005D0" w:rsidTr="0050008E">
        <w:trPr>
          <w:cantSplit/>
        </w:trPr>
        <w:tc>
          <w:tcPr>
            <w:tcW w:w="10031" w:type="dxa"/>
            <w:gridSpan w:val="2"/>
          </w:tcPr>
          <w:p w:rsidR="009005D0" w:rsidRDefault="009005D0" w:rsidP="009005D0">
            <w:pPr>
              <w:pStyle w:val="Source"/>
            </w:pPr>
            <w:bookmarkStart w:id="6" w:name="dsource" w:colFirst="0" w:colLast="0"/>
            <w:bookmarkEnd w:id="5"/>
            <w:r>
              <w:t>Estados Unidos de América</w:t>
            </w:r>
          </w:p>
        </w:tc>
      </w:tr>
      <w:tr w:rsidR="009005D0" w:rsidTr="0050008E">
        <w:trPr>
          <w:cantSplit/>
        </w:trPr>
        <w:tc>
          <w:tcPr>
            <w:tcW w:w="10031" w:type="dxa"/>
            <w:gridSpan w:val="2"/>
          </w:tcPr>
          <w:p w:rsidR="009005D0" w:rsidRDefault="009005D0" w:rsidP="009005D0">
            <w:pPr>
              <w:pStyle w:val="Title1"/>
            </w:pPr>
            <w:bookmarkStart w:id="7" w:name="dtitle1" w:colFirst="0" w:colLast="0"/>
            <w:bookmarkEnd w:id="6"/>
          </w:p>
        </w:tc>
      </w:tr>
      <w:tr w:rsidR="009005D0" w:rsidTr="0050008E">
        <w:trPr>
          <w:cantSplit/>
        </w:trPr>
        <w:tc>
          <w:tcPr>
            <w:tcW w:w="10031" w:type="dxa"/>
            <w:gridSpan w:val="2"/>
          </w:tcPr>
          <w:p w:rsidR="009005D0" w:rsidRDefault="009005D0" w:rsidP="009005D0">
            <w:pPr>
              <w:pStyle w:val="Title2"/>
              <w:spacing w:before="120"/>
            </w:pPr>
            <w:bookmarkStart w:id="8" w:name="dtitle2" w:colFirst="0" w:colLast="0"/>
            <w:bookmarkEnd w:id="7"/>
          </w:p>
        </w:tc>
      </w:tr>
      <w:tr w:rsidR="009005D0" w:rsidTr="0050008E">
        <w:trPr>
          <w:cantSplit/>
        </w:trPr>
        <w:tc>
          <w:tcPr>
            <w:tcW w:w="10031" w:type="dxa"/>
            <w:gridSpan w:val="2"/>
          </w:tcPr>
          <w:p w:rsidR="009005D0" w:rsidRDefault="009005D0" w:rsidP="009005D0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:rsidR="009005D0" w:rsidRPr="009005D0" w:rsidRDefault="009005D0" w:rsidP="006F5C23">
      <w:pPr>
        <w:spacing w:before="160"/>
      </w:pPr>
      <w:r w:rsidRPr="00143C9E">
        <w:t xml:space="preserve">Estados Unidos de América </w:t>
      </w:r>
      <w:r>
        <w:t xml:space="preserve">celebra el 150 </w:t>
      </w:r>
      <w:r w:rsidR="00F93221">
        <w:t>A</w:t>
      </w:r>
      <w:r>
        <w:t xml:space="preserve">niversario de la Unión Internacional de Telecomunicaciones (UIT), institución que continúa desempeñando un papel esencial en las telecomunicaciones internacionales. </w:t>
      </w:r>
      <w:r w:rsidRPr="00143C9E">
        <w:t xml:space="preserve">La meta de la UIT de ampliar el acceso a las telecomunicaciones coincide con el compromiso de que el marco jurídico de las telecomunicaciones en Estados Unidos de América permita </w:t>
      </w:r>
      <w:r w:rsidR="00F93221">
        <w:t>«</w:t>
      </w:r>
      <w:r w:rsidRPr="00143C9E">
        <w:t>que en la mayor medida posible, el pueblo de Estados Unidos de América disponga de … un servicio de comunicaciones alámbricas y radioeléctricas rápido, eficiente, de alcance nacional y mundial</w:t>
      </w:r>
      <w:r w:rsidR="006F5C23">
        <w:t>»</w:t>
      </w:r>
      <w:r w:rsidRPr="00143C9E">
        <w:t xml:space="preserve">. </w:t>
      </w:r>
    </w:p>
    <w:p w:rsidR="009005D0" w:rsidRPr="009005D0" w:rsidRDefault="009005D0" w:rsidP="000B7F78">
      <w:r w:rsidRPr="009005D0">
        <w:t xml:space="preserve">Las soluciones de validez mundial para la atribución de espectro </w:t>
      </w:r>
      <w:r>
        <w:t xml:space="preserve">permiten obtener economías de escala, reducir los precios y facilitar la interoperabilidad. El Sector de Radiocomunicaciones de la UIT desempeña una función única en la gestión mundial del espectro de radiofrecuencias y en particular de los usos espaciales. Se trata del único órgano que </w:t>
      </w:r>
      <w:r w:rsidR="000B7F78">
        <w:t>cuenta con la experiencia</w:t>
      </w:r>
      <w:r w:rsidR="00CF05F2">
        <w:t xml:space="preserve"> técnica</w:t>
      </w:r>
      <w:r w:rsidR="000B7F78">
        <w:t xml:space="preserve"> necesaria </w:t>
      </w:r>
      <w:r w:rsidR="00342E7E">
        <w:t>para hacerla valer con la fuerza de un tratado.</w:t>
      </w:r>
    </w:p>
    <w:p w:rsidR="00F06A65" w:rsidRDefault="00F06A65" w:rsidP="00CF05F2">
      <w:r>
        <w:t xml:space="preserve">Las decisiones adoptadas en la Conferencia Mundial de Radiocomunicaciones (CMR-15) repercutirán en el crecimiento económico y el desarrollo a nivel mundial. Estados Unidos cree que el que esta Conferencia tenga resultados positivos es esencial para facilitar el logro de objetivos críticos </w:t>
      </w:r>
      <w:r w:rsidR="00CF05F2">
        <w:t>para la</w:t>
      </w:r>
      <w:r>
        <w:t xml:space="preserve"> gestión del espectro, entre ellos las capacidades de comunicaciones avanzadas, la innovación tecnológica, el crecimiento económico y la seguridad nacional. Nos comprometemos a </w:t>
      </w:r>
      <w:r w:rsidR="00CF05F2">
        <w:t>fomentar</w:t>
      </w:r>
      <w:r>
        <w:t xml:space="preserve"> las oportunidades de compartición del espectro siempre que sea posible, y a proteger los servicios existentes cuando la compartición </w:t>
      </w:r>
      <w:r w:rsidR="00CF05F2">
        <w:t>resulte</w:t>
      </w:r>
      <w:r>
        <w:t xml:space="preserve"> inviable.</w:t>
      </w:r>
    </w:p>
    <w:p w:rsidR="00970AFC" w:rsidRPr="00970AFC" w:rsidRDefault="00970AFC" w:rsidP="00EE4906">
      <w:r w:rsidRPr="00970AFC">
        <w:t>Para EE.UU., las prioridades m</w:t>
      </w:r>
      <w:r>
        <w:t xml:space="preserve">ás críticas para la Conferencia son la adquisición de más espectro para la banda ancha móvil; </w:t>
      </w:r>
      <w:r w:rsidR="00CF05F2">
        <w:t>la preparación</w:t>
      </w:r>
      <w:r>
        <w:t xml:space="preserve"> para la explotación de</w:t>
      </w:r>
      <w:r w:rsidR="00CF05F2">
        <w:t xml:space="preserve"> los</w:t>
      </w:r>
      <w:r>
        <w:t xml:space="preserve"> sistemas de aeronaves no tripulada</w:t>
      </w:r>
      <w:r w:rsidR="00CF05F2">
        <w:t>s</w:t>
      </w:r>
      <w:r>
        <w:t xml:space="preserve"> (SANT); el establecimiento de un mecanismo para el seguimiento mundial de vuelos; y la adopción de un orden del día</w:t>
      </w:r>
      <w:r w:rsidR="00CF05F2">
        <w:t xml:space="preserve"> para la CMR-19 que facilite</w:t>
      </w:r>
      <w:r w:rsidR="0034014D">
        <w:t xml:space="preserve"> la continuidad de las innovaciones inalámbricas. Junto a otros miembros de la Comisión Interamericana de Telecomunicaciones apoyamos las Propuestas Interamericanas sobre todas estas cuestiones. Todas estas prioridades se justifican por las acuciantes necesidades</w:t>
      </w:r>
      <w:r w:rsidR="00CF05F2">
        <w:t xml:space="preserve"> existentes</w:t>
      </w:r>
      <w:r w:rsidR="0034014D">
        <w:t xml:space="preserve">; por ello, los Estados Miembros de la UIT deben actuar con eficacia para satisfacerlas. De lo contrario </w:t>
      </w:r>
      <w:r w:rsidR="00CB6A8D">
        <w:t xml:space="preserve">estarían abocadas al fracaso </w:t>
      </w:r>
      <w:r w:rsidR="0034014D">
        <w:t xml:space="preserve">industrias de miles de millones de dólares </w:t>
      </w:r>
      <w:r w:rsidR="00EA5978">
        <w:t>por no disponer de</w:t>
      </w:r>
      <w:r w:rsidR="0034014D">
        <w:t xml:space="preserve"> espectro ni regímenes reglamentarios armonizados a nivel mundial.</w:t>
      </w:r>
    </w:p>
    <w:p w:rsidR="0034014D" w:rsidRPr="0034014D" w:rsidRDefault="0034014D" w:rsidP="006F5C23">
      <w:r w:rsidRPr="0034014D">
        <w:rPr>
          <w:color w:val="000000"/>
        </w:rPr>
        <w:lastRenderedPageBreak/>
        <w:t>La atribución de espectro adicional al servicio m</w:t>
      </w:r>
      <w:r>
        <w:rPr>
          <w:color w:val="000000"/>
        </w:rPr>
        <w:t xml:space="preserve">óvil a título primario y la identificación de bandas de frecuencias adicionales para las Telecomunicaciones Móviles Internacionales (IMT) en el marco del punto 1.1 del orden del día son una alta prioridad para Estados Unidos y para la mayor parte de los países debido a que facilitarán el desarrollo de aplicaciones terrenales de la banda ancha móvil. Estados Unidos respalda la introducción de la banda ancha en tres bandas de frecuencias, a saber: </w:t>
      </w:r>
      <w:r w:rsidR="009005D0" w:rsidRPr="0034014D">
        <w:t xml:space="preserve">470-698 MHz; 1 427-1 518 MHz; </w:t>
      </w:r>
      <w:r>
        <w:t>y</w:t>
      </w:r>
      <w:r w:rsidR="009005D0" w:rsidRPr="0034014D">
        <w:t xml:space="preserve">, </w:t>
      </w:r>
      <w:r>
        <w:t>en las Amé</w:t>
      </w:r>
      <w:r w:rsidR="009005D0" w:rsidRPr="0034014D">
        <w:t>ricas, 3 400-3 700 MHz. A</w:t>
      </w:r>
      <w:r w:rsidRPr="0034014D">
        <w:t xml:space="preserve">unque Estados Unidos sólo </w:t>
      </w:r>
      <w:r w:rsidR="00EA5978">
        <w:t>proyecta</w:t>
      </w:r>
      <w:r w:rsidRPr="0034014D">
        <w:t xml:space="preserve"> implementar la banda ancha móvil en </w:t>
      </w:r>
      <w:r w:rsidR="005538C7" w:rsidRPr="0034014D">
        <w:t>parte</w:t>
      </w:r>
      <w:r w:rsidRPr="0034014D">
        <w:t xml:space="preserve"> de las bandas 470-698 MHz </w:t>
      </w:r>
      <w:r>
        <w:t>y</w:t>
      </w:r>
      <w:r w:rsidRPr="0034014D">
        <w:t xml:space="preserve"> 3</w:t>
      </w:r>
      <w:r>
        <w:t> 400</w:t>
      </w:r>
      <w:r>
        <w:noBreakHyphen/>
      </w:r>
      <w:r w:rsidRPr="0034014D">
        <w:t>3</w:t>
      </w:r>
      <w:r>
        <w:t> </w:t>
      </w:r>
      <w:r w:rsidRPr="0034014D">
        <w:t>700 MHz</w:t>
      </w:r>
      <w:r w:rsidR="00EA5978">
        <w:t>,</w:t>
      </w:r>
      <w:r w:rsidR="005C5D96">
        <w:t xml:space="preserve"> apoya el que se </w:t>
      </w:r>
      <w:r w:rsidR="00EA5978">
        <w:t>otorgue</w:t>
      </w:r>
      <w:r w:rsidR="005C5D96">
        <w:t xml:space="preserve"> a otros países la flexibilidad de elegir qué partes de esas bandas van a implementar, en su caso. Para respetar las operaciones existentes en otras gamas de frecuencias, Estados Unidos apoya las propuestas de </w:t>
      </w:r>
      <w:r w:rsidR="006F5C23">
        <w:t>«</w:t>
      </w:r>
      <w:r w:rsidR="005C5D96">
        <w:t>no efectuar cambios</w:t>
      </w:r>
      <w:r w:rsidR="006F5C23">
        <w:t>»</w:t>
      </w:r>
      <w:r w:rsidR="005C5D96">
        <w:t xml:space="preserve"> para estas frecuencias.</w:t>
      </w:r>
    </w:p>
    <w:p w:rsidR="005C5D96" w:rsidRPr="005C5D96" w:rsidRDefault="005C5D96" w:rsidP="008F68FB">
      <w:pPr>
        <w:rPr>
          <w:snapToGrid w:val="0"/>
          <w:lang w:eastAsia="ja-JP"/>
        </w:rPr>
      </w:pPr>
      <w:r w:rsidRPr="005C5D96">
        <w:rPr>
          <w:snapToGrid w:val="0"/>
          <w:lang w:eastAsia="ja-JP"/>
        </w:rPr>
        <w:t>La aparición de SANT medianos y grandes para aplicaciones civiles y comerciales se cuenta entre los progresos de la aviaci</w:t>
      </w:r>
      <w:r>
        <w:rPr>
          <w:snapToGrid w:val="0"/>
          <w:lang w:eastAsia="ja-JP"/>
        </w:rPr>
        <w:t xml:space="preserve">ón más importantes </w:t>
      </w:r>
      <w:r w:rsidR="00385DF0">
        <w:rPr>
          <w:snapToGrid w:val="0"/>
          <w:lang w:eastAsia="ja-JP"/>
        </w:rPr>
        <w:t xml:space="preserve">registrados </w:t>
      </w:r>
      <w:r>
        <w:rPr>
          <w:snapToGrid w:val="0"/>
          <w:lang w:eastAsia="ja-JP"/>
        </w:rPr>
        <w:t xml:space="preserve">en varios decenios. Entre las aplicaciones para estos SANT se encuentran las operaciones de búsqueda y salvamento, la predicción meteorológica, la lucha </w:t>
      </w:r>
      <w:r w:rsidR="008F68FB">
        <w:rPr>
          <w:snapToGrid w:val="0"/>
          <w:lang w:eastAsia="ja-JP"/>
        </w:rPr>
        <w:t xml:space="preserve">contra </w:t>
      </w:r>
      <w:r>
        <w:rPr>
          <w:snapToGrid w:val="0"/>
          <w:lang w:eastAsia="ja-JP"/>
        </w:rPr>
        <w:t>incendios</w:t>
      </w:r>
      <w:r w:rsidR="008F68FB">
        <w:rPr>
          <w:snapToGrid w:val="0"/>
          <w:lang w:eastAsia="ja-JP"/>
        </w:rPr>
        <w:t>, la respuesta ante catástrofes, la agricultura de precisión, la fotografía aérea, la entrega de materiales, y la supervisión de infraestructuras y fronteras, por citar sólo algunas. El potencial de contribución de esta industria al crecimiento económico y al bienestar de los países desarrollados y en desarrollo por igual es enorme.</w:t>
      </w:r>
    </w:p>
    <w:p w:rsidR="008F68FB" w:rsidRPr="008F68FB" w:rsidRDefault="008F68FB" w:rsidP="00385DF0">
      <w:pPr>
        <w:rPr>
          <w:lang w:eastAsia="ja-JP"/>
        </w:rPr>
      </w:pPr>
      <w:r>
        <w:rPr>
          <w:lang w:eastAsia="ja-JP"/>
        </w:rPr>
        <w:t>El fun</w:t>
      </w:r>
      <w:r w:rsidRPr="008F68FB">
        <w:rPr>
          <w:lang w:eastAsia="ja-JP"/>
        </w:rPr>
        <w:t>cionamie</w:t>
      </w:r>
      <w:r>
        <w:rPr>
          <w:lang w:eastAsia="ja-JP"/>
        </w:rPr>
        <w:t>n</w:t>
      </w:r>
      <w:r w:rsidRPr="008F68FB">
        <w:rPr>
          <w:lang w:eastAsia="ja-JP"/>
        </w:rPr>
        <w:t>to de SANT fuera del espacio a</w:t>
      </w:r>
      <w:r>
        <w:rPr>
          <w:lang w:eastAsia="ja-JP"/>
        </w:rPr>
        <w:t xml:space="preserve">éreo segregado necesita resolver los mismos problemas que las aeronaves tripuladas, o sea, la integración segura y eficiente en el sistema de control del tráfico aéreo. La CMR-15 sólo tiene dos alternativas para el punto 1.5 del orden del día: </w:t>
      </w:r>
      <w:r w:rsidR="003F2C03">
        <w:rPr>
          <w:lang w:eastAsia="ja-JP"/>
        </w:rPr>
        <w:t xml:space="preserve">utilizar el servicio fijo por satélite disponible o no hacer nada. Es indispensable que la CMR-15 adopte disposiciones en materia de espectro y </w:t>
      </w:r>
      <w:r w:rsidR="00385DF0">
        <w:rPr>
          <w:lang w:eastAsia="ja-JP"/>
        </w:rPr>
        <w:t>reglamentación</w:t>
      </w:r>
      <w:r w:rsidR="003F2C03">
        <w:rPr>
          <w:lang w:eastAsia="ja-JP"/>
        </w:rPr>
        <w:t xml:space="preserve"> que hagan posible el mando y control de los SANT y ponga al alcance de todos los habitantes del mund</w:t>
      </w:r>
      <w:r w:rsidR="00C55123">
        <w:rPr>
          <w:lang w:eastAsia="ja-JP"/>
        </w:rPr>
        <w:t>o</w:t>
      </w:r>
      <w:r w:rsidR="003F2C03">
        <w:rPr>
          <w:lang w:eastAsia="ja-JP"/>
        </w:rPr>
        <w:t xml:space="preserve"> los beneficios de esta nueva tecnología de telecomunicaciones.</w:t>
      </w:r>
    </w:p>
    <w:p w:rsidR="003F2C03" w:rsidRPr="00C55123" w:rsidRDefault="003F2C03" w:rsidP="001C3979">
      <w:r w:rsidRPr="003F2C03">
        <w:t>También debemos adoptar medidas sobre la cuesti</w:t>
      </w:r>
      <w:r>
        <w:t xml:space="preserve">ón del Seguimiento Mundial de Vuelos y responder </w:t>
      </w:r>
      <w:r w:rsidR="00C55123">
        <w:t xml:space="preserve">al reparto de tareas urgentes efectuado por la Conferencia de Plenipotenciarios de 2014. Estados Unidos </w:t>
      </w:r>
      <w:r w:rsidR="004C5279">
        <w:t>y casi veinte</w:t>
      </w:r>
      <w:r w:rsidR="00C55123">
        <w:t xml:space="preserve"> países de las Américas apoyan un planteamiento dual: 1) la adición de un atribución al servicio móvil aeronáutico (R) por satélite (SMA(R)S)</w:t>
      </w:r>
      <w:r w:rsidR="00CE2606">
        <w:t xml:space="preserve"> </w:t>
      </w:r>
      <w:r w:rsidR="00C55123">
        <w:t>en la banda de frecuencias 1</w:t>
      </w:r>
      <w:r w:rsidR="001C3979">
        <w:t> </w:t>
      </w:r>
      <w:r w:rsidR="00C55123">
        <w:t>087,</w:t>
      </w:r>
      <w:r w:rsidR="00C55123" w:rsidRPr="00C55123">
        <w:t>7-1 </w:t>
      </w:r>
      <w:r w:rsidR="00C55123">
        <w:t>092,</w:t>
      </w:r>
      <w:r w:rsidR="00C55123" w:rsidRPr="00C55123">
        <w:t>3 MHz</w:t>
      </w:r>
      <w:r w:rsidR="00C55123">
        <w:t xml:space="preserve"> para facilitar la recepción por satélite de las transmisiones</w:t>
      </w:r>
      <w:r w:rsidR="00CE2606">
        <w:t xml:space="preserve"> </w:t>
      </w:r>
      <w:r w:rsidR="00C55123">
        <w:t xml:space="preserve">del sistema de vigilancia dependiente automática </w:t>
      </w:r>
      <w:r w:rsidR="00C55123" w:rsidRPr="00C55123">
        <w:t>–</w:t>
      </w:r>
      <w:r w:rsidR="00C55123">
        <w:t xml:space="preserve"> radiodifusión (ADS-B) como posible elemento constituyente del sistema de seguimiento mundial de vuelos, y 2) la adición de un punto al orden del día de la CMR de 2019 para intentar resolver otras necesidades relacionadas con el </w:t>
      </w:r>
      <w:r w:rsidR="00F9032E">
        <w:t>Sistema de Socorro y Seguridad Aeronáuticos (SMSSA).</w:t>
      </w:r>
    </w:p>
    <w:p w:rsidR="004F3ABB" w:rsidRDefault="00F9032E" w:rsidP="001C3979">
      <w:r w:rsidRPr="00F9032E">
        <w:t>La Conferencia examinará asimismo dos puntos del orden del d</w:t>
      </w:r>
      <w:r>
        <w:t xml:space="preserve">ía que afectan a las redes de satélites </w:t>
      </w:r>
      <w:r w:rsidR="004B6463">
        <w:t xml:space="preserve">y </w:t>
      </w:r>
      <w:r>
        <w:t xml:space="preserve">que son especialmente importantes para Estados Unidos. Hemos efectuado un completo análisis de las posibles alternativas </w:t>
      </w:r>
      <w:r w:rsidR="004B6463">
        <w:t>de</w:t>
      </w:r>
      <w:r>
        <w:t xml:space="preserve"> atribuciones a título primario al servicio fijo por satélite (SFS) en la gama </w:t>
      </w:r>
      <w:r w:rsidRPr="00F9032E">
        <w:t>13</w:t>
      </w:r>
      <w:r w:rsidRPr="00F9032E">
        <w:noBreakHyphen/>
        <w:t>17 GHz</w:t>
      </w:r>
      <w:r>
        <w:t xml:space="preserve"> en el marco del punto 1.6 del orden del día, y hemos llegado a la conclusión de que tal compartición es inviable. Estados Unidos y otras administraciones explotan </w:t>
      </w:r>
      <w:r w:rsidR="004B6463">
        <w:t xml:space="preserve">en esta gama </w:t>
      </w:r>
      <w:r w:rsidR="004F3ABB">
        <w:t>sistemas móviles aeronáuticos que llevan a cabo misiones críticas de servicio público, entre ellas las operaciones de control del tráfico aéreo, misiones humanitarias y asistencia para la seguridad y depende</w:t>
      </w:r>
      <w:r w:rsidR="004B6463">
        <w:t>n</w:t>
      </w:r>
      <w:r w:rsidR="004F3ABB">
        <w:t xml:space="preserve"> especialmente del acceso a la banda 14,5-14,8 GHz. Estados Unidos podría aceptar una atribución de 25</w:t>
      </w:r>
      <w:r w:rsidR="004B6463">
        <w:t>0</w:t>
      </w:r>
      <w:r w:rsidR="004F3ABB">
        <w:t xml:space="preserve"> MHz en la banda 13,4-13,75 MHz para un enlace descendente en la Región 1 si llegara a proponerse, de lo contrario apoyaría </w:t>
      </w:r>
      <w:r w:rsidR="001C3979">
        <w:t>«</w:t>
      </w:r>
      <w:r w:rsidR="004F3ABB">
        <w:t>no efectuar modificaciones</w:t>
      </w:r>
      <w:r w:rsidR="001C3979">
        <w:t>»</w:t>
      </w:r>
      <w:r w:rsidR="004F3ABB">
        <w:t xml:space="preserve"> a fin de proteger los sistemas establecidos.</w:t>
      </w:r>
    </w:p>
    <w:p w:rsidR="007F1D68" w:rsidRPr="007F1D68" w:rsidRDefault="007F1D68" w:rsidP="001A0AAA">
      <w:r w:rsidRPr="007F1D68">
        <w:t>Estados Unidos también apoya la modificaci</w:t>
      </w:r>
      <w:r>
        <w:t>ón efectiva del proceso de inscripción de satélites para aumentar la claridad y transparencia del mismo,</w:t>
      </w:r>
      <w:r w:rsidR="00CE2606">
        <w:t xml:space="preserve"> </w:t>
      </w:r>
      <w:r>
        <w:t xml:space="preserve">reducir las cargas administrativas y </w:t>
      </w:r>
      <w:r w:rsidR="00A10200">
        <w:t xml:space="preserve">facilitar a la Oficina de Radiocomunicaciones la información necesaria para el mantenimiento del Registro Internacional de Frecuencias. Nuestro objetivo </w:t>
      </w:r>
      <w:r w:rsidR="001A0AAA">
        <w:t xml:space="preserve">primordial </w:t>
      </w:r>
      <w:r w:rsidR="00A10200">
        <w:t xml:space="preserve">para el punto 7 del orden del día es </w:t>
      </w:r>
      <w:r w:rsidR="005538C7">
        <w:lastRenderedPageBreak/>
        <w:t>preservar</w:t>
      </w:r>
      <w:r w:rsidR="00A10200">
        <w:t xml:space="preserve"> un proceso estable de inscripción de satélites que beneficie a los operadores de satélites de todo el mundo, tanto para los nuevos lanzamientos como para los sistemas de satélites desplegados, y presente las mínimas restricciones o cargas posibles para la gestión de la red de satélites sin perjuici</w:t>
      </w:r>
      <w:r w:rsidR="00AB6C6D">
        <w:t>o del respe</w:t>
      </w:r>
      <w:r w:rsidR="00A10200">
        <w:t>to de los derechos de las Administraciones.</w:t>
      </w:r>
    </w:p>
    <w:p w:rsidR="009005D0" w:rsidRPr="005538C7" w:rsidRDefault="00341F86" w:rsidP="005538C7">
      <w:r w:rsidRPr="00341F86">
        <w:t>En cuanto al orden del d</w:t>
      </w:r>
      <w:r>
        <w:t>ía de la CMR-19, Estados Unidos identifica los cuatro puntos prioritarios siguientes en apoyo de la continuación de la innovación en la industria inalámbrica, la extensión de la banda ancha móvil a las zonas insuficientemente atendidas y la satisfacción de las necesidades de la aviación</w:t>
      </w:r>
      <w:r w:rsidR="009005D0" w:rsidRPr="005538C7">
        <w:t>:</w:t>
      </w:r>
    </w:p>
    <w:p w:rsidR="009005D0" w:rsidRPr="00341F86" w:rsidRDefault="009005D0" w:rsidP="006F5C23">
      <w:pPr>
        <w:pStyle w:val="enumlev1"/>
      </w:pPr>
      <w:r w:rsidRPr="00341F86">
        <w:t>–</w:t>
      </w:r>
      <w:r w:rsidRPr="00341F86">
        <w:tab/>
      </w:r>
      <w:r w:rsidR="00341F86" w:rsidRPr="00341F86">
        <w:t>Apoyar la evolución de los sistemas inal</w:t>
      </w:r>
      <w:r w:rsidR="00341F86">
        <w:t xml:space="preserve">ámbricos móviles 5G sustentada por estudios del espectro por encima de 6 GHz, especialmente en las gamas de frecuencias </w:t>
      </w:r>
      <w:r w:rsidRPr="00341F86">
        <w:t>27</w:t>
      </w:r>
      <w:r w:rsidR="00341F86">
        <w:t>,</w:t>
      </w:r>
      <w:r w:rsidRPr="00341F86">
        <w:t>5</w:t>
      </w:r>
      <w:r w:rsidR="006F5C23">
        <w:noBreakHyphen/>
      </w:r>
      <w:r w:rsidRPr="00341F86">
        <w:t>29</w:t>
      </w:r>
      <w:r w:rsidR="00341F86">
        <w:t>,</w:t>
      </w:r>
      <w:r w:rsidR="007F1034">
        <w:t>5</w:t>
      </w:r>
      <w:r w:rsidR="006F5C23">
        <w:t> </w:t>
      </w:r>
      <w:r w:rsidR="007F1034">
        <w:t>GHz;</w:t>
      </w:r>
      <w:r w:rsidRPr="00341F86">
        <w:t xml:space="preserve"> 37</w:t>
      </w:r>
      <w:r w:rsidR="00341F86">
        <w:t>,</w:t>
      </w:r>
      <w:r w:rsidRPr="00341F86">
        <w:t>0-40</w:t>
      </w:r>
      <w:r w:rsidR="00341F86">
        <w:t>,</w:t>
      </w:r>
      <w:r w:rsidRPr="00341F86">
        <w:t>5 GHz</w:t>
      </w:r>
      <w:r w:rsidR="007F1034">
        <w:t>;</w:t>
      </w:r>
      <w:r w:rsidRPr="00341F86">
        <w:t xml:space="preserve"> 47</w:t>
      </w:r>
      <w:r w:rsidR="00341F86">
        <w:t>,</w:t>
      </w:r>
      <w:r w:rsidRPr="00341F86">
        <w:t>2-50</w:t>
      </w:r>
      <w:r w:rsidR="00341F86">
        <w:t>,</w:t>
      </w:r>
      <w:r w:rsidRPr="00341F86">
        <w:t>2 GHz</w:t>
      </w:r>
      <w:r w:rsidR="007F1034">
        <w:t>;</w:t>
      </w:r>
      <w:r w:rsidRPr="00341F86">
        <w:t xml:space="preserve"> 50</w:t>
      </w:r>
      <w:r w:rsidR="00341F86">
        <w:t>,</w:t>
      </w:r>
      <w:r w:rsidRPr="00341F86">
        <w:t>4-52</w:t>
      </w:r>
      <w:r w:rsidR="00341F86">
        <w:t>,</w:t>
      </w:r>
      <w:r w:rsidRPr="00341F86">
        <w:t xml:space="preserve">6 GHz </w:t>
      </w:r>
      <w:r w:rsidR="00341F86">
        <w:t>y</w:t>
      </w:r>
      <w:r w:rsidRPr="00341F86">
        <w:t xml:space="preserve"> 59</w:t>
      </w:r>
      <w:r w:rsidR="00341F86">
        <w:t>,</w:t>
      </w:r>
      <w:r w:rsidR="006F5C23">
        <w:t>3-71 GHz.</w:t>
      </w:r>
    </w:p>
    <w:p w:rsidR="007F1034" w:rsidRPr="007F1034" w:rsidRDefault="009005D0" w:rsidP="007F1034">
      <w:pPr>
        <w:pStyle w:val="enumlev1"/>
      </w:pPr>
      <w:r w:rsidRPr="007F1034">
        <w:t>–</w:t>
      </w:r>
      <w:r w:rsidRPr="007F1034">
        <w:tab/>
      </w:r>
      <w:r w:rsidR="007F1034" w:rsidRPr="007F1034">
        <w:t>Estudiar una atribución al servicio m</w:t>
      </w:r>
      <w:r w:rsidR="007F1034">
        <w:t xml:space="preserve">óvil a título primario en la banda </w:t>
      </w:r>
      <w:r w:rsidR="007F1034" w:rsidRPr="007F1034">
        <w:t>5 350-5 470 MHz</w:t>
      </w:r>
      <w:r w:rsidR="007F1034">
        <w:t xml:space="preserve"> y la identificación para los sistemas de acceso inalámbricos, entre ellos las redes radioeléctricas de área local (RLAN, </w:t>
      </w:r>
      <w:r w:rsidR="007F1034" w:rsidRPr="007F1034">
        <w:rPr>
          <w:i/>
          <w:iCs/>
        </w:rPr>
        <w:t>Radio Local Area Network</w:t>
      </w:r>
      <w:r w:rsidR="007F1034">
        <w:t>).</w:t>
      </w:r>
    </w:p>
    <w:p w:rsidR="007F1034" w:rsidRPr="007F1034" w:rsidRDefault="009005D0" w:rsidP="009005D0">
      <w:pPr>
        <w:pStyle w:val="enumlev1"/>
      </w:pPr>
      <w:r w:rsidRPr="007F1034">
        <w:t>–</w:t>
      </w:r>
      <w:r w:rsidRPr="007F1034">
        <w:tab/>
      </w:r>
      <w:r w:rsidR="007F1034" w:rsidRPr="007F1034">
        <w:t xml:space="preserve">Llevar la banda ancha a los países en desarrollo utilizando aviones </w:t>
      </w:r>
      <w:r w:rsidR="007F1034">
        <w:t>solares funcionando en un punto fijo a una altura de 20</w:t>
      </w:r>
      <w:r w:rsidR="00D66247">
        <w:t xml:space="preserve"> </w:t>
      </w:r>
      <w:r w:rsidR="007F1034">
        <w:t>km, identificando como mínimo 2 GHz de</w:t>
      </w:r>
      <w:r w:rsidR="00D66247">
        <w:t>l</w:t>
      </w:r>
      <w:r w:rsidR="007F1034">
        <w:t xml:space="preserve"> espectro ya atribuido al servicio fijo para este fin.</w:t>
      </w:r>
    </w:p>
    <w:p w:rsidR="00A625E7" w:rsidRDefault="009005D0" w:rsidP="00D66247">
      <w:pPr>
        <w:pStyle w:val="enumlev1"/>
      </w:pPr>
      <w:r w:rsidRPr="007F1034">
        <w:t>–</w:t>
      </w:r>
      <w:r w:rsidRPr="007F1034">
        <w:tab/>
      </w:r>
      <w:r w:rsidR="007F1034" w:rsidRPr="007F1034">
        <w:t>Intentar satisfacer las necesidades de la OACI</w:t>
      </w:r>
      <w:r w:rsidR="00D66247">
        <w:t>,</w:t>
      </w:r>
      <w:r w:rsidR="007F1034" w:rsidRPr="007F1034">
        <w:t xml:space="preserve"> en </w:t>
      </w:r>
      <w:r w:rsidR="00D66247">
        <w:t xml:space="preserve">constante </w:t>
      </w:r>
      <w:r w:rsidR="007F1034" w:rsidRPr="007F1034">
        <w:t>evoluci</w:t>
      </w:r>
      <w:r w:rsidR="007F1034">
        <w:t>ón</w:t>
      </w:r>
      <w:r w:rsidR="00D66247">
        <w:t>,</w:t>
      </w:r>
      <w:r w:rsidR="007F1034">
        <w:t xml:space="preserve"> </w:t>
      </w:r>
      <w:r w:rsidR="00D66247">
        <w:t>en relación con</w:t>
      </w:r>
      <w:r w:rsidR="007F1034">
        <w:t xml:space="preserve"> el </w:t>
      </w:r>
      <w:r w:rsidR="00A625E7" w:rsidRPr="00A625E7">
        <w:t>Sistema Mundial de Socorro y Seguridad Aeronáuticos</w:t>
      </w:r>
      <w:r w:rsidR="00A625E7">
        <w:t>.</w:t>
      </w:r>
    </w:p>
    <w:p w:rsidR="006F5C23" w:rsidRDefault="00A625E7" w:rsidP="001C3979">
      <w:r w:rsidRPr="00A625E7">
        <w:t>Estados Unidos desea manifestar su deseo de colaborar con sus colegas en la b</w:t>
      </w:r>
      <w:r>
        <w:t>úsq</w:t>
      </w:r>
      <w:r w:rsidR="00CE2606">
        <w:t>ueda de soluciones consensuadas</w:t>
      </w:r>
      <w:r>
        <w:t xml:space="preserve"> los problemas que se traten en la CMR-15 y en la adopción de un orden del día para la CMR-19 que responda a las necesidades más urgentes de la comunidad mundial y demuestre la capacidad de la UIT para afrontar el veloz progreso tecnológico.</w:t>
      </w:r>
    </w:p>
    <w:p w:rsidR="006F5C23" w:rsidRDefault="006F5C23" w:rsidP="0032202E">
      <w:pPr>
        <w:pStyle w:val="Reasons"/>
      </w:pPr>
    </w:p>
    <w:p w:rsidR="001C3979" w:rsidRDefault="001C3979">
      <w:pPr>
        <w:jc w:val="center"/>
      </w:pPr>
      <w:r>
        <w:t>______________</w:t>
      </w:r>
    </w:p>
    <w:p w:rsidR="00A625E7" w:rsidRPr="00A625E7" w:rsidRDefault="00A625E7" w:rsidP="00A625E7"/>
    <w:sectPr w:rsidR="00A625E7" w:rsidRPr="00A62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59" w:rsidRDefault="001B3859">
      <w:r>
        <w:separator/>
      </w:r>
    </w:p>
  </w:endnote>
  <w:endnote w:type="continuationSeparator" w:id="0">
    <w:p w:rsidR="001B3859" w:rsidRDefault="001B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538C7">
      <w:rPr>
        <w:noProof/>
        <w:lang w:val="en-US"/>
      </w:rPr>
      <w:t>C:\Users\brotons\Desktop\ACBA 2015\Trad14 378331\006S (378331) 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28C5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38C7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F5C23">
      <w:rPr>
        <w:lang w:val="en-US"/>
      </w:rPr>
      <w:t>P:\ESP\ITU-R\CONF-R\CMR15\000\006S.docx</w:t>
    </w:r>
    <w:r>
      <w:fldChar w:fldCharType="end"/>
    </w:r>
    <w:r w:rsidR="006F5C23">
      <w:t xml:space="preserve"> (378331)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28C5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5C23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8C5" w:rsidRDefault="005628C5" w:rsidP="005628C5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P:\ESP\ITU-R\CONF-R\CMR15\000\006S.docx</w:t>
    </w:r>
    <w:r>
      <w:fldChar w:fldCharType="end"/>
    </w:r>
    <w:r>
      <w:t xml:space="preserve"> (378331)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21.10.15</w:t>
    </w:r>
    <w:r>
      <w:fldChar w:fldCharType="end"/>
    </w:r>
    <w:bookmarkStart w:id="10" w:name="_GoBack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59" w:rsidRDefault="001B3859">
      <w:r>
        <w:rPr>
          <w:b/>
        </w:rPr>
        <w:t>_______________</w:t>
      </w:r>
    </w:p>
  </w:footnote>
  <w:footnote w:type="continuationSeparator" w:id="0">
    <w:p w:rsidR="001B3859" w:rsidRDefault="001B3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8C5" w:rsidRDefault="005628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23" w:rsidRDefault="006F5C23" w:rsidP="006F5C2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628C5">
      <w:rPr>
        <w:noProof/>
      </w:rPr>
      <w:t>3</w:t>
    </w:r>
    <w:r>
      <w:fldChar w:fldCharType="end"/>
    </w:r>
  </w:p>
  <w:p w:rsidR="006F5C23" w:rsidRPr="00800972" w:rsidRDefault="006F5C23" w:rsidP="006F5C23">
    <w:pPr>
      <w:pStyle w:val="Header"/>
    </w:pPr>
    <w:r>
      <w:t>CMR15/6-S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8C5" w:rsidRDefault="005628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21"/>
    <w:rsid w:val="00087AE8"/>
    <w:rsid w:val="000B7F78"/>
    <w:rsid w:val="000C411B"/>
    <w:rsid w:val="000D1059"/>
    <w:rsid w:val="000E5BF9"/>
    <w:rsid w:val="000F0E6D"/>
    <w:rsid w:val="00121170"/>
    <w:rsid w:val="00123CC5"/>
    <w:rsid w:val="0013204F"/>
    <w:rsid w:val="0015142D"/>
    <w:rsid w:val="001616DC"/>
    <w:rsid w:val="00163962"/>
    <w:rsid w:val="00191A97"/>
    <w:rsid w:val="001A0AAA"/>
    <w:rsid w:val="001B3859"/>
    <w:rsid w:val="001C3979"/>
    <w:rsid w:val="001C41FA"/>
    <w:rsid w:val="001E2B52"/>
    <w:rsid w:val="001E3F27"/>
    <w:rsid w:val="00236D2A"/>
    <w:rsid w:val="00255F12"/>
    <w:rsid w:val="00262C09"/>
    <w:rsid w:val="002A791F"/>
    <w:rsid w:val="002C1B26"/>
    <w:rsid w:val="002E701F"/>
    <w:rsid w:val="0032680B"/>
    <w:rsid w:val="0034014D"/>
    <w:rsid w:val="00341F86"/>
    <w:rsid w:val="00342E7E"/>
    <w:rsid w:val="00363A65"/>
    <w:rsid w:val="00370BFF"/>
    <w:rsid w:val="00377704"/>
    <w:rsid w:val="00382721"/>
    <w:rsid w:val="00385DF0"/>
    <w:rsid w:val="003C2508"/>
    <w:rsid w:val="003D0AA3"/>
    <w:rsid w:val="003F2C03"/>
    <w:rsid w:val="00454553"/>
    <w:rsid w:val="004859DF"/>
    <w:rsid w:val="004B124A"/>
    <w:rsid w:val="004B6463"/>
    <w:rsid w:val="004C5279"/>
    <w:rsid w:val="004F3ABB"/>
    <w:rsid w:val="00532097"/>
    <w:rsid w:val="005538C7"/>
    <w:rsid w:val="005628C5"/>
    <w:rsid w:val="0058350F"/>
    <w:rsid w:val="005C5D96"/>
    <w:rsid w:val="005F2605"/>
    <w:rsid w:val="00662BA0"/>
    <w:rsid w:val="00692AAE"/>
    <w:rsid w:val="006D6E67"/>
    <w:rsid w:val="006F5C23"/>
    <w:rsid w:val="00701C20"/>
    <w:rsid w:val="007354E9"/>
    <w:rsid w:val="007542C0"/>
    <w:rsid w:val="00765578"/>
    <w:rsid w:val="0077084A"/>
    <w:rsid w:val="00771664"/>
    <w:rsid w:val="007C2317"/>
    <w:rsid w:val="007D330A"/>
    <w:rsid w:val="007F1034"/>
    <w:rsid w:val="007F1D68"/>
    <w:rsid w:val="00866AE6"/>
    <w:rsid w:val="008F68FB"/>
    <w:rsid w:val="009005D0"/>
    <w:rsid w:val="0094091F"/>
    <w:rsid w:val="009538D2"/>
    <w:rsid w:val="00970AFC"/>
    <w:rsid w:val="00973754"/>
    <w:rsid w:val="009C0BED"/>
    <w:rsid w:val="009E11EC"/>
    <w:rsid w:val="009F6FD5"/>
    <w:rsid w:val="00A10200"/>
    <w:rsid w:val="00A118DB"/>
    <w:rsid w:val="00A4450C"/>
    <w:rsid w:val="00A625E7"/>
    <w:rsid w:val="00AA5E6C"/>
    <w:rsid w:val="00AA7C87"/>
    <w:rsid w:val="00AB6C6D"/>
    <w:rsid w:val="00AE5677"/>
    <w:rsid w:val="00AF2F78"/>
    <w:rsid w:val="00B52D55"/>
    <w:rsid w:val="00BE2E80"/>
    <w:rsid w:val="00BE5EDD"/>
    <w:rsid w:val="00BE6A1F"/>
    <w:rsid w:val="00C126C4"/>
    <w:rsid w:val="00C55123"/>
    <w:rsid w:val="00C63EB5"/>
    <w:rsid w:val="00CB6A8D"/>
    <w:rsid w:val="00CC01E0"/>
    <w:rsid w:val="00CE2606"/>
    <w:rsid w:val="00CE60D2"/>
    <w:rsid w:val="00CF05F2"/>
    <w:rsid w:val="00D0288A"/>
    <w:rsid w:val="00D405F7"/>
    <w:rsid w:val="00D66247"/>
    <w:rsid w:val="00D72A5D"/>
    <w:rsid w:val="00D835F5"/>
    <w:rsid w:val="00DC629B"/>
    <w:rsid w:val="00E25D92"/>
    <w:rsid w:val="00E262F1"/>
    <w:rsid w:val="00E71D14"/>
    <w:rsid w:val="00EA5978"/>
    <w:rsid w:val="00EE4906"/>
    <w:rsid w:val="00EF3A2A"/>
    <w:rsid w:val="00F06A65"/>
    <w:rsid w:val="00F8150C"/>
    <w:rsid w:val="00F9032E"/>
    <w:rsid w:val="00F93221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2161DB0-4CF5-40C2-904F-FF65BE41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405F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405F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405F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405F7"/>
    <w:pPr>
      <w:outlineLvl w:val="3"/>
    </w:pPr>
  </w:style>
  <w:style w:type="paragraph" w:styleId="Heading5">
    <w:name w:val="heading 5"/>
    <w:basedOn w:val="Heading4"/>
    <w:next w:val="Normal"/>
    <w:qFormat/>
    <w:rsid w:val="00D405F7"/>
    <w:pPr>
      <w:outlineLvl w:val="4"/>
    </w:pPr>
  </w:style>
  <w:style w:type="paragraph" w:styleId="Heading6">
    <w:name w:val="heading 6"/>
    <w:basedOn w:val="Heading4"/>
    <w:next w:val="Normal"/>
    <w:qFormat/>
    <w:rsid w:val="00D405F7"/>
    <w:pPr>
      <w:outlineLvl w:val="5"/>
    </w:pPr>
  </w:style>
  <w:style w:type="paragraph" w:styleId="Heading7">
    <w:name w:val="heading 7"/>
    <w:basedOn w:val="Heading6"/>
    <w:next w:val="Normal"/>
    <w:qFormat/>
    <w:rsid w:val="00D405F7"/>
    <w:pPr>
      <w:outlineLvl w:val="6"/>
    </w:pPr>
  </w:style>
  <w:style w:type="paragraph" w:styleId="Heading8">
    <w:name w:val="heading 8"/>
    <w:basedOn w:val="Heading6"/>
    <w:next w:val="Normal"/>
    <w:qFormat/>
    <w:rsid w:val="00D405F7"/>
    <w:pPr>
      <w:outlineLvl w:val="7"/>
    </w:pPr>
  </w:style>
  <w:style w:type="paragraph" w:styleId="Heading9">
    <w:name w:val="heading 9"/>
    <w:basedOn w:val="Heading6"/>
    <w:next w:val="Normal"/>
    <w:qFormat/>
    <w:rsid w:val="00D405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D405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405F7"/>
  </w:style>
  <w:style w:type="paragraph" w:customStyle="1" w:styleId="Appendixref">
    <w:name w:val="Appendix_ref"/>
    <w:basedOn w:val="Annexref"/>
    <w:next w:val="Annextitle"/>
    <w:rsid w:val="00D405F7"/>
  </w:style>
  <w:style w:type="paragraph" w:customStyle="1" w:styleId="Appendixtitle">
    <w:name w:val="Appendix_title"/>
    <w:basedOn w:val="Annextitle"/>
    <w:next w:val="Normalaftertitle"/>
    <w:rsid w:val="00D405F7"/>
  </w:style>
  <w:style w:type="paragraph" w:customStyle="1" w:styleId="Artheading">
    <w:name w:val="Art_heading"/>
    <w:basedOn w:val="Normal"/>
    <w:next w:val="Normalaftertitle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405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405F7"/>
  </w:style>
  <w:style w:type="paragraph" w:customStyle="1" w:styleId="ddate">
    <w:name w:val="ddate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405F7"/>
    <w:rPr>
      <w:vertAlign w:val="superscript"/>
    </w:rPr>
  </w:style>
  <w:style w:type="paragraph" w:customStyle="1" w:styleId="enumlev1">
    <w:name w:val="enumlev1"/>
    <w:basedOn w:val="Normal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405F7"/>
    <w:pPr>
      <w:ind w:left="1871" w:hanging="737"/>
    </w:pPr>
  </w:style>
  <w:style w:type="paragraph" w:customStyle="1" w:styleId="enumlev3">
    <w:name w:val="enumlev3"/>
    <w:basedOn w:val="enumlev2"/>
    <w:rsid w:val="00D405F7"/>
    <w:pPr>
      <w:ind w:left="2268" w:hanging="397"/>
    </w:pPr>
  </w:style>
  <w:style w:type="paragraph" w:customStyle="1" w:styleId="Equation">
    <w:name w:val="Equation"/>
    <w:basedOn w:val="Normal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405F7"/>
    <w:pPr>
      <w:ind w:left="1134"/>
    </w:pPr>
  </w:style>
  <w:style w:type="paragraph" w:customStyle="1" w:styleId="Equationlegend">
    <w:name w:val="Equation_legend"/>
    <w:basedOn w:val="NormalIndent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405F7"/>
    <w:pPr>
      <w:keepNext w:val="0"/>
    </w:pPr>
  </w:style>
  <w:style w:type="paragraph" w:styleId="Footer">
    <w:name w:val="footer"/>
    <w:basedOn w:val="Normal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405F7"/>
    <w:rPr>
      <w:position w:val="6"/>
      <w:sz w:val="18"/>
    </w:rPr>
  </w:style>
  <w:style w:type="paragraph" w:styleId="FootnoteText">
    <w:name w:val="footnote text"/>
    <w:basedOn w:val="Normal"/>
    <w:rsid w:val="00D405F7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D405F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D405F7"/>
  </w:style>
  <w:style w:type="paragraph" w:styleId="Index2">
    <w:name w:val="index 2"/>
    <w:basedOn w:val="Normal"/>
    <w:next w:val="Normal"/>
    <w:semiHidden/>
    <w:rsid w:val="00D405F7"/>
    <w:pPr>
      <w:ind w:left="283"/>
    </w:pPr>
  </w:style>
  <w:style w:type="paragraph" w:styleId="Index3">
    <w:name w:val="index 3"/>
    <w:basedOn w:val="Normal"/>
    <w:next w:val="Normal"/>
    <w:semiHidden/>
    <w:rsid w:val="00D405F7"/>
    <w:pPr>
      <w:ind w:left="566"/>
    </w:pPr>
  </w:style>
  <w:style w:type="paragraph" w:styleId="Index4">
    <w:name w:val="index 4"/>
    <w:basedOn w:val="Normal"/>
    <w:next w:val="Normal"/>
    <w:semiHidden/>
    <w:rsid w:val="00D405F7"/>
    <w:pPr>
      <w:ind w:left="849"/>
    </w:pPr>
  </w:style>
  <w:style w:type="paragraph" w:styleId="Index5">
    <w:name w:val="index 5"/>
    <w:basedOn w:val="Normal"/>
    <w:next w:val="Normal"/>
    <w:semiHidden/>
    <w:rsid w:val="00D405F7"/>
    <w:pPr>
      <w:ind w:left="1132"/>
    </w:pPr>
  </w:style>
  <w:style w:type="paragraph" w:styleId="Index6">
    <w:name w:val="index 6"/>
    <w:basedOn w:val="Normal"/>
    <w:next w:val="Normal"/>
    <w:semiHidden/>
    <w:rsid w:val="00D405F7"/>
    <w:pPr>
      <w:ind w:left="1415"/>
    </w:pPr>
  </w:style>
  <w:style w:type="paragraph" w:styleId="Index7">
    <w:name w:val="index 7"/>
    <w:basedOn w:val="Normal"/>
    <w:next w:val="Normal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semiHidden/>
    <w:rsid w:val="00D405F7"/>
  </w:style>
  <w:style w:type="character" w:styleId="LineNumber">
    <w:name w:val="line number"/>
    <w:basedOn w:val="DefaultParagraphFont"/>
    <w:rsid w:val="00D405F7"/>
  </w:style>
  <w:style w:type="paragraph" w:customStyle="1" w:styleId="Normalaftertitle">
    <w:name w:val="Normal after title"/>
    <w:basedOn w:val="Normal"/>
    <w:next w:val="Normal"/>
    <w:rsid w:val="00D405F7"/>
    <w:pPr>
      <w:spacing w:before="280"/>
    </w:pPr>
  </w:style>
  <w:style w:type="paragraph" w:customStyle="1" w:styleId="Note">
    <w:name w:val="Note"/>
    <w:basedOn w:val="Normal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D405F7"/>
  </w:style>
  <w:style w:type="paragraph" w:customStyle="1" w:styleId="Parttitle">
    <w:name w:val="Part_title"/>
    <w:basedOn w:val="Annextitle"/>
    <w:next w:val="Normalaftertitle"/>
    <w:rsid w:val="00D405F7"/>
  </w:style>
  <w:style w:type="paragraph" w:customStyle="1" w:styleId="RecNo">
    <w:name w:val="Rec_No"/>
    <w:basedOn w:val="Normal"/>
    <w:next w:val="Rec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405F7"/>
  </w:style>
  <w:style w:type="paragraph" w:customStyle="1" w:styleId="QuestionNo">
    <w:name w:val="Question_No"/>
    <w:basedOn w:val="RecNo"/>
    <w:next w:val="Questiontitle"/>
    <w:rsid w:val="00D405F7"/>
  </w:style>
  <w:style w:type="paragraph" w:customStyle="1" w:styleId="Questiontitle">
    <w:name w:val="Question_title"/>
    <w:basedOn w:val="Rectitle"/>
    <w:next w:val="Normal"/>
    <w:rsid w:val="00D405F7"/>
  </w:style>
  <w:style w:type="paragraph" w:customStyle="1" w:styleId="Reftext">
    <w:name w:val="Ref_text"/>
    <w:basedOn w:val="Normal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405F7"/>
  </w:style>
  <w:style w:type="paragraph" w:customStyle="1" w:styleId="RepNo">
    <w:name w:val="Rep_No"/>
    <w:basedOn w:val="RecNo"/>
    <w:next w:val="Reptitle"/>
    <w:rsid w:val="00D405F7"/>
  </w:style>
  <w:style w:type="paragraph" w:customStyle="1" w:styleId="Repref">
    <w:name w:val="Rep_ref"/>
    <w:basedOn w:val="Recref"/>
    <w:next w:val="Repdate"/>
    <w:rsid w:val="00D405F7"/>
  </w:style>
  <w:style w:type="paragraph" w:customStyle="1" w:styleId="Reptitle">
    <w:name w:val="Rep_title"/>
    <w:basedOn w:val="Rectitle"/>
    <w:next w:val="Repref"/>
    <w:rsid w:val="00D405F7"/>
  </w:style>
  <w:style w:type="paragraph" w:customStyle="1" w:styleId="Resdate">
    <w:name w:val="Res_date"/>
    <w:basedOn w:val="Recdate"/>
    <w:next w:val="Normalaftertitle"/>
    <w:rsid w:val="00D405F7"/>
  </w:style>
  <w:style w:type="paragraph" w:customStyle="1" w:styleId="ResNo">
    <w:name w:val="Res_No"/>
    <w:basedOn w:val="RecNo"/>
    <w:next w:val="Normal"/>
    <w:rsid w:val="00D405F7"/>
  </w:style>
  <w:style w:type="paragraph" w:customStyle="1" w:styleId="Resref">
    <w:name w:val="Res_ref"/>
    <w:basedOn w:val="Recref"/>
    <w:next w:val="Resdate"/>
    <w:rsid w:val="00D405F7"/>
  </w:style>
  <w:style w:type="character" w:customStyle="1" w:styleId="Appdef">
    <w:name w:val="App_def"/>
    <w:basedOn w:val="DefaultParagraphFont"/>
    <w:rsid w:val="00D405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05F7"/>
  </w:style>
  <w:style w:type="character" w:customStyle="1" w:styleId="Artdef">
    <w:name w:val="Art_def"/>
    <w:basedOn w:val="DefaultParagraphFont"/>
    <w:rsid w:val="00D405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405F7"/>
  </w:style>
  <w:style w:type="character" w:customStyle="1" w:styleId="Recdef">
    <w:name w:val="Rec_def"/>
    <w:basedOn w:val="DefaultParagraphFont"/>
    <w:rsid w:val="00D405F7"/>
    <w:rPr>
      <w:b/>
    </w:rPr>
  </w:style>
  <w:style w:type="character" w:customStyle="1" w:styleId="Resdef">
    <w:name w:val="Res_def"/>
    <w:basedOn w:val="DefaultParagraphFont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D405F7"/>
  </w:style>
  <w:style w:type="paragraph" w:customStyle="1" w:styleId="Reasons">
    <w:name w:val="Reasons"/>
    <w:basedOn w:val="Normal"/>
    <w:qFormat/>
    <w:rsid w:val="00D405F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D405F7"/>
    <w:rPr>
      <w:sz w:val="16"/>
      <w:szCs w:val="16"/>
    </w:rPr>
  </w:style>
  <w:style w:type="paragraph" w:customStyle="1" w:styleId="Proposal">
    <w:name w:val="Proposal"/>
    <w:basedOn w:val="Normal"/>
    <w:next w:val="Normal"/>
    <w:rsid w:val="00D405F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D405F7"/>
    <w:rPr>
      <w:sz w:val="20"/>
    </w:rPr>
  </w:style>
  <w:style w:type="paragraph" w:customStyle="1" w:styleId="Figure">
    <w:name w:val="Figure"/>
    <w:basedOn w:val="Normal"/>
    <w:next w:val="Figuretitle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405F7"/>
  </w:style>
  <w:style w:type="paragraph" w:customStyle="1" w:styleId="ApptoAnnex">
    <w:name w:val="App_to_Annex"/>
    <w:basedOn w:val="AppendixNo"/>
    <w:qFormat/>
    <w:rsid w:val="00D405F7"/>
  </w:style>
  <w:style w:type="character" w:customStyle="1" w:styleId="Tablefreq">
    <w:name w:val="Table_freq"/>
    <w:basedOn w:val="DefaultParagraphFont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405F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405F7"/>
    <w:rPr>
      <w:b w:val="0"/>
      <w:i/>
    </w:rPr>
  </w:style>
  <w:style w:type="paragraph" w:customStyle="1" w:styleId="Section3">
    <w:name w:val="Section_3"/>
    <w:basedOn w:val="Section1"/>
    <w:rsid w:val="00D405F7"/>
    <w:rPr>
      <w:b w:val="0"/>
    </w:rPr>
  </w:style>
  <w:style w:type="paragraph" w:customStyle="1" w:styleId="SectionNo">
    <w:name w:val="Section_No"/>
    <w:basedOn w:val="AnnexNo"/>
    <w:next w:val="Normal"/>
    <w:rsid w:val="00D405F7"/>
  </w:style>
  <w:style w:type="paragraph" w:customStyle="1" w:styleId="Sectiontitle">
    <w:name w:val="Section_title"/>
    <w:basedOn w:val="Annextitle"/>
    <w:next w:val="Normalaftertitle"/>
    <w:rsid w:val="00D405F7"/>
  </w:style>
  <w:style w:type="paragraph" w:customStyle="1" w:styleId="Source">
    <w:name w:val="Source"/>
    <w:basedOn w:val="Normal"/>
    <w:next w:val="Normal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405F7"/>
    <w:rPr>
      <w:b/>
    </w:rPr>
  </w:style>
  <w:style w:type="paragraph" w:customStyle="1" w:styleId="toc0">
    <w:name w:val="toc 0"/>
    <w:basedOn w:val="Normal"/>
    <w:next w:val="TOC1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405F7"/>
    <w:pPr>
      <w:spacing w:before="120"/>
    </w:pPr>
  </w:style>
  <w:style w:type="paragraph" w:styleId="TOC3">
    <w:name w:val="toc 3"/>
    <w:basedOn w:val="TOC2"/>
    <w:rsid w:val="00D405F7"/>
  </w:style>
  <w:style w:type="paragraph" w:styleId="TOC4">
    <w:name w:val="toc 4"/>
    <w:basedOn w:val="TOC3"/>
    <w:rsid w:val="00D405F7"/>
  </w:style>
  <w:style w:type="paragraph" w:styleId="TOC5">
    <w:name w:val="toc 5"/>
    <w:basedOn w:val="TOC4"/>
    <w:rsid w:val="00D405F7"/>
  </w:style>
  <w:style w:type="paragraph" w:styleId="TOC6">
    <w:name w:val="toc 6"/>
    <w:basedOn w:val="TOC4"/>
    <w:rsid w:val="00D405F7"/>
  </w:style>
  <w:style w:type="paragraph" w:styleId="TOC7">
    <w:name w:val="toc 7"/>
    <w:basedOn w:val="TOC4"/>
    <w:rsid w:val="00D405F7"/>
  </w:style>
  <w:style w:type="paragraph" w:styleId="TOC8">
    <w:name w:val="toc 8"/>
    <w:basedOn w:val="TOC4"/>
    <w:rsid w:val="00D405F7"/>
  </w:style>
  <w:style w:type="paragraph" w:customStyle="1" w:styleId="Partref">
    <w:name w:val="Part_ref"/>
    <w:basedOn w:val="Annexref"/>
    <w:next w:val="Parttitle"/>
    <w:rsid w:val="00D405F7"/>
  </w:style>
  <w:style w:type="paragraph" w:customStyle="1" w:styleId="Questionref">
    <w:name w:val="Question_ref"/>
    <w:basedOn w:val="Recref"/>
    <w:next w:val="Questiondate"/>
    <w:rsid w:val="00D405F7"/>
  </w:style>
  <w:style w:type="paragraph" w:customStyle="1" w:styleId="Restitle">
    <w:name w:val="Res_title"/>
    <w:basedOn w:val="Rectitle"/>
    <w:next w:val="Resref"/>
    <w:rsid w:val="00D405F7"/>
  </w:style>
  <w:style w:type="paragraph" w:customStyle="1" w:styleId="SpecialFooter">
    <w:name w:val="Special Footer"/>
    <w:basedOn w:val="Footer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405F7"/>
  </w:style>
  <w:style w:type="paragraph" w:customStyle="1" w:styleId="AppArttitle">
    <w:name w:val="App_Art_title"/>
    <w:basedOn w:val="Arttitle"/>
    <w:next w:val="Normalaftertitle"/>
    <w:qFormat/>
    <w:rsid w:val="00D405F7"/>
  </w:style>
  <w:style w:type="paragraph" w:customStyle="1" w:styleId="AppArtNo">
    <w:name w:val="App_Art_No"/>
    <w:basedOn w:val="ArtNo"/>
    <w:next w:val="AppArttitle"/>
    <w:qFormat/>
    <w:rsid w:val="00D405F7"/>
  </w:style>
  <w:style w:type="paragraph" w:customStyle="1" w:styleId="Committee">
    <w:name w:val="Committee"/>
    <w:basedOn w:val="Normal"/>
    <w:qFormat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D405F7"/>
  </w:style>
  <w:style w:type="paragraph" w:styleId="BalloonText">
    <w:name w:val="Balloon Text"/>
    <w:basedOn w:val="Normal"/>
    <w:link w:val="BalloonTextChar"/>
    <w:semiHidden/>
    <w:unhideWhenUsed/>
    <w:rsid w:val="005538C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38C7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6F5C23"/>
    <w:rPr>
      <w:rFonts w:ascii="Times New Roman" w:hAnsi="Times New Roman"/>
      <w:sz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250E-68F0-42DB-86A7-2BB8D881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21</TotalTime>
  <Pages>3</Pages>
  <Words>1399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9073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Spanish</dc:creator>
  <cp:keywords/>
  <cp:lastModifiedBy>Spanish</cp:lastModifiedBy>
  <cp:revision>7</cp:revision>
  <cp:lastPrinted>2015-10-21T17:02:00Z</cp:lastPrinted>
  <dcterms:created xsi:type="dcterms:W3CDTF">2015-10-26T16:02:00Z</dcterms:created>
  <dcterms:modified xsi:type="dcterms:W3CDTF">2015-10-26T16:38:00Z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