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10031"/>
      </w:tblGrid>
      <w:tr w:rsidR="00CD4F7C" w:rsidRPr="007E4BFD" w:rsidTr="00FC4D74">
        <w:trPr>
          <w:cantSplit/>
        </w:trPr>
        <w:tc>
          <w:tcPr>
            <w:tcW w:w="10031" w:type="dxa"/>
          </w:tcPr>
          <w:tbl>
            <w:tblPr>
              <w:tblpPr w:leftFromText="180" w:rightFromText="180" w:horzAnchor="margin" w:tblpY="-675"/>
              <w:tblW w:w="10569" w:type="dxa"/>
              <w:tblLayout w:type="fixed"/>
              <w:tblLook w:val="0000" w:firstRow="0" w:lastRow="0" w:firstColumn="0" w:lastColumn="0" w:noHBand="0" w:noVBand="0"/>
            </w:tblPr>
            <w:tblGrid>
              <w:gridCol w:w="7083"/>
              <w:gridCol w:w="3486"/>
            </w:tblGrid>
            <w:tr w:rsidR="00CD4F7C" w:rsidRPr="002E0072" w:rsidTr="00FC4D74">
              <w:trPr>
                <w:cantSplit/>
              </w:trPr>
              <w:tc>
                <w:tcPr>
                  <w:tcW w:w="7083" w:type="dxa"/>
                </w:tcPr>
                <w:p w:rsidR="00CD4F7C" w:rsidRPr="002E0072" w:rsidRDefault="0026477D" w:rsidP="00CD4F7C">
                  <w:pPr>
                    <w:spacing w:before="400" w:after="48" w:line="240" w:lineRule="atLeast"/>
                    <w:jc w:val="left"/>
                    <w:rPr>
                      <w:rFonts w:ascii="Verdana" w:hAnsi="Verdana"/>
                      <w:position w:val="6"/>
                      <w:lang w:val="es-ES_tradnl"/>
                    </w:rPr>
                  </w:pPr>
                  <w:bookmarkStart w:id="0" w:name="dtitle3" w:colFirst="0" w:colLast="0"/>
                  <w:r w:rsidRPr="002E0072">
                    <w:rPr>
                      <w:rFonts w:ascii="Verdana" w:hAnsi="Verdana" w:cs="Times"/>
                      <w:b/>
                      <w:position w:val="6"/>
                      <w:sz w:val="20"/>
                      <w:lang w:val="es-ES_tradnl"/>
                    </w:rPr>
                    <w:t>Conferencia Mundial de Radiocomunicaciones (CMR-15)</w:t>
                  </w:r>
                  <w:r w:rsidRPr="002E0072">
                    <w:rPr>
                      <w:rFonts w:ascii="Verdana" w:hAnsi="Verdana" w:cs="Times"/>
                      <w:b/>
                      <w:position w:val="6"/>
                      <w:sz w:val="20"/>
                      <w:lang w:val="es-ES_tradnl"/>
                    </w:rPr>
                    <w:br/>
                  </w:r>
                  <w:r w:rsidRPr="002E0072">
                    <w:rPr>
                      <w:rFonts w:ascii="Verdana" w:hAnsi="Verdana"/>
                      <w:b/>
                      <w:bCs/>
                      <w:position w:val="6"/>
                      <w:sz w:val="18"/>
                      <w:szCs w:val="18"/>
                      <w:lang w:val="es-ES_tradnl"/>
                    </w:rPr>
                    <w:t>Ginebra, 2-27 de noviembre de 2015</w:t>
                  </w:r>
                </w:p>
              </w:tc>
              <w:tc>
                <w:tcPr>
                  <w:tcW w:w="3486" w:type="dxa"/>
                </w:tcPr>
                <w:p w:rsidR="00CD4F7C" w:rsidRPr="002E0072" w:rsidRDefault="00CD4F7C" w:rsidP="00CD4F7C">
                  <w:pPr>
                    <w:spacing w:before="0" w:line="240" w:lineRule="atLeast"/>
                    <w:jc w:val="left"/>
                    <w:rPr>
                      <w:lang w:val="es-ES_tradnl"/>
                    </w:rPr>
                  </w:pPr>
                  <w:r w:rsidRPr="002E0072">
                    <w:rPr>
                      <w:noProof/>
                      <w:lang w:val="es-ES_tradnl" w:eastAsia="zh-CN"/>
                    </w:rPr>
                    <w:drawing>
                      <wp:inline distT="0" distB="0" distL="0" distR="0" wp14:anchorId="4D700635" wp14:editId="5DAAED67">
                        <wp:extent cx="1247775" cy="9358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CD4F7C" w:rsidRPr="002E0072" w:rsidTr="00FC4D74">
              <w:trPr>
                <w:cantSplit/>
              </w:trPr>
              <w:tc>
                <w:tcPr>
                  <w:tcW w:w="7083" w:type="dxa"/>
                  <w:tcBorders>
                    <w:bottom w:val="single" w:sz="12" w:space="0" w:color="auto"/>
                  </w:tcBorders>
                </w:tcPr>
                <w:p w:rsidR="00CD4F7C" w:rsidRPr="002E0072" w:rsidRDefault="0026477D" w:rsidP="0026477D">
                  <w:pPr>
                    <w:spacing w:before="0" w:after="48" w:line="240" w:lineRule="atLeast"/>
                    <w:jc w:val="left"/>
                    <w:rPr>
                      <w:b/>
                      <w:smallCaps/>
                      <w:szCs w:val="24"/>
                      <w:lang w:val="es-ES_tradnl"/>
                    </w:rPr>
                  </w:pPr>
                  <w:r w:rsidRPr="002E0072">
                    <w:rPr>
                      <w:rFonts w:ascii="Verdana" w:hAnsi="Verdana"/>
                      <w:b/>
                      <w:bCs/>
                      <w:position w:val="6"/>
                      <w:sz w:val="20"/>
                      <w:lang w:val="es-ES_tradnl"/>
                    </w:rPr>
                    <w:t>UNIÓN INTERNACIONAL DE TELECOMUNICACIONES</w:t>
                  </w:r>
                </w:p>
              </w:tc>
              <w:tc>
                <w:tcPr>
                  <w:tcW w:w="3486" w:type="dxa"/>
                  <w:tcBorders>
                    <w:bottom w:val="single" w:sz="12" w:space="0" w:color="auto"/>
                  </w:tcBorders>
                </w:tcPr>
                <w:p w:rsidR="00CD4F7C" w:rsidRPr="002E0072" w:rsidRDefault="00CD4F7C" w:rsidP="00CD4F7C">
                  <w:pPr>
                    <w:spacing w:before="0" w:line="240" w:lineRule="atLeast"/>
                    <w:jc w:val="left"/>
                    <w:rPr>
                      <w:rFonts w:ascii="Verdana" w:hAnsi="Verdana"/>
                      <w:szCs w:val="24"/>
                      <w:lang w:val="es-ES_tradnl"/>
                    </w:rPr>
                  </w:pPr>
                </w:p>
              </w:tc>
            </w:tr>
            <w:tr w:rsidR="00CD4F7C" w:rsidRPr="002E0072" w:rsidTr="00FC4D74">
              <w:trPr>
                <w:cantSplit/>
              </w:trPr>
              <w:tc>
                <w:tcPr>
                  <w:tcW w:w="7083" w:type="dxa"/>
                  <w:tcBorders>
                    <w:top w:val="single" w:sz="12" w:space="0" w:color="auto"/>
                  </w:tcBorders>
                </w:tcPr>
                <w:p w:rsidR="00CD4F7C" w:rsidRPr="002E0072" w:rsidRDefault="00CD4F7C" w:rsidP="00CD4F7C">
                  <w:pPr>
                    <w:spacing w:before="0" w:after="48" w:line="240" w:lineRule="atLeast"/>
                    <w:jc w:val="left"/>
                    <w:rPr>
                      <w:rFonts w:ascii="Verdana" w:hAnsi="Verdana"/>
                      <w:b/>
                      <w:smallCaps/>
                      <w:sz w:val="20"/>
                      <w:lang w:val="es-ES_tradnl"/>
                    </w:rPr>
                  </w:pPr>
                </w:p>
              </w:tc>
              <w:tc>
                <w:tcPr>
                  <w:tcW w:w="3486" w:type="dxa"/>
                  <w:tcBorders>
                    <w:top w:val="single" w:sz="12" w:space="0" w:color="auto"/>
                  </w:tcBorders>
                </w:tcPr>
                <w:p w:rsidR="00CD4F7C" w:rsidRPr="002E0072" w:rsidRDefault="00CD4F7C" w:rsidP="00CD4F7C">
                  <w:pPr>
                    <w:spacing w:before="0" w:line="240" w:lineRule="atLeast"/>
                    <w:jc w:val="left"/>
                    <w:rPr>
                      <w:rFonts w:ascii="Verdana" w:hAnsi="Verdana"/>
                      <w:sz w:val="20"/>
                      <w:lang w:val="es-ES_tradnl"/>
                    </w:rPr>
                  </w:pPr>
                </w:p>
              </w:tc>
            </w:tr>
            <w:tr w:rsidR="00CD4F7C" w:rsidRPr="007E4BFD" w:rsidTr="00FC4D74">
              <w:trPr>
                <w:cantSplit/>
                <w:trHeight w:val="23"/>
              </w:trPr>
              <w:tc>
                <w:tcPr>
                  <w:tcW w:w="7083" w:type="dxa"/>
                  <w:vMerge w:val="restart"/>
                </w:tcPr>
                <w:p w:rsidR="00CD4F7C" w:rsidRPr="002E0072" w:rsidRDefault="0026477D" w:rsidP="0026477D">
                  <w:pPr>
                    <w:tabs>
                      <w:tab w:val="left" w:pos="851"/>
                    </w:tabs>
                    <w:spacing w:before="0" w:line="240" w:lineRule="atLeast"/>
                    <w:jc w:val="left"/>
                    <w:rPr>
                      <w:rFonts w:ascii="Verdana" w:hAnsi="Verdana"/>
                      <w:sz w:val="20"/>
                      <w:lang w:val="es-ES_tradnl"/>
                    </w:rPr>
                  </w:pPr>
                  <w:r w:rsidRPr="002E0072">
                    <w:rPr>
                      <w:rFonts w:ascii="Verdana" w:hAnsi="Verdana"/>
                      <w:b/>
                      <w:sz w:val="20"/>
                      <w:lang w:val="es-ES_tradnl"/>
                    </w:rPr>
                    <w:t>SESIÓN PLENARIA</w:t>
                  </w:r>
                </w:p>
              </w:tc>
              <w:tc>
                <w:tcPr>
                  <w:tcW w:w="3486" w:type="dxa"/>
                </w:tcPr>
                <w:p w:rsidR="00CD4F7C" w:rsidRPr="002E0072" w:rsidRDefault="0026477D" w:rsidP="0026477D">
                  <w:pPr>
                    <w:tabs>
                      <w:tab w:val="left" w:pos="851"/>
                    </w:tabs>
                    <w:spacing w:before="0" w:line="240" w:lineRule="atLeast"/>
                    <w:jc w:val="left"/>
                    <w:rPr>
                      <w:rFonts w:ascii="Verdana" w:hAnsi="Verdana"/>
                      <w:sz w:val="20"/>
                      <w:lang w:val="es-ES_tradnl"/>
                    </w:rPr>
                  </w:pPr>
                  <w:r w:rsidRPr="002E0072">
                    <w:rPr>
                      <w:rFonts w:ascii="Verdana" w:hAnsi="Verdana"/>
                      <w:b/>
                      <w:sz w:val="20"/>
                      <w:lang w:val="es-ES_tradnl"/>
                    </w:rPr>
                    <w:t>Addé</w:t>
                  </w:r>
                  <w:r w:rsidR="00CD4F7C" w:rsidRPr="002E0072">
                    <w:rPr>
                      <w:rFonts w:ascii="Verdana" w:hAnsi="Verdana"/>
                      <w:b/>
                      <w:sz w:val="20"/>
                      <w:lang w:val="es-ES_tradnl"/>
                    </w:rPr>
                    <w:t xml:space="preserve">ndum 2 </w:t>
                  </w:r>
                  <w:r w:rsidRPr="002E0072">
                    <w:rPr>
                      <w:rFonts w:ascii="Verdana" w:hAnsi="Verdana"/>
                      <w:b/>
                      <w:sz w:val="20"/>
                      <w:lang w:val="es-ES_tradnl"/>
                    </w:rPr>
                    <w:t>al</w:t>
                  </w:r>
                  <w:r w:rsidR="00CD4F7C" w:rsidRPr="002E0072">
                    <w:rPr>
                      <w:rFonts w:ascii="Verdana" w:hAnsi="Verdana"/>
                      <w:b/>
                      <w:sz w:val="20"/>
                      <w:lang w:val="es-ES_tradnl"/>
                    </w:rPr>
                    <w:br/>
                    <w:t>Document</w:t>
                  </w:r>
                  <w:r w:rsidR="007B3280" w:rsidRPr="002E0072">
                    <w:rPr>
                      <w:rFonts w:ascii="Verdana" w:hAnsi="Verdana"/>
                      <w:b/>
                      <w:sz w:val="20"/>
                      <w:lang w:val="es-ES_tradnl"/>
                    </w:rPr>
                    <w:t>o</w:t>
                  </w:r>
                  <w:r w:rsidR="00CD4F7C" w:rsidRPr="002E0072">
                    <w:rPr>
                      <w:rFonts w:ascii="Verdana" w:hAnsi="Verdana"/>
                      <w:b/>
                      <w:sz w:val="20"/>
                      <w:lang w:val="es-ES_tradnl"/>
                    </w:rPr>
                    <w:t xml:space="preserve"> 4(Add.1)-</w:t>
                  </w:r>
                  <w:r w:rsidRPr="002E0072">
                    <w:rPr>
                      <w:rFonts w:ascii="Verdana" w:hAnsi="Verdana"/>
                      <w:b/>
                      <w:sz w:val="20"/>
                      <w:lang w:val="es-ES_tradnl"/>
                    </w:rPr>
                    <w:t>S</w:t>
                  </w:r>
                </w:p>
              </w:tc>
            </w:tr>
            <w:tr w:rsidR="00CD4F7C" w:rsidRPr="002E0072" w:rsidTr="00FC4D74">
              <w:trPr>
                <w:cantSplit/>
                <w:trHeight w:val="23"/>
              </w:trPr>
              <w:tc>
                <w:tcPr>
                  <w:tcW w:w="7083" w:type="dxa"/>
                  <w:vMerge/>
                </w:tcPr>
                <w:p w:rsidR="00CD4F7C" w:rsidRPr="002E0072" w:rsidRDefault="00CD4F7C" w:rsidP="00CD4F7C">
                  <w:pPr>
                    <w:tabs>
                      <w:tab w:val="left" w:pos="851"/>
                    </w:tabs>
                    <w:spacing w:line="240" w:lineRule="atLeast"/>
                    <w:jc w:val="left"/>
                    <w:rPr>
                      <w:rFonts w:ascii="Verdana" w:hAnsi="Verdana"/>
                      <w:b/>
                      <w:sz w:val="20"/>
                      <w:lang w:val="es-ES_tradnl"/>
                    </w:rPr>
                  </w:pPr>
                </w:p>
              </w:tc>
              <w:tc>
                <w:tcPr>
                  <w:tcW w:w="3486" w:type="dxa"/>
                </w:tcPr>
                <w:p w:rsidR="00CD4F7C" w:rsidRPr="002E0072" w:rsidRDefault="00CD4F7C" w:rsidP="00CD4F7C">
                  <w:pPr>
                    <w:tabs>
                      <w:tab w:val="left" w:pos="993"/>
                    </w:tabs>
                    <w:spacing w:before="0"/>
                    <w:jc w:val="left"/>
                    <w:rPr>
                      <w:rFonts w:ascii="Verdana" w:hAnsi="Verdana"/>
                      <w:sz w:val="20"/>
                      <w:lang w:val="es-ES_tradnl"/>
                    </w:rPr>
                  </w:pPr>
                  <w:r w:rsidRPr="002E0072">
                    <w:rPr>
                      <w:rFonts w:ascii="Verdana" w:hAnsi="Verdana"/>
                      <w:b/>
                      <w:sz w:val="20"/>
                      <w:lang w:val="es-ES_tradnl"/>
                    </w:rPr>
                    <w:t xml:space="preserve">29 </w:t>
                  </w:r>
                  <w:r w:rsidR="0026477D" w:rsidRPr="002E0072">
                    <w:rPr>
                      <w:rFonts w:ascii="Verdana" w:hAnsi="Verdana"/>
                      <w:b/>
                      <w:sz w:val="20"/>
                      <w:lang w:val="es-ES_tradnl"/>
                    </w:rPr>
                    <w:t>de octubre de</w:t>
                  </w:r>
                  <w:r w:rsidRPr="002E0072">
                    <w:rPr>
                      <w:rFonts w:ascii="Verdana" w:hAnsi="Verdana"/>
                      <w:b/>
                      <w:sz w:val="20"/>
                      <w:lang w:val="es-ES_tradnl"/>
                    </w:rPr>
                    <w:t xml:space="preserve"> 2015</w:t>
                  </w:r>
                </w:p>
              </w:tc>
            </w:tr>
            <w:tr w:rsidR="00CD4F7C" w:rsidRPr="002E0072" w:rsidTr="00FC4D74">
              <w:trPr>
                <w:cantSplit/>
                <w:trHeight w:val="23"/>
              </w:trPr>
              <w:tc>
                <w:tcPr>
                  <w:tcW w:w="7083" w:type="dxa"/>
                  <w:vMerge/>
                </w:tcPr>
                <w:p w:rsidR="00CD4F7C" w:rsidRPr="002E0072" w:rsidRDefault="00CD4F7C" w:rsidP="00CD4F7C">
                  <w:pPr>
                    <w:tabs>
                      <w:tab w:val="left" w:pos="851"/>
                    </w:tabs>
                    <w:spacing w:line="240" w:lineRule="atLeast"/>
                    <w:jc w:val="left"/>
                    <w:rPr>
                      <w:rFonts w:ascii="Verdana" w:hAnsi="Verdana"/>
                      <w:b/>
                      <w:sz w:val="20"/>
                      <w:lang w:val="es-ES_tradnl"/>
                    </w:rPr>
                  </w:pPr>
                </w:p>
              </w:tc>
              <w:tc>
                <w:tcPr>
                  <w:tcW w:w="3486" w:type="dxa"/>
                </w:tcPr>
                <w:p w:rsidR="00CD4F7C" w:rsidRPr="002E0072" w:rsidRDefault="00CD4F7C" w:rsidP="0026477D">
                  <w:pPr>
                    <w:tabs>
                      <w:tab w:val="left" w:pos="993"/>
                    </w:tabs>
                    <w:spacing w:before="0" w:after="120"/>
                    <w:jc w:val="left"/>
                    <w:rPr>
                      <w:rFonts w:ascii="Verdana" w:hAnsi="Verdana"/>
                      <w:sz w:val="20"/>
                      <w:lang w:val="es-ES_tradnl"/>
                    </w:rPr>
                  </w:pPr>
                  <w:r w:rsidRPr="002E0072">
                    <w:rPr>
                      <w:rFonts w:ascii="Verdana" w:hAnsi="Verdana"/>
                      <w:b/>
                      <w:sz w:val="20"/>
                      <w:lang w:val="es-ES_tradnl"/>
                    </w:rPr>
                    <w:t xml:space="preserve">Original: </w:t>
                  </w:r>
                  <w:r w:rsidR="0026477D" w:rsidRPr="002E0072">
                    <w:rPr>
                      <w:rFonts w:ascii="Verdana" w:hAnsi="Verdana"/>
                      <w:b/>
                      <w:sz w:val="20"/>
                      <w:lang w:val="es-ES_tradnl"/>
                    </w:rPr>
                    <w:t>inglés</w:t>
                  </w:r>
                </w:p>
              </w:tc>
            </w:tr>
            <w:tr w:rsidR="00CD4F7C" w:rsidRPr="007E4BFD" w:rsidTr="00FC4D74">
              <w:trPr>
                <w:cantSplit/>
              </w:trPr>
              <w:tc>
                <w:tcPr>
                  <w:tcW w:w="10569" w:type="dxa"/>
                  <w:gridSpan w:val="2"/>
                </w:tcPr>
                <w:p w:rsidR="00CD4F7C" w:rsidRPr="002E0072" w:rsidRDefault="0026477D" w:rsidP="0026477D">
                  <w:pPr>
                    <w:spacing w:before="840"/>
                    <w:jc w:val="center"/>
                    <w:rPr>
                      <w:b/>
                      <w:sz w:val="28"/>
                      <w:lang w:val="es-ES_tradnl"/>
                    </w:rPr>
                  </w:pPr>
                  <w:r w:rsidRPr="002E0072">
                    <w:rPr>
                      <w:b/>
                      <w:sz w:val="28"/>
                      <w:lang w:val="es-ES_tradnl" w:eastAsia="zh-CN"/>
                    </w:rPr>
                    <w:t>Director de la Oficina de Radiocomunicaciones</w:t>
                  </w:r>
                </w:p>
              </w:tc>
            </w:tr>
            <w:tr w:rsidR="00CD4F7C" w:rsidRPr="007E4BFD" w:rsidTr="00FC4D74">
              <w:trPr>
                <w:cantSplit/>
              </w:trPr>
              <w:tc>
                <w:tcPr>
                  <w:tcW w:w="10569" w:type="dxa"/>
                  <w:gridSpan w:val="2"/>
                </w:tcPr>
                <w:p w:rsidR="00CD4F7C" w:rsidRPr="002E0072" w:rsidRDefault="0026477D" w:rsidP="0026477D">
                  <w:pPr>
                    <w:tabs>
                      <w:tab w:val="left" w:pos="567"/>
                      <w:tab w:val="left" w:pos="1701"/>
                      <w:tab w:val="left" w:pos="2835"/>
                    </w:tabs>
                    <w:spacing w:before="240"/>
                    <w:jc w:val="center"/>
                    <w:rPr>
                      <w:caps/>
                      <w:sz w:val="28"/>
                      <w:lang w:val="es-ES_tradnl"/>
                    </w:rPr>
                  </w:pPr>
                  <w:r w:rsidRPr="002E0072">
                    <w:rPr>
                      <w:caps/>
                      <w:sz w:val="28"/>
                      <w:lang w:val="es-ES_tradnl" w:eastAsia="zh-CN"/>
                    </w:rPr>
                    <w:t>informe del DIRECTOR sobre las actividades</w:t>
                  </w:r>
                  <w:r w:rsidRPr="002E0072">
                    <w:rPr>
                      <w:caps/>
                      <w:sz w:val="28"/>
                      <w:lang w:val="es-ES_tradnl" w:eastAsia="zh-CN"/>
                    </w:rPr>
                    <w:br/>
                    <w:t>del sector de Radiocomunicaciones</w:t>
                  </w:r>
                </w:p>
              </w:tc>
            </w:tr>
            <w:tr w:rsidR="00CD4F7C" w:rsidRPr="007E4BFD" w:rsidTr="00FC4D74">
              <w:trPr>
                <w:cantSplit/>
              </w:trPr>
              <w:tc>
                <w:tcPr>
                  <w:tcW w:w="10569" w:type="dxa"/>
                  <w:gridSpan w:val="2"/>
                </w:tcPr>
                <w:p w:rsidR="00CD4F7C" w:rsidRPr="002E0072" w:rsidRDefault="00CD4F7C" w:rsidP="00CD4F7C">
                  <w:pPr>
                    <w:overflowPunct/>
                    <w:autoSpaceDE/>
                    <w:autoSpaceDN/>
                    <w:adjustRightInd/>
                    <w:spacing w:before="480"/>
                    <w:jc w:val="center"/>
                    <w:textAlignment w:val="auto"/>
                    <w:rPr>
                      <w:caps/>
                      <w:sz w:val="28"/>
                      <w:lang w:val="es-ES_tradnl"/>
                    </w:rPr>
                  </w:pPr>
                  <w:r w:rsidRPr="002E0072">
                    <w:rPr>
                      <w:caps/>
                      <w:sz w:val="28"/>
                      <w:lang w:val="es-ES_tradnl"/>
                    </w:rPr>
                    <w:t>part</w:t>
                  </w:r>
                  <w:r w:rsidR="0026477D" w:rsidRPr="002E0072">
                    <w:rPr>
                      <w:caps/>
                      <w:sz w:val="28"/>
                      <w:lang w:val="es-ES_tradnl"/>
                    </w:rPr>
                    <w:t>E</w:t>
                  </w:r>
                  <w:r w:rsidRPr="002E0072">
                    <w:rPr>
                      <w:caps/>
                      <w:sz w:val="28"/>
                      <w:lang w:val="es-ES_tradnl"/>
                    </w:rPr>
                    <w:t xml:space="preserve"> 1 </w:t>
                  </w:r>
                </w:p>
                <w:p w:rsidR="00CD4F7C" w:rsidRPr="002E0072" w:rsidRDefault="0026477D" w:rsidP="0026477D">
                  <w:pPr>
                    <w:overflowPunct/>
                    <w:autoSpaceDE/>
                    <w:autoSpaceDN/>
                    <w:adjustRightInd/>
                    <w:spacing w:before="480"/>
                    <w:jc w:val="center"/>
                    <w:textAlignment w:val="auto"/>
                    <w:rPr>
                      <w:caps/>
                      <w:sz w:val="28"/>
                      <w:lang w:val="es-ES_tradnl"/>
                    </w:rPr>
                  </w:pPr>
                  <w:r w:rsidRPr="002E0072">
                    <w:rPr>
                      <w:caps/>
                      <w:sz w:val="28"/>
                      <w:lang w:val="es-ES_tradnl"/>
                    </w:rPr>
                    <w:t xml:space="preserve">Actividades del sector de radiocomunicaciones </w:t>
                  </w:r>
                  <w:r w:rsidRPr="002E0072">
                    <w:rPr>
                      <w:caps/>
                      <w:sz w:val="28"/>
                      <w:lang w:val="es-ES_tradnl"/>
                    </w:rPr>
                    <w:br/>
                    <w:t>en el periodo COMPRENDIDO entre la cmr</w:t>
                  </w:r>
                  <w:r w:rsidRPr="002E0072">
                    <w:rPr>
                      <w:caps/>
                      <w:sz w:val="28"/>
                      <w:lang w:val="es-ES_tradnl"/>
                    </w:rPr>
                    <w:noBreakHyphen/>
                    <w:t>12 y la cmr</w:t>
                  </w:r>
                  <w:r w:rsidRPr="002E0072">
                    <w:rPr>
                      <w:caps/>
                      <w:sz w:val="28"/>
                      <w:lang w:val="es-ES_tradnl"/>
                    </w:rPr>
                    <w:noBreakHyphen/>
                    <w:t>15</w:t>
                  </w:r>
                </w:p>
              </w:tc>
            </w:tr>
            <w:tr w:rsidR="00CD4F7C" w:rsidRPr="007E4BFD" w:rsidTr="00FC4D74">
              <w:trPr>
                <w:cantSplit/>
              </w:trPr>
              <w:tc>
                <w:tcPr>
                  <w:tcW w:w="10569" w:type="dxa"/>
                  <w:gridSpan w:val="2"/>
                </w:tcPr>
                <w:p w:rsidR="00CD4F7C" w:rsidRPr="002E0072" w:rsidRDefault="0026477D" w:rsidP="0026477D">
                  <w:pPr>
                    <w:overflowPunct/>
                    <w:autoSpaceDE/>
                    <w:autoSpaceDN/>
                    <w:adjustRightInd/>
                    <w:spacing w:before="240"/>
                    <w:jc w:val="center"/>
                    <w:textAlignment w:val="auto"/>
                    <w:rPr>
                      <w:sz w:val="28"/>
                      <w:lang w:val="es-ES_tradnl"/>
                    </w:rPr>
                  </w:pPr>
                  <w:r w:rsidRPr="002E0072">
                    <w:rPr>
                      <w:sz w:val="28"/>
                      <w:lang w:val="es-ES_tradnl"/>
                    </w:rPr>
                    <w:t xml:space="preserve">Información adicional relativa a la </w:t>
                  </w:r>
                  <w:r w:rsidR="00CD4F7C" w:rsidRPr="002E0072">
                    <w:rPr>
                      <w:sz w:val="28"/>
                      <w:lang w:val="es-ES_tradnl"/>
                    </w:rPr>
                    <w:t>Part</w:t>
                  </w:r>
                  <w:r w:rsidRPr="002E0072">
                    <w:rPr>
                      <w:sz w:val="28"/>
                      <w:lang w:val="es-ES_tradnl"/>
                    </w:rPr>
                    <w:t>e 1</w:t>
                  </w:r>
                  <w:r w:rsidR="00461B5F" w:rsidRPr="002E0072">
                    <w:rPr>
                      <w:sz w:val="28"/>
                      <w:lang w:val="es-ES_tradnl"/>
                    </w:rPr>
                    <w:t xml:space="preserve"> </w:t>
                  </w:r>
                  <w:r w:rsidRPr="002E0072">
                    <w:rPr>
                      <w:sz w:val="28"/>
                      <w:lang w:val="es-ES_tradnl"/>
                    </w:rPr>
                    <w:t xml:space="preserve">del Informe del </w:t>
                  </w:r>
                  <w:r w:rsidR="00CD4F7C" w:rsidRPr="002E0072">
                    <w:rPr>
                      <w:sz w:val="28"/>
                      <w:lang w:val="es-ES_tradnl"/>
                    </w:rPr>
                    <w:t xml:space="preserve">Director </w:t>
                  </w:r>
                </w:p>
              </w:tc>
            </w:tr>
          </w:tbl>
          <w:p w:rsidR="00CD4F7C" w:rsidRPr="002E0072" w:rsidRDefault="00CD4F7C" w:rsidP="00CD4F7C">
            <w:pPr>
              <w:overflowPunct/>
              <w:autoSpaceDE/>
              <w:autoSpaceDN/>
              <w:adjustRightInd/>
              <w:spacing w:before="240"/>
              <w:jc w:val="center"/>
              <w:textAlignment w:val="auto"/>
              <w:rPr>
                <w:sz w:val="28"/>
                <w:lang w:val="es-ES_tradnl"/>
              </w:rPr>
            </w:pPr>
          </w:p>
        </w:tc>
      </w:tr>
    </w:tbl>
    <w:p w:rsidR="00CD4F7C" w:rsidRPr="002E0072" w:rsidRDefault="00CD4F7C" w:rsidP="002E34F1">
      <w:pPr>
        <w:pStyle w:val="Heading1"/>
        <w:rPr>
          <w:lang w:val="es-ES_tradnl"/>
        </w:rPr>
      </w:pPr>
      <w:bookmarkStart w:id="1" w:name="dbreak"/>
      <w:bookmarkEnd w:id="0"/>
      <w:bookmarkEnd w:id="1"/>
    </w:p>
    <w:p w:rsidR="00CD4F7C" w:rsidRPr="002E0072" w:rsidRDefault="00600124" w:rsidP="00000219">
      <w:pPr>
        <w:pStyle w:val="Heading1"/>
        <w:jc w:val="center"/>
        <w:rPr>
          <w:lang w:val="es-ES_tradnl"/>
        </w:rPr>
      </w:pPr>
      <w:r w:rsidRPr="002E0072">
        <w:rPr>
          <w:lang w:val="es-ES_tradnl"/>
        </w:rPr>
        <w:t xml:space="preserve">Informe </w:t>
      </w:r>
      <w:r w:rsidR="00461B5F" w:rsidRPr="002E0072">
        <w:rPr>
          <w:lang w:val="es-ES_tradnl"/>
        </w:rPr>
        <w:t>del estado de</w:t>
      </w:r>
      <w:r w:rsidRPr="002E0072">
        <w:rPr>
          <w:lang w:val="es-ES_tradnl"/>
        </w:rPr>
        <w:t xml:space="preserve"> desarrollo de herramientas informátic</w:t>
      </w:r>
      <w:r w:rsidR="008B2C76" w:rsidRPr="002E0072">
        <w:rPr>
          <w:lang w:val="es-ES_tradnl"/>
        </w:rPr>
        <w:t>as</w:t>
      </w:r>
      <w:r w:rsidRPr="002E0072">
        <w:rPr>
          <w:lang w:val="es-ES_tradnl"/>
        </w:rPr>
        <w:t xml:space="preserve"> para determina</w:t>
      </w:r>
      <w:r w:rsidR="008B2C76" w:rsidRPr="002E0072">
        <w:rPr>
          <w:lang w:val="es-ES_tradnl"/>
        </w:rPr>
        <w:t xml:space="preserve">r </w:t>
      </w:r>
      <w:r w:rsidRPr="002E0072">
        <w:rPr>
          <w:lang w:val="es-ES_tradnl"/>
        </w:rPr>
        <w:t>la conformidad de redes de satélites no geoestacionarios del servicio fijo por satélite con</w:t>
      </w:r>
      <w:r w:rsidR="00CB6C23" w:rsidRPr="002E0072">
        <w:rPr>
          <w:lang w:val="es-ES_tradnl"/>
        </w:rPr>
        <w:t xml:space="preserve"> los lí</w:t>
      </w:r>
      <w:r w:rsidRPr="002E0072">
        <w:rPr>
          <w:lang w:val="es-ES_tradnl"/>
        </w:rPr>
        <w:t>mites de densidad de flujo de potencia</w:t>
      </w:r>
      <w:r w:rsidR="00250F03">
        <w:rPr>
          <w:lang w:val="es-ES_tradnl"/>
        </w:rPr>
        <w:t xml:space="preserve"> equivalente</w:t>
      </w:r>
      <w:r w:rsidRPr="002E0072">
        <w:rPr>
          <w:lang w:val="es-ES_tradnl"/>
        </w:rPr>
        <w:t xml:space="preserve"> (dfp</w:t>
      </w:r>
      <w:r w:rsidR="00250F03">
        <w:rPr>
          <w:lang w:val="es-ES_tradnl"/>
        </w:rPr>
        <w:t>e</w:t>
      </w:r>
      <w:r w:rsidRPr="002E0072">
        <w:rPr>
          <w:lang w:val="es-ES_tradnl"/>
        </w:rPr>
        <w:t xml:space="preserve">) contenidos en el Artículo 22 del Reglamento </w:t>
      </w:r>
      <w:r w:rsidR="004116A8">
        <w:rPr>
          <w:lang w:val="es-ES_tradnl"/>
        </w:rPr>
        <w:br/>
      </w:r>
      <w:r w:rsidRPr="002E0072">
        <w:rPr>
          <w:lang w:val="es-ES_tradnl"/>
        </w:rPr>
        <w:t>de Radiocomunicaciones de confo</w:t>
      </w:r>
      <w:r w:rsidR="007B3280" w:rsidRPr="002E0072">
        <w:rPr>
          <w:lang w:val="es-ES_tradnl"/>
        </w:rPr>
        <w:t>rmidad con la Recomendación </w:t>
      </w:r>
      <w:r w:rsidR="00CB6C23" w:rsidRPr="002E0072">
        <w:rPr>
          <w:lang w:val="es-ES_tradnl"/>
        </w:rPr>
        <w:t>UIT</w:t>
      </w:r>
      <w:r w:rsidR="00CB6C23" w:rsidRPr="002E0072">
        <w:rPr>
          <w:lang w:val="es-ES_tradnl"/>
        </w:rPr>
        <w:noBreakHyphen/>
      </w:r>
      <w:r w:rsidRPr="002E0072">
        <w:rPr>
          <w:lang w:val="es-ES_tradnl"/>
        </w:rPr>
        <w:t>R</w:t>
      </w:r>
      <w:r w:rsidR="00CB6C23" w:rsidRPr="002E0072">
        <w:rPr>
          <w:lang w:val="es-ES_tradnl"/>
        </w:rPr>
        <w:t> </w:t>
      </w:r>
      <w:r w:rsidRPr="002E0072">
        <w:rPr>
          <w:lang w:val="es-ES_tradnl"/>
        </w:rPr>
        <w:t>S.1503-2</w:t>
      </w:r>
    </w:p>
    <w:p w:rsidR="00CD4F7C" w:rsidRPr="002E0072" w:rsidRDefault="00CD4F7C" w:rsidP="002E34F1">
      <w:pPr>
        <w:pStyle w:val="Heading1"/>
        <w:rPr>
          <w:lang w:val="es-ES_tradnl"/>
        </w:rPr>
      </w:pPr>
    </w:p>
    <w:p w:rsidR="002E34F1" w:rsidRPr="002E0072" w:rsidRDefault="00194DB6" w:rsidP="00600124">
      <w:pPr>
        <w:pStyle w:val="Heading1"/>
        <w:rPr>
          <w:lang w:val="es-ES_tradnl"/>
        </w:rPr>
      </w:pPr>
      <w:r>
        <w:rPr>
          <w:lang w:val="es-ES_tradnl"/>
        </w:rPr>
        <w:t>1</w:t>
      </w:r>
      <w:r w:rsidR="002E34F1" w:rsidRPr="002E0072">
        <w:rPr>
          <w:lang w:val="es-ES_tradnl"/>
        </w:rPr>
        <w:tab/>
        <w:t>Introduc</w:t>
      </w:r>
      <w:r w:rsidR="00600124" w:rsidRPr="002E0072">
        <w:rPr>
          <w:lang w:val="es-ES_tradnl"/>
        </w:rPr>
        <w:t>ció</w:t>
      </w:r>
      <w:r w:rsidR="002E34F1" w:rsidRPr="002E0072">
        <w:rPr>
          <w:lang w:val="es-ES_tradnl"/>
        </w:rPr>
        <w:t>n</w:t>
      </w:r>
    </w:p>
    <w:p w:rsidR="00271134" w:rsidRPr="002E0072" w:rsidRDefault="00271134" w:rsidP="000A1C2D">
      <w:pPr>
        <w:rPr>
          <w:lang w:val="es-ES_tradnl"/>
        </w:rPr>
      </w:pPr>
      <w:r w:rsidRPr="002E0072">
        <w:rPr>
          <w:lang w:val="es-ES_tradnl"/>
        </w:rPr>
        <w:t>La Sección 2</w:t>
      </w:r>
      <w:r w:rsidR="002E34F1" w:rsidRPr="002E0072">
        <w:rPr>
          <w:lang w:val="es-ES_tradnl"/>
        </w:rPr>
        <w:t xml:space="preserve">.2.3.5 </w:t>
      </w:r>
      <w:r w:rsidRPr="002E0072">
        <w:rPr>
          <w:lang w:val="es-ES_tradnl"/>
        </w:rPr>
        <w:t>del Addéndum 1 al</w:t>
      </w:r>
      <w:r w:rsidR="002E34F1" w:rsidRPr="002E0072">
        <w:rPr>
          <w:lang w:val="es-ES_tradnl"/>
        </w:rPr>
        <w:t xml:space="preserve"> Document</w:t>
      </w:r>
      <w:r w:rsidRPr="002E0072">
        <w:rPr>
          <w:lang w:val="es-ES_tradnl"/>
        </w:rPr>
        <w:t>o</w:t>
      </w:r>
      <w:r w:rsidR="002E34F1" w:rsidRPr="002E0072">
        <w:rPr>
          <w:lang w:val="es-ES_tradnl"/>
        </w:rPr>
        <w:t xml:space="preserve"> CMR15/4 (Part</w:t>
      </w:r>
      <w:r w:rsidRPr="002E0072">
        <w:rPr>
          <w:lang w:val="es-ES_tradnl"/>
        </w:rPr>
        <w:t>e</w:t>
      </w:r>
      <w:r w:rsidR="002E34F1" w:rsidRPr="002E0072">
        <w:rPr>
          <w:lang w:val="es-ES_tradnl"/>
        </w:rPr>
        <w:t xml:space="preserve"> 1 </w:t>
      </w:r>
      <w:r w:rsidRPr="002E0072">
        <w:rPr>
          <w:lang w:val="es-ES_tradnl"/>
        </w:rPr>
        <w:t xml:space="preserve">sobre las </w:t>
      </w:r>
      <w:r w:rsidR="002E34F1" w:rsidRPr="002E0072">
        <w:rPr>
          <w:lang w:val="es-ES_tradnl"/>
        </w:rPr>
        <w:t>Activi</w:t>
      </w:r>
      <w:r w:rsidRPr="002E0072">
        <w:rPr>
          <w:lang w:val="es-ES_tradnl"/>
        </w:rPr>
        <w:t xml:space="preserve">dades del Sector de </w:t>
      </w:r>
      <w:r w:rsidR="002E34F1" w:rsidRPr="002E0072">
        <w:rPr>
          <w:lang w:val="es-ES_tradnl"/>
        </w:rPr>
        <w:t>Radiocomunica</w:t>
      </w:r>
      <w:r w:rsidRPr="002E0072">
        <w:rPr>
          <w:lang w:val="es-ES_tradnl"/>
        </w:rPr>
        <w:t>ciones en el periodo comprendido entre la CMR</w:t>
      </w:r>
      <w:r w:rsidR="00585746" w:rsidRPr="002E0072">
        <w:rPr>
          <w:lang w:val="es-ES_tradnl"/>
        </w:rPr>
        <w:t xml:space="preserve">-12 </w:t>
      </w:r>
      <w:r w:rsidRPr="002E0072">
        <w:rPr>
          <w:lang w:val="es-ES_tradnl"/>
        </w:rPr>
        <w:t>y la CMR</w:t>
      </w:r>
      <w:r w:rsidR="00585746" w:rsidRPr="002E0072">
        <w:rPr>
          <w:lang w:val="es-ES_tradnl"/>
        </w:rPr>
        <w:t>-15</w:t>
      </w:r>
      <w:r w:rsidRPr="002E0072">
        <w:rPr>
          <w:lang w:val="es-ES_tradnl"/>
        </w:rPr>
        <w:t xml:space="preserve">) contiene información </w:t>
      </w:r>
      <w:r w:rsidR="000A1C2D" w:rsidRPr="002E0072">
        <w:rPr>
          <w:lang w:val="es-ES_tradnl"/>
        </w:rPr>
        <w:t xml:space="preserve">relativa a la aplicación de la </w:t>
      </w:r>
      <w:r w:rsidR="002E34F1" w:rsidRPr="002E0072">
        <w:rPr>
          <w:lang w:val="es-ES_tradnl"/>
        </w:rPr>
        <w:t>Resolu</w:t>
      </w:r>
      <w:r w:rsidR="000A1C2D" w:rsidRPr="002E0072">
        <w:rPr>
          <w:lang w:val="es-ES_tradnl"/>
        </w:rPr>
        <w:t>ció</w:t>
      </w:r>
      <w:r w:rsidR="002E34F1" w:rsidRPr="002E0072">
        <w:rPr>
          <w:lang w:val="es-ES_tradnl"/>
        </w:rPr>
        <w:t>n 85 (</w:t>
      </w:r>
      <w:r w:rsidR="000A1C2D" w:rsidRPr="002E0072">
        <w:rPr>
          <w:lang w:val="es-ES_tradnl"/>
        </w:rPr>
        <w:t>CMR</w:t>
      </w:r>
      <w:r w:rsidR="002E34F1" w:rsidRPr="002E0072">
        <w:rPr>
          <w:lang w:val="es-ES_tradnl"/>
        </w:rPr>
        <w:t>-03)</w:t>
      </w:r>
      <w:bookmarkStart w:id="2" w:name="_Toc328141270"/>
      <w:r w:rsidR="00BE21B1" w:rsidRPr="002E0072">
        <w:rPr>
          <w:lang w:val="es-ES_tradnl"/>
        </w:rPr>
        <w:t xml:space="preserve"> </w:t>
      </w:r>
      <w:r w:rsidRPr="002E0072">
        <w:rPr>
          <w:lang w:val="es-ES_tradnl"/>
        </w:rPr>
        <w:t>(Aplicación del Artículo 22 del Reglamento de Radiocomunicaciones para la protección de las redes de sistemas geoestacionarios del servicio fijo por satélite y del servicio de radiodifusión por satélite frente a los sistemas no geoestacionarios del servicio fijo por satélite</w:t>
      </w:r>
      <w:bookmarkEnd w:id="2"/>
      <w:r w:rsidRPr="002E0072">
        <w:rPr>
          <w:lang w:val="es-ES_tradnl"/>
        </w:rPr>
        <w:t>).</w:t>
      </w:r>
    </w:p>
    <w:p w:rsidR="00BE21B1" w:rsidRPr="002E0072" w:rsidRDefault="00461B5F" w:rsidP="00461B5F">
      <w:pPr>
        <w:rPr>
          <w:lang w:val="es-ES_tradnl"/>
        </w:rPr>
      </w:pPr>
      <w:r w:rsidRPr="002E0072">
        <w:rPr>
          <w:lang w:val="es-ES_tradnl"/>
        </w:rPr>
        <w:t>El presente addéndum ofrece</w:t>
      </w:r>
      <w:r w:rsidR="00BE21B1" w:rsidRPr="002E0072">
        <w:rPr>
          <w:lang w:val="es-ES_tradnl"/>
        </w:rPr>
        <w:t xml:space="preserve"> información detallada sobre </w:t>
      </w:r>
      <w:r w:rsidRPr="002E0072">
        <w:rPr>
          <w:lang w:val="es-ES_tradnl"/>
        </w:rPr>
        <w:t>el estado de</w:t>
      </w:r>
      <w:r w:rsidR="00BE21B1" w:rsidRPr="002E0072">
        <w:rPr>
          <w:lang w:val="es-ES_tradnl"/>
        </w:rPr>
        <w:t xml:space="preserve"> desarrollo de herramientas </w:t>
      </w:r>
      <w:r w:rsidR="008B2C76" w:rsidRPr="002E0072">
        <w:rPr>
          <w:lang w:val="es-ES_tradnl"/>
        </w:rPr>
        <w:t>informáticas</w:t>
      </w:r>
      <w:r w:rsidR="00BE21B1" w:rsidRPr="002E0072">
        <w:rPr>
          <w:lang w:val="es-ES_tradnl"/>
        </w:rPr>
        <w:t xml:space="preserve"> </w:t>
      </w:r>
      <w:r w:rsidR="008B2C76" w:rsidRPr="002E0072">
        <w:rPr>
          <w:lang w:val="es-ES_tradnl"/>
        </w:rPr>
        <w:t xml:space="preserve">de </w:t>
      </w:r>
      <w:r w:rsidR="00BE21B1" w:rsidRPr="002E0072">
        <w:rPr>
          <w:lang w:val="es-ES_tradnl"/>
        </w:rPr>
        <w:t xml:space="preserve">validación de la dfpe </w:t>
      </w:r>
      <w:r w:rsidR="008B2C76" w:rsidRPr="002E0072">
        <w:rPr>
          <w:lang w:val="es-ES_tradnl"/>
        </w:rPr>
        <w:t>para</w:t>
      </w:r>
      <w:r w:rsidR="00BE21B1" w:rsidRPr="002E0072">
        <w:rPr>
          <w:lang w:val="es-ES_tradnl"/>
        </w:rPr>
        <w:t xml:space="preserve"> el análisis de sistemas del servicio fijo por satélite (SFS) no OSG, de conformidad con la Recomendación UIT-R S.1503-2.</w:t>
      </w:r>
    </w:p>
    <w:p w:rsidR="002E34F1" w:rsidRPr="002E0072" w:rsidRDefault="002E34F1" w:rsidP="007A547B">
      <w:pPr>
        <w:rPr>
          <w:lang w:val="es-ES_tradnl"/>
        </w:rPr>
      </w:pPr>
    </w:p>
    <w:p w:rsidR="0033065C" w:rsidRPr="002E0072" w:rsidRDefault="007E4BFD" w:rsidP="00BE21B1">
      <w:pPr>
        <w:pStyle w:val="Heading1"/>
        <w:rPr>
          <w:lang w:val="es-ES_tradnl"/>
        </w:rPr>
      </w:pPr>
      <w:r>
        <w:rPr>
          <w:lang w:val="es-ES_tradnl"/>
        </w:rPr>
        <w:lastRenderedPageBreak/>
        <w:t>2</w:t>
      </w:r>
      <w:r w:rsidR="002E34F1" w:rsidRPr="002E0072">
        <w:rPr>
          <w:lang w:val="es-ES_tradnl"/>
        </w:rPr>
        <w:tab/>
      </w:r>
      <w:r w:rsidR="00BE21B1" w:rsidRPr="002E0072">
        <w:rPr>
          <w:lang w:val="es-ES_tradnl"/>
        </w:rPr>
        <w:t xml:space="preserve">Resumen de los avances realizados </w:t>
      </w:r>
    </w:p>
    <w:p w:rsidR="0096064A" w:rsidRPr="002E0072" w:rsidRDefault="00461B5F" w:rsidP="00461B5F">
      <w:pPr>
        <w:rPr>
          <w:lang w:val="es-ES_tradnl"/>
        </w:rPr>
      </w:pPr>
      <w:r w:rsidRPr="002E0072">
        <w:rPr>
          <w:lang w:val="es-ES_tradnl"/>
        </w:rPr>
        <w:t>Se h</w:t>
      </w:r>
      <w:r w:rsidR="009E3FAE" w:rsidRPr="002E0072">
        <w:rPr>
          <w:lang w:val="es-ES_tradnl"/>
        </w:rPr>
        <w:t xml:space="preserve">an </w:t>
      </w:r>
      <w:r w:rsidRPr="002E0072">
        <w:rPr>
          <w:lang w:val="es-ES_tradnl"/>
        </w:rPr>
        <w:t xml:space="preserve">desarrollado </w:t>
      </w:r>
      <w:r w:rsidR="009E3FAE" w:rsidRPr="002E0072">
        <w:rPr>
          <w:lang w:val="es-ES_tradnl"/>
        </w:rPr>
        <w:t>d</w:t>
      </w:r>
      <w:r w:rsidR="0096064A" w:rsidRPr="002E0072">
        <w:rPr>
          <w:lang w:val="es-ES_tradnl"/>
        </w:rPr>
        <w:t xml:space="preserve">os versiones de motor </w:t>
      </w:r>
      <w:r w:rsidR="009268D3" w:rsidRPr="002E0072">
        <w:rPr>
          <w:lang w:val="es-ES_tradnl"/>
        </w:rPr>
        <w:t xml:space="preserve">de la </w:t>
      </w:r>
      <w:r w:rsidR="0096064A" w:rsidRPr="002E0072">
        <w:rPr>
          <w:lang w:val="es-ES_tradnl"/>
        </w:rPr>
        <w:t xml:space="preserve">DFPE por sendas empresas que han </w:t>
      </w:r>
      <w:r w:rsidRPr="002E0072">
        <w:rPr>
          <w:lang w:val="es-ES_tradnl"/>
        </w:rPr>
        <w:t>implementad</w:t>
      </w:r>
      <w:r w:rsidR="0096064A" w:rsidRPr="002E0072">
        <w:rPr>
          <w:lang w:val="es-ES_tradnl"/>
        </w:rPr>
        <w:t xml:space="preserve">o la Recomendación UIT-R S.1503-2, </w:t>
      </w:r>
      <w:r w:rsidRPr="002E0072">
        <w:rPr>
          <w:lang w:val="es-ES_tradnl"/>
        </w:rPr>
        <w:t xml:space="preserve">con </w:t>
      </w:r>
      <w:r w:rsidR="0096064A" w:rsidRPr="002E0072">
        <w:rPr>
          <w:lang w:val="es-ES_tradnl"/>
        </w:rPr>
        <w:t xml:space="preserve">características adicionales </w:t>
      </w:r>
      <w:r w:rsidRPr="002E0072">
        <w:rPr>
          <w:lang w:val="es-ES_tradnl"/>
        </w:rPr>
        <w:t>en esta</w:t>
      </w:r>
      <w:r w:rsidR="0096064A" w:rsidRPr="002E0072">
        <w:rPr>
          <w:lang w:val="es-ES_tradnl"/>
        </w:rPr>
        <w:t xml:space="preserve"> actualización, </w:t>
      </w:r>
      <w:r w:rsidRPr="002E0072">
        <w:rPr>
          <w:lang w:val="es-ES_tradnl"/>
        </w:rPr>
        <w:t xml:space="preserve">tales </w:t>
      </w:r>
      <w:r w:rsidR="0096064A" w:rsidRPr="002E0072">
        <w:rPr>
          <w:lang w:val="es-ES_tradnl"/>
        </w:rPr>
        <w:t xml:space="preserve">como la </w:t>
      </w:r>
      <w:r w:rsidRPr="002E0072">
        <w:rPr>
          <w:lang w:val="es-ES_tradnl"/>
        </w:rPr>
        <w:t xml:space="preserve">mejora de la </w:t>
      </w:r>
      <w:r w:rsidR="0096064A" w:rsidRPr="002E0072">
        <w:rPr>
          <w:lang w:val="es-ES_tradnl"/>
        </w:rPr>
        <w:t>geometría del caso más desfa</w:t>
      </w:r>
      <w:r w:rsidR="009E3FAE" w:rsidRPr="002E0072">
        <w:rPr>
          <w:lang w:val="es-ES_tradnl"/>
        </w:rPr>
        <w:t>vo</w:t>
      </w:r>
      <w:r w:rsidR="0096064A" w:rsidRPr="002E0072">
        <w:rPr>
          <w:lang w:val="es-ES_tradnl"/>
        </w:rPr>
        <w:t xml:space="preserve">rable y la integración en el entorno informático de la BR, en particular el acceso </w:t>
      </w:r>
      <w:r w:rsidR="00DC57B4" w:rsidRPr="002E0072">
        <w:rPr>
          <w:lang w:val="es-ES_tradnl"/>
        </w:rPr>
        <w:t xml:space="preserve">a </w:t>
      </w:r>
      <w:r w:rsidR="0096064A" w:rsidRPr="002E0072">
        <w:rPr>
          <w:lang w:val="es-ES_tradnl"/>
        </w:rPr>
        <w:t>la información de</w:t>
      </w:r>
      <w:r w:rsidR="009268D3" w:rsidRPr="002E0072">
        <w:rPr>
          <w:lang w:val="es-ES_tradnl"/>
        </w:rPr>
        <w:t>l</w:t>
      </w:r>
      <w:r w:rsidR="0096064A" w:rsidRPr="002E0072">
        <w:rPr>
          <w:lang w:val="es-ES_tradnl"/>
        </w:rPr>
        <w:t xml:space="preserve"> Apéndice 4 sobre redes del SFS no OSG </w:t>
      </w:r>
      <w:r w:rsidR="00DC57B4" w:rsidRPr="002E0072">
        <w:rPr>
          <w:lang w:val="es-ES_tradnl"/>
        </w:rPr>
        <w:t xml:space="preserve">y su tratamiento </w:t>
      </w:r>
      <w:r w:rsidR="0096064A" w:rsidRPr="002E0072">
        <w:rPr>
          <w:lang w:val="es-ES_tradnl"/>
        </w:rPr>
        <w:t>directamente a partir de la base de datos de</w:t>
      </w:r>
      <w:r w:rsidR="00DC57B4" w:rsidRPr="002E0072">
        <w:rPr>
          <w:lang w:val="es-ES_tradnl"/>
        </w:rPr>
        <w:t>l SIE de</w:t>
      </w:r>
      <w:r w:rsidR="00D20A08" w:rsidRPr="002E0072">
        <w:rPr>
          <w:lang w:val="es-ES_tradnl"/>
        </w:rPr>
        <w:t xml:space="preserve"> la UIT junto con máscaras </w:t>
      </w:r>
      <w:r w:rsidR="009E3FAE" w:rsidRPr="002E0072">
        <w:rPr>
          <w:lang w:val="es-ES_tradnl"/>
        </w:rPr>
        <w:t>DFP y PIRE.</w:t>
      </w:r>
    </w:p>
    <w:p w:rsidR="009E3FAE" w:rsidRPr="002E0072" w:rsidRDefault="009E3FAE" w:rsidP="00461B5F">
      <w:pPr>
        <w:rPr>
          <w:lang w:val="es-ES_tradnl"/>
        </w:rPr>
      </w:pPr>
      <w:r w:rsidRPr="002E0072">
        <w:rPr>
          <w:lang w:val="es-ES_tradnl"/>
        </w:rPr>
        <w:t xml:space="preserve">Ambas empresas </w:t>
      </w:r>
      <w:r w:rsidR="00E73C1F">
        <w:rPr>
          <w:lang w:val="es-ES_tradnl"/>
        </w:rPr>
        <w:t>d</w:t>
      </w:r>
      <w:r w:rsidR="00461B5F" w:rsidRPr="002E0072">
        <w:rPr>
          <w:lang w:val="es-ES_tradnl"/>
        </w:rPr>
        <w:t xml:space="preserve">e software </w:t>
      </w:r>
      <w:r w:rsidRPr="002E0072">
        <w:rPr>
          <w:lang w:val="es-ES_tradnl"/>
        </w:rPr>
        <w:t xml:space="preserve">están poniendo a prueba una serie de casos que incluyen sistemas de referencia no OSG elaborados y examinados durante la validación informática </w:t>
      </w:r>
      <w:r w:rsidR="00DC57B4" w:rsidRPr="002E0072">
        <w:rPr>
          <w:lang w:val="es-ES_tradnl"/>
        </w:rPr>
        <w:t>de la Rec. S.1503-1, así como nuevas pruebas derivadas de sistemas de satélite reales. La realización de pruebas avanza satisfactoriamente dada la adecuada complementariedad entre las herramientas informáticas</w:t>
      </w:r>
      <w:r w:rsidR="00C26D51" w:rsidRPr="002E0072">
        <w:rPr>
          <w:lang w:val="es-ES_tradnl"/>
        </w:rPr>
        <w:t xml:space="preserve"> utilizadas en </w:t>
      </w:r>
      <w:r w:rsidR="00DC57B4" w:rsidRPr="002E0072">
        <w:rPr>
          <w:lang w:val="es-ES_tradnl"/>
        </w:rPr>
        <w:t xml:space="preserve">las pruebas realizadas hasta ahora. La fase actual de las pruebas se basa en seis casos definidos (véase </w:t>
      </w:r>
      <w:r w:rsidR="00DC57B4" w:rsidRPr="002E0072">
        <w:rPr>
          <w:i/>
          <w:iCs/>
          <w:lang w:val="es-ES_tradnl"/>
        </w:rPr>
        <w:t>infra</w:t>
      </w:r>
      <w:r w:rsidR="00DC57B4" w:rsidRPr="002E0072">
        <w:rPr>
          <w:lang w:val="es-ES_tradnl"/>
        </w:rPr>
        <w:t xml:space="preserve"> el Cuadro 1 del §3) que abarca la gama de tipos de constelaciones no OSG recibidos por la Oficina </w:t>
      </w:r>
      <w:r w:rsidR="009605D0" w:rsidRPr="002E0072">
        <w:rPr>
          <w:lang w:val="es-ES_tradnl"/>
        </w:rPr>
        <w:t>y los medios para definir los emplazamientos de la</w:t>
      </w:r>
      <w:r w:rsidR="001D4B06" w:rsidRPr="002E0072">
        <w:rPr>
          <w:lang w:val="es-ES_tradnl"/>
        </w:rPr>
        <w:t>s</w:t>
      </w:r>
      <w:r w:rsidR="009605D0" w:rsidRPr="002E0072">
        <w:rPr>
          <w:lang w:val="es-ES_tradnl"/>
        </w:rPr>
        <w:t xml:space="preserve"> estaci</w:t>
      </w:r>
      <w:r w:rsidR="001D4B06" w:rsidRPr="002E0072">
        <w:rPr>
          <w:lang w:val="es-ES_tradnl"/>
        </w:rPr>
        <w:t>ones</w:t>
      </w:r>
      <w:r w:rsidR="009605D0" w:rsidRPr="002E0072">
        <w:rPr>
          <w:lang w:val="es-ES_tradnl"/>
        </w:rPr>
        <w:t xml:space="preserve"> terrena</w:t>
      </w:r>
      <w:r w:rsidR="001D4B06" w:rsidRPr="002E0072">
        <w:rPr>
          <w:lang w:val="es-ES_tradnl"/>
        </w:rPr>
        <w:t>s</w:t>
      </w:r>
      <w:r w:rsidR="009605D0" w:rsidRPr="002E0072">
        <w:rPr>
          <w:lang w:val="es-ES_tradnl"/>
        </w:rPr>
        <w:t xml:space="preserve">. </w:t>
      </w:r>
    </w:p>
    <w:p w:rsidR="00A67C90" w:rsidRPr="002E0072" w:rsidRDefault="00A67C90" w:rsidP="00461B5F">
      <w:pPr>
        <w:rPr>
          <w:lang w:val="es-ES_tradnl"/>
        </w:rPr>
      </w:pPr>
      <w:r w:rsidRPr="002E0072">
        <w:rPr>
          <w:lang w:val="es-ES_tradnl"/>
        </w:rPr>
        <w:t>Aunque l</w:t>
      </w:r>
      <w:r w:rsidR="00811754" w:rsidRPr="002E0072">
        <w:rPr>
          <w:lang w:val="es-ES_tradnl"/>
        </w:rPr>
        <w:t xml:space="preserve">os tiempos de </w:t>
      </w:r>
      <w:r w:rsidR="00461B5F" w:rsidRPr="002E0072">
        <w:rPr>
          <w:lang w:val="es-ES_tradnl"/>
        </w:rPr>
        <w:t xml:space="preserve">ejecución </w:t>
      </w:r>
      <w:r w:rsidR="00811754" w:rsidRPr="002E0072">
        <w:rPr>
          <w:lang w:val="es-ES_tradnl"/>
        </w:rPr>
        <w:t>d</w:t>
      </w:r>
      <w:r w:rsidRPr="002E0072">
        <w:rPr>
          <w:lang w:val="es-ES_tradnl"/>
        </w:rPr>
        <w:t xml:space="preserve">e algunas de las constelaciones no OSG </w:t>
      </w:r>
      <w:r w:rsidR="00461B5F" w:rsidRPr="002E0072">
        <w:rPr>
          <w:lang w:val="es-ES_tradnl"/>
        </w:rPr>
        <w:t>de mayor tamaño</w:t>
      </w:r>
      <w:r w:rsidRPr="002E0072">
        <w:rPr>
          <w:lang w:val="es-ES_tradnl"/>
        </w:rPr>
        <w:t xml:space="preserve"> ha</w:t>
      </w:r>
      <w:r w:rsidR="00811754" w:rsidRPr="002E0072">
        <w:rPr>
          <w:lang w:val="es-ES_tradnl"/>
        </w:rPr>
        <w:t>n</w:t>
      </w:r>
      <w:r w:rsidRPr="002E0072">
        <w:rPr>
          <w:lang w:val="es-ES_tradnl"/>
        </w:rPr>
        <w:t xml:space="preserve"> sido prolongado</w:t>
      </w:r>
      <w:r w:rsidR="00811754" w:rsidRPr="002E0072">
        <w:rPr>
          <w:lang w:val="es-ES_tradnl"/>
        </w:rPr>
        <w:t>s</w:t>
      </w:r>
      <w:r w:rsidRPr="002E0072">
        <w:rPr>
          <w:lang w:val="es-ES_tradnl"/>
        </w:rPr>
        <w:t xml:space="preserve">, el software fue capaz de </w:t>
      </w:r>
      <w:r w:rsidR="00461B5F" w:rsidRPr="002E0072">
        <w:rPr>
          <w:lang w:val="es-ES_tradnl"/>
        </w:rPr>
        <w:t>maneja</w:t>
      </w:r>
      <w:r w:rsidRPr="002E0072">
        <w:rPr>
          <w:lang w:val="es-ES_tradnl"/>
        </w:rPr>
        <w:t xml:space="preserve">r esos sistemas y funcionar de manera satisfactoria. </w:t>
      </w:r>
    </w:p>
    <w:p w:rsidR="00811754" w:rsidRPr="002E0072" w:rsidRDefault="00811754" w:rsidP="00461B5F">
      <w:pPr>
        <w:rPr>
          <w:lang w:val="es-ES_tradnl"/>
        </w:rPr>
      </w:pPr>
      <w:r w:rsidRPr="002E0072">
        <w:rPr>
          <w:lang w:val="es-ES_tradnl"/>
        </w:rPr>
        <w:t xml:space="preserve">La </w:t>
      </w:r>
      <w:r w:rsidR="00461B5F" w:rsidRPr="002E0072">
        <w:rPr>
          <w:lang w:val="es-ES_tradnl"/>
        </w:rPr>
        <w:t>entrega</w:t>
      </w:r>
      <w:r w:rsidR="00FC7E11" w:rsidRPr="002E0072">
        <w:rPr>
          <w:lang w:val="es-ES_tradnl"/>
        </w:rPr>
        <w:t xml:space="preserve"> </w:t>
      </w:r>
      <w:r w:rsidRPr="002E0072">
        <w:rPr>
          <w:lang w:val="es-ES_tradnl"/>
        </w:rPr>
        <w:t xml:space="preserve">de una versión de prueba del software de validación de la DFPE a la BR/UIT está prevista el 1 de diciembre de 2015 y la versión </w:t>
      </w:r>
      <w:r w:rsidR="009268D3" w:rsidRPr="002E0072">
        <w:rPr>
          <w:lang w:val="es-ES_tradnl"/>
        </w:rPr>
        <w:t>de producción</w:t>
      </w:r>
      <w:r w:rsidRPr="002E0072">
        <w:rPr>
          <w:lang w:val="es-ES_tradnl"/>
        </w:rPr>
        <w:t>, el 1 de mayo de 2016.</w:t>
      </w:r>
    </w:p>
    <w:p w:rsidR="002E34F1" w:rsidRPr="002E0072" w:rsidRDefault="00F668B3" w:rsidP="009268D3">
      <w:pPr>
        <w:pStyle w:val="Heading1"/>
        <w:rPr>
          <w:lang w:val="es-ES_tradnl"/>
        </w:rPr>
      </w:pPr>
      <w:r>
        <w:rPr>
          <w:lang w:val="es-ES_tradnl"/>
        </w:rPr>
        <w:t>3</w:t>
      </w:r>
      <w:r w:rsidR="0033065C" w:rsidRPr="002E0072">
        <w:rPr>
          <w:lang w:val="es-ES_tradnl"/>
        </w:rPr>
        <w:tab/>
      </w:r>
      <w:r w:rsidR="009268D3" w:rsidRPr="002E0072">
        <w:rPr>
          <w:lang w:val="es-ES_tradnl"/>
        </w:rPr>
        <w:t>Definición del alcance de los trabajos relativos al desarrollo del software de validación de la DFPE</w:t>
      </w:r>
    </w:p>
    <w:p w:rsidR="009268D3" w:rsidRPr="002E0072" w:rsidRDefault="009268D3" w:rsidP="00DE7108">
      <w:pPr>
        <w:rPr>
          <w:lang w:val="es-ES_tradnl"/>
        </w:rPr>
      </w:pPr>
      <w:r w:rsidRPr="002E0072">
        <w:rPr>
          <w:lang w:val="es-ES_tradnl"/>
        </w:rPr>
        <w:t xml:space="preserve">Se han desarrollado dos versiones del motor DFPE en virtud de los contratos originales de 2010 </w:t>
      </w:r>
      <w:r w:rsidR="00461B5F" w:rsidRPr="002E0072">
        <w:rPr>
          <w:lang w:val="es-ES_tradnl"/>
        </w:rPr>
        <w:t>adjudicados a</w:t>
      </w:r>
      <w:r w:rsidRPr="002E0072">
        <w:rPr>
          <w:lang w:val="es-ES_tradnl"/>
        </w:rPr>
        <w:t xml:space="preserve"> Transfinite Ltd y Agenium, con arreglo a la Recomendación UIT-R S.1503.</w:t>
      </w:r>
    </w:p>
    <w:p w:rsidR="009268D3" w:rsidRPr="002E0072" w:rsidRDefault="009268D3" w:rsidP="00DE7108">
      <w:pPr>
        <w:rPr>
          <w:lang w:val="es-ES_tradnl"/>
        </w:rPr>
      </w:pPr>
      <w:r w:rsidRPr="002E0072">
        <w:rPr>
          <w:lang w:val="es-ES_tradnl"/>
        </w:rPr>
        <w:t>Esta Recomendación se actualizó posteriormente en 2013 identificándose en los siguientes documentos</w:t>
      </w:r>
      <w:r w:rsidR="00B62261" w:rsidRPr="002E0072">
        <w:rPr>
          <w:lang w:val="es-ES_tradnl"/>
        </w:rPr>
        <w:t xml:space="preserve"> los cambios realizados</w:t>
      </w:r>
      <w:r w:rsidRPr="002E0072">
        <w:rPr>
          <w:lang w:val="es-ES_tradnl"/>
        </w:rPr>
        <w:t>:</w:t>
      </w:r>
    </w:p>
    <w:p w:rsidR="00DD5766" w:rsidRPr="002E0072" w:rsidRDefault="00DD5766" w:rsidP="009B540D">
      <w:pPr>
        <w:pStyle w:val="enumlev1"/>
        <w:rPr>
          <w:lang w:val="es-ES_tradnl"/>
        </w:rPr>
      </w:pPr>
      <w:r w:rsidRPr="002E0072">
        <w:rPr>
          <w:lang w:val="es-ES_tradnl"/>
        </w:rPr>
        <w:t>•</w:t>
      </w:r>
      <w:r w:rsidRPr="002E0072">
        <w:rPr>
          <w:lang w:val="es-ES_tradnl"/>
        </w:rPr>
        <w:tab/>
      </w:r>
      <w:r w:rsidR="002E34F1" w:rsidRPr="002E0072">
        <w:rPr>
          <w:lang w:val="es-ES_tradnl"/>
        </w:rPr>
        <w:t>Document</w:t>
      </w:r>
      <w:r w:rsidR="009268D3" w:rsidRPr="002E0072">
        <w:rPr>
          <w:lang w:val="es-ES_tradnl"/>
        </w:rPr>
        <w:t xml:space="preserve">o WP </w:t>
      </w:r>
      <w:r w:rsidR="002E34F1" w:rsidRPr="002E0072">
        <w:rPr>
          <w:lang w:val="es-ES_tradnl"/>
        </w:rPr>
        <w:t xml:space="preserve">4A / 95-E </w:t>
      </w:r>
      <w:r w:rsidR="009268D3" w:rsidRPr="002E0072">
        <w:rPr>
          <w:lang w:val="es-ES_tradnl"/>
        </w:rPr>
        <w:t xml:space="preserve">de </w:t>
      </w:r>
      <w:r w:rsidR="002E34F1" w:rsidRPr="002E0072">
        <w:rPr>
          <w:lang w:val="es-ES_tradnl"/>
        </w:rPr>
        <w:t>12</w:t>
      </w:r>
      <w:r w:rsidR="009268D3" w:rsidRPr="002E0072">
        <w:rPr>
          <w:lang w:val="es-ES_tradnl"/>
        </w:rPr>
        <w:t xml:space="preserve"> de septiembre de </w:t>
      </w:r>
      <w:r w:rsidR="002E34F1" w:rsidRPr="002E0072">
        <w:rPr>
          <w:lang w:val="es-ES_tradnl"/>
        </w:rPr>
        <w:t>2012</w:t>
      </w:r>
    </w:p>
    <w:p w:rsidR="00DD5766" w:rsidRPr="002E0072" w:rsidRDefault="00DD5766" w:rsidP="009B540D">
      <w:pPr>
        <w:pStyle w:val="enumlev1"/>
        <w:rPr>
          <w:lang w:val="es-ES_tradnl"/>
        </w:rPr>
      </w:pPr>
      <w:r w:rsidRPr="002E0072">
        <w:rPr>
          <w:lang w:val="es-ES_tradnl"/>
        </w:rPr>
        <w:t>•</w:t>
      </w:r>
      <w:r w:rsidRPr="002E0072">
        <w:rPr>
          <w:lang w:val="es-ES_tradnl"/>
        </w:rPr>
        <w:tab/>
      </w:r>
      <w:r w:rsidR="002E34F1" w:rsidRPr="002E0072">
        <w:rPr>
          <w:lang w:val="es-ES_tradnl"/>
        </w:rPr>
        <w:t>Document</w:t>
      </w:r>
      <w:r w:rsidR="009268D3" w:rsidRPr="002E0072">
        <w:rPr>
          <w:lang w:val="es-ES_tradnl"/>
        </w:rPr>
        <w:t>o WP</w:t>
      </w:r>
      <w:r w:rsidR="002E34F1" w:rsidRPr="002E0072">
        <w:rPr>
          <w:lang w:val="es-ES_tradnl"/>
        </w:rPr>
        <w:t xml:space="preserve"> 4A / 229-E </w:t>
      </w:r>
      <w:r w:rsidR="009268D3" w:rsidRPr="002E0072">
        <w:rPr>
          <w:lang w:val="es-ES_tradnl"/>
        </w:rPr>
        <w:t xml:space="preserve">de 26 de abril de </w:t>
      </w:r>
      <w:r w:rsidR="002E34F1" w:rsidRPr="002E0072">
        <w:rPr>
          <w:lang w:val="es-ES_tradnl"/>
        </w:rPr>
        <w:t>2012</w:t>
      </w:r>
    </w:p>
    <w:p w:rsidR="002E34F1" w:rsidRPr="002E0072" w:rsidRDefault="00DD5766" w:rsidP="009B540D">
      <w:pPr>
        <w:pStyle w:val="enumlev1"/>
        <w:rPr>
          <w:lang w:val="es-ES_tradnl"/>
        </w:rPr>
      </w:pPr>
      <w:r w:rsidRPr="002E0072">
        <w:rPr>
          <w:lang w:val="es-ES_tradnl"/>
        </w:rPr>
        <w:t>•</w:t>
      </w:r>
      <w:r w:rsidRPr="002E0072">
        <w:rPr>
          <w:lang w:val="es-ES_tradnl"/>
        </w:rPr>
        <w:tab/>
      </w:r>
      <w:r w:rsidR="002E34F1" w:rsidRPr="002E0072">
        <w:rPr>
          <w:lang w:val="es-ES_tradnl"/>
        </w:rPr>
        <w:t>Document</w:t>
      </w:r>
      <w:r w:rsidR="009268D3" w:rsidRPr="002E0072">
        <w:rPr>
          <w:lang w:val="es-ES_tradnl"/>
        </w:rPr>
        <w:t>o WP</w:t>
      </w:r>
      <w:r w:rsidR="002E34F1" w:rsidRPr="002E0072">
        <w:rPr>
          <w:lang w:val="es-ES_tradnl"/>
        </w:rPr>
        <w:t xml:space="preserve"> 4A / 327-E </w:t>
      </w:r>
      <w:r w:rsidR="009268D3" w:rsidRPr="002E0072">
        <w:rPr>
          <w:lang w:val="es-ES_tradnl"/>
        </w:rPr>
        <w:t xml:space="preserve">de 26 de septiembre de </w:t>
      </w:r>
      <w:r w:rsidR="002E34F1" w:rsidRPr="002E0072">
        <w:rPr>
          <w:lang w:val="es-ES_tradnl"/>
        </w:rPr>
        <w:t>2013</w:t>
      </w:r>
    </w:p>
    <w:p w:rsidR="009268D3" w:rsidRPr="002E0072" w:rsidRDefault="009268D3" w:rsidP="004C6CFB">
      <w:pPr>
        <w:rPr>
          <w:lang w:val="es-ES_tradnl"/>
        </w:rPr>
      </w:pPr>
      <w:r w:rsidRPr="002E0072">
        <w:rPr>
          <w:lang w:val="es-ES_tradnl"/>
        </w:rPr>
        <w:t>Los principales cambios (excluidos los de redacción y reestructuración) entre las Recomendaciones UIT-R S.1503-1 y S.1503-2 son los siguientes:</w:t>
      </w:r>
    </w:p>
    <w:p w:rsidR="00DD5766" w:rsidRPr="0040179E" w:rsidRDefault="009268D3" w:rsidP="0040179E">
      <w:pPr>
        <w:pStyle w:val="Headingb"/>
        <w:rPr>
          <w:lang w:val="en-US"/>
        </w:rPr>
      </w:pPr>
      <w:r w:rsidRPr="0040179E">
        <w:rPr>
          <w:lang w:val="en-US"/>
        </w:rPr>
        <w:t xml:space="preserve">Actualizaciones </w:t>
      </w:r>
      <w:r w:rsidR="00552E68" w:rsidRPr="0040179E">
        <w:rPr>
          <w:lang w:val="en-US"/>
        </w:rPr>
        <w:t>de</w:t>
      </w:r>
      <w:r w:rsidRPr="0040179E">
        <w:rPr>
          <w:lang w:val="en-US"/>
        </w:rPr>
        <w:t xml:space="preserve"> la lectura de datos </w:t>
      </w:r>
    </w:p>
    <w:p w:rsidR="00DD5766" w:rsidRPr="00700FB5" w:rsidRDefault="00DD5766" w:rsidP="00700FB5">
      <w:pPr>
        <w:pStyle w:val="enumlev1"/>
        <w:rPr>
          <w:lang w:val="es-ES_tradnl"/>
        </w:rPr>
      </w:pPr>
      <w:r w:rsidRPr="00700FB5">
        <w:rPr>
          <w:lang w:val="es-ES_tradnl"/>
        </w:rPr>
        <w:t>•</w:t>
      </w:r>
      <w:r w:rsidRPr="00700FB5">
        <w:rPr>
          <w:lang w:val="es-ES_tradnl"/>
        </w:rPr>
        <w:tab/>
      </w:r>
      <w:r w:rsidR="009268D3" w:rsidRPr="002E0072">
        <w:rPr>
          <w:lang w:val="es-ES_tradnl"/>
        </w:rPr>
        <w:t xml:space="preserve">Parámetros adicionales </w:t>
      </w:r>
      <w:r w:rsidR="00B62261" w:rsidRPr="002E0072">
        <w:rPr>
          <w:lang w:val="es-ES_tradnl"/>
        </w:rPr>
        <w:t>para la</w:t>
      </w:r>
      <w:r w:rsidR="009268D3" w:rsidRPr="002E0072">
        <w:rPr>
          <w:lang w:val="es-ES_tradnl"/>
        </w:rPr>
        <w:t xml:space="preserve"> lectura de la base de datos del SIE </w:t>
      </w:r>
    </w:p>
    <w:p w:rsidR="00DD5766" w:rsidRPr="00700FB5" w:rsidRDefault="00DD5766" w:rsidP="00700FB5">
      <w:pPr>
        <w:pStyle w:val="enumlev1"/>
        <w:rPr>
          <w:lang w:val="es-ES_tradnl"/>
        </w:rPr>
      </w:pPr>
      <w:r w:rsidRPr="00700FB5">
        <w:rPr>
          <w:lang w:val="es-ES_tradnl"/>
        </w:rPr>
        <w:t>•</w:t>
      </w:r>
      <w:r w:rsidRPr="00700FB5">
        <w:rPr>
          <w:lang w:val="es-ES_tradnl"/>
        </w:rPr>
        <w:tab/>
      </w:r>
      <w:r w:rsidR="001D4B06" w:rsidRPr="002E0072">
        <w:rPr>
          <w:lang w:val="es-ES_tradnl"/>
        </w:rPr>
        <w:t xml:space="preserve">Garantía del proceso de adaptación para la conversión de los campos de la base de datos </w:t>
      </w:r>
      <w:r w:rsidR="00D07750">
        <w:rPr>
          <w:lang w:val="es-ES_tradnl"/>
        </w:rPr>
        <w:t>del SIE en parámetros orbitales</w:t>
      </w:r>
    </w:p>
    <w:p w:rsidR="00DD5766" w:rsidRPr="00700FB5" w:rsidRDefault="00DD5766" w:rsidP="00700FB5">
      <w:pPr>
        <w:pStyle w:val="enumlev1"/>
        <w:rPr>
          <w:lang w:val="es-ES_tradnl"/>
        </w:rPr>
      </w:pPr>
      <w:r w:rsidRPr="00700FB5">
        <w:rPr>
          <w:lang w:val="es-ES_tradnl"/>
        </w:rPr>
        <w:t>•</w:t>
      </w:r>
      <w:r w:rsidRPr="00700FB5">
        <w:rPr>
          <w:lang w:val="es-ES_tradnl"/>
        </w:rPr>
        <w:tab/>
      </w:r>
      <w:r w:rsidR="00B62261" w:rsidRPr="002E0072">
        <w:rPr>
          <w:lang w:val="es-ES_tradnl"/>
        </w:rPr>
        <w:t xml:space="preserve">Garantía de </w:t>
      </w:r>
      <w:r w:rsidR="001D4B06" w:rsidRPr="002E0072">
        <w:rPr>
          <w:lang w:val="es-ES_tradnl"/>
        </w:rPr>
        <w:t>lectura del nuevo formato de la</w:t>
      </w:r>
      <w:r w:rsidR="00D20A08" w:rsidRPr="002E0072">
        <w:rPr>
          <w:lang w:val="es-ES_tradnl"/>
        </w:rPr>
        <w:t xml:space="preserve">s máscaras </w:t>
      </w:r>
      <w:r w:rsidR="00B62261" w:rsidRPr="002E0072">
        <w:rPr>
          <w:lang w:val="es-ES_tradnl"/>
        </w:rPr>
        <w:t xml:space="preserve">de la </w:t>
      </w:r>
      <w:r w:rsidR="001D4B06" w:rsidRPr="002E0072">
        <w:rPr>
          <w:lang w:val="es-ES_tradnl"/>
        </w:rPr>
        <w:t xml:space="preserve">DFP y la PIRE </w:t>
      </w:r>
    </w:p>
    <w:p w:rsidR="002E34F1" w:rsidRPr="00700FB5" w:rsidRDefault="00DD5766" w:rsidP="00700FB5">
      <w:pPr>
        <w:pStyle w:val="enumlev1"/>
        <w:rPr>
          <w:lang w:val="es-ES_tradnl"/>
        </w:rPr>
      </w:pPr>
      <w:r w:rsidRPr="00700FB5">
        <w:rPr>
          <w:lang w:val="es-ES_tradnl"/>
        </w:rPr>
        <w:t>•</w:t>
      </w:r>
      <w:r w:rsidRPr="00700FB5">
        <w:rPr>
          <w:lang w:val="es-ES_tradnl"/>
        </w:rPr>
        <w:tab/>
      </w:r>
      <w:r w:rsidR="001D4B06" w:rsidRPr="002E0072">
        <w:rPr>
          <w:lang w:val="es-ES_tradnl"/>
        </w:rPr>
        <w:t>Garantía de lectura de emplazamientos específicos de estaciones terrenas (</w:t>
      </w:r>
      <w:r w:rsidR="00700FB5">
        <w:rPr>
          <w:lang w:val="es-ES_tradnl"/>
        </w:rPr>
        <w:t>ES) de la base de datos del SIE</w:t>
      </w:r>
    </w:p>
    <w:p w:rsidR="00DD5766" w:rsidRPr="0040179E" w:rsidRDefault="00552E68" w:rsidP="0040179E">
      <w:pPr>
        <w:pStyle w:val="Headingb"/>
        <w:rPr>
          <w:lang w:val="en-US"/>
        </w:rPr>
      </w:pPr>
      <w:r w:rsidRPr="0040179E">
        <w:rPr>
          <w:lang w:val="en-US"/>
        </w:rPr>
        <w:t xml:space="preserve">Actualizaciones del motor de cálculo </w:t>
      </w:r>
    </w:p>
    <w:p w:rsidR="00DD5766" w:rsidRPr="00A82647" w:rsidRDefault="00DD5766" w:rsidP="00A82647">
      <w:pPr>
        <w:pStyle w:val="enumlev1"/>
        <w:rPr>
          <w:lang w:val="es-ES_tradnl"/>
        </w:rPr>
      </w:pPr>
      <w:r w:rsidRPr="00A82647">
        <w:rPr>
          <w:lang w:val="es-ES_tradnl"/>
        </w:rPr>
        <w:t>•</w:t>
      </w:r>
      <w:r w:rsidRPr="00A82647">
        <w:rPr>
          <w:lang w:val="es-ES_tradnl"/>
        </w:rPr>
        <w:tab/>
      </w:r>
      <w:r w:rsidR="00552E68" w:rsidRPr="002E0072">
        <w:rPr>
          <w:lang w:val="es-ES_tradnl"/>
        </w:rPr>
        <w:t xml:space="preserve">Introducción de la capacidad de incluir </w:t>
      </w:r>
      <w:r w:rsidR="00D20A08" w:rsidRPr="002E0072">
        <w:rPr>
          <w:lang w:val="es-ES_tradnl"/>
        </w:rPr>
        <w:t xml:space="preserve">diferentes máscaras </w:t>
      </w:r>
      <w:r w:rsidR="00552E68" w:rsidRPr="002E0072">
        <w:rPr>
          <w:lang w:val="es-ES_tradnl"/>
        </w:rPr>
        <w:t xml:space="preserve">PIRE de la ES por latitud </w:t>
      </w:r>
    </w:p>
    <w:p w:rsidR="00DD5766" w:rsidRPr="00A82647" w:rsidRDefault="00DD5766" w:rsidP="00A82647">
      <w:pPr>
        <w:pStyle w:val="enumlev1"/>
        <w:rPr>
          <w:lang w:val="es-ES_tradnl"/>
        </w:rPr>
      </w:pPr>
      <w:r w:rsidRPr="00A82647">
        <w:rPr>
          <w:lang w:val="es-ES_tradnl"/>
        </w:rPr>
        <w:t>•</w:t>
      </w:r>
      <w:r w:rsidRPr="00A82647">
        <w:rPr>
          <w:lang w:val="es-ES_tradnl"/>
        </w:rPr>
        <w:tab/>
      </w:r>
      <w:r w:rsidR="00552E68" w:rsidRPr="002E0072">
        <w:rPr>
          <w:lang w:val="es-ES_tradnl"/>
        </w:rPr>
        <w:t>Introducción de la capacidad de</w:t>
      </w:r>
      <w:r w:rsidR="00D20A08" w:rsidRPr="002E0072">
        <w:rPr>
          <w:lang w:val="es-ES_tradnl"/>
        </w:rPr>
        <w:t xml:space="preserve"> incluir diferentes máscaras </w:t>
      </w:r>
      <w:r w:rsidR="00552E68" w:rsidRPr="002E0072">
        <w:rPr>
          <w:lang w:val="es-ES_tradnl"/>
        </w:rPr>
        <w:t>PIRE del satélite por latitud</w:t>
      </w:r>
    </w:p>
    <w:p w:rsidR="00DD5766" w:rsidRPr="00A82647" w:rsidRDefault="00DD5766" w:rsidP="00A82647">
      <w:pPr>
        <w:pStyle w:val="enumlev1"/>
        <w:rPr>
          <w:lang w:val="es-ES_tradnl"/>
        </w:rPr>
      </w:pPr>
      <w:r w:rsidRPr="00A82647">
        <w:rPr>
          <w:lang w:val="es-ES_tradnl"/>
        </w:rPr>
        <w:t>•</w:t>
      </w:r>
      <w:r w:rsidRPr="00A82647">
        <w:rPr>
          <w:lang w:val="es-ES_tradnl"/>
        </w:rPr>
        <w:tab/>
      </w:r>
      <w:r w:rsidR="00552E68" w:rsidRPr="002E0072">
        <w:rPr>
          <w:lang w:val="es-ES_tradnl"/>
        </w:rPr>
        <w:t xml:space="preserve">Introducción de la capacidad de incluir </w:t>
      </w:r>
      <w:r w:rsidR="000C0A79" w:rsidRPr="002E0072">
        <w:rPr>
          <w:lang w:val="es-ES_tradnl"/>
        </w:rPr>
        <w:t>diferent</w:t>
      </w:r>
      <w:r w:rsidR="00D20A08" w:rsidRPr="002E0072">
        <w:rPr>
          <w:lang w:val="es-ES_tradnl"/>
        </w:rPr>
        <w:t xml:space="preserve">es máscaras </w:t>
      </w:r>
      <w:r w:rsidR="00552E68" w:rsidRPr="002E0072">
        <w:rPr>
          <w:lang w:val="es-ES_tradnl"/>
        </w:rPr>
        <w:t xml:space="preserve">DFP/PIRE entre satélites </w:t>
      </w:r>
    </w:p>
    <w:p w:rsidR="00DD5766" w:rsidRPr="00A82647" w:rsidRDefault="00DD5766" w:rsidP="00000147">
      <w:pPr>
        <w:pStyle w:val="enumlev1"/>
        <w:rPr>
          <w:lang w:val="es-ES_tradnl"/>
        </w:rPr>
      </w:pPr>
      <w:r w:rsidRPr="00A82647">
        <w:rPr>
          <w:lang w:val="es-ES_tradnl"/>
        </w:rPr>
        <w:t>•</w:t>
      </w:r>
      <w:r w:rsidRPr="00A82647">
        <w:rPr>
          <w:lang w:val="es-ES_tradnl"/>
        </w:rPr>
        <w:tab/>
      </w:r>
      <w:r w:rsidR="00552E68" w:rsidRPr="002E0072">
        <w:rPr>
          <w:lang w:val="es-ES_tradnl"/>
        </w:rPr>
        <w:t>Introducción de la capacidad de efectuar cálculos del</w:t>
      </w:r>
      <w:r w:rsidR="00D20A08" w:rsidRPr="002E0072">
        <w:rPr>
          <w:lang w:val="es-ES_tradnl"/>
        </w:rPr>
        <w:t xml:space="preserve"> ancho de banda de la máscara</w:t>
      </w:r>
      <w:r w:rsidR="002E0072">
        <w:rPr>
          <w:lang w:val="es-ES_tradnl"/>
        </w:rPr>
        <w:t xml:space="preserve"> </w:t>
      </w:r>
      <w:r w:rsidR="00000147" w:rsidRPr="002E0072">
        <w:rPr>
          <w:lang w:val="es-ES_tradnl"/>
        </w:rPr>
        <w:t>DFP</w:t>
      </w:r>
      <w:r w:rsidR="00A82647">
        <w:rPr>
          <w:lang w:val="es-ES_tradnl"/>
        </w:rPr>
        <w:t>/PIRE</w:t>
      </w:r>
    </w:p>
    <w:p w:rsidR="00DD5766" w:rsidRPr="00A82647" w:rsidRDefault="00DD5766" w:rsidP="00A82647">
      <w:pPr>
        <w:pStyle w:val="enumlev1"/>
        <w:rPr>
          <w:lang w:val="es-ES_tradnl"/>
        </w:rPr>
      </w:pPr>
      <w:r w:rsidRPr="00A82647">
        <w:rPr>
          <w:lang w:val="es-ES_tradnl"/>
        </w:rPr>
        <w:t>•</w:t>
      </w:r>
      <w:r w:rsidRPr="00A82647">
        <w:rPr>
          <w:lang w:val="es-ES_tradnl"/>
        </w:rPr>
        <w:tab/>
      </w:r>
      <w:r w:rsidR="00552E68" w:rsidRPr="002E0072">
        <w:rPr>
          <w:lang w:val="es-ES_tradnl"/>
        </w:rPr>
        <w:t xml:space="preserve">Introducción de la capacidad de utilizar ES específicas </w:t>
      </w:r>
    </w:p>
    <w:p w:rsidR="00DD5766" w:rsidRPr="00A82647" w:rsidRDefault="00DD5766" w:rsidP="00A82647">
      <w:pPr>
        <w:pStyle w:val="enumlev1"/>
        <w:rPr>
          <w:lang w:val="es-ES_tradnl"/>
        </w:rPr>
      </w:pPr>
      <w:r w:rsidRPr="00A82647">
        <w:rPr>
          <w:lang w:val="es-ES_tradnl"/>
        </w:rPr>
        <w:lastRenderedPageBreak/>
        <w:t>•</w:t>
      </w:r>
      <w:r w:rsidRPr="00A82647">
        <w:rPr>
          <w:lang w:val="es-ES_tradnl"/>
        </w:rPr>
        <w:tab/>
      </w:r>
      <w:r w:rsidR="00552E68" w:rsidRPr="002E0072">
        <w:rPr>
          <w:lang w:val="es-ES_tradnl"/>
        </w:rPr>
        <w:t>Actualización del</w:t>
      </w:r>
      <w:r w:rsidR="00FF69DF" w:rsidRPr="002E0072">
        <w:rPr>
          <w:lang w:val="es-ES_tradnl"/>
        </w:rPr>
        <w:t xml:space="preserve"> algoritmo de despliegue de ES en función de la</w:t>
      </w:r>
      <w:r w:rsidR="00552E68" w:rsidRPr="002E0072">
        <w:rPr>
          <w:lang w:val="es-ES_tradnl"/>
        </w:rPr>
        <w:t xml:space="preserve"> densidad </w:t>
      </w:r>
    </w:p>
    <w:p w:rsidR="00DD5766" w:rsidRPr="002E0072" w:rsidRDefault="00DD5766" w:rsidP="00A82647">
      <w:pPr>
        <w:pStyle w:val="enumlev1"/>
        <w:rPr>
          <w:b/>
          <w:lang w:val="es-ES_tradnl"/>
        </w:rPr>
      </w:pPr>
      <w:r w:rsidRPr="00A82647">
        <w:rPr>
          <w:lang w:val="es-ES_tradnl"/>
        </w:rPr>
        <w:t>•</w:t>
      </w:r>
      <w:r w:rsidRPr="00A82647">
        <w:rPr>
          <w:lang w:val="es-ES_tradnl"/>
        </w:rPr>
        <w:tab/>
      </w:r>
      <w:r w:rsidR="00552E68" w:rsidRPr="002E0072">
        <w:rPr>
          <w:lang w:val="es-ES_tradnl"/>
        </w:rPr>
        <w:t xml:space="preserve">Actualización del algoritmo para incluir la selección de satélites no OSG </w:t>
      </w:r>
      <w:r w:rsidR="00FF69DF" w:rsidRPr="002E0072">
        <w:rPr>
          <w:lang w:val="es-ES_tradnl"/>
        </w:rPr>
        <w:t>en función de la</w:t>
      </w:r>
      <w:r w:rsidR="002E0072">
        <w:rPr>
          <w:lang w:val="es-ES_tradnl"/>
        </w:rPr>
        <w:t xml:space="preserve"> </w:t>
      </w:r>
      <w:r w:rsidRPr="002E0072">
        <w:rPr>
          <w:lang w:val="es-ES_tradnl"/>
        </w:rPr>
        <w:t>DFPE (ascendente)</w:t>
      </w:r>
    </w:p>
    <w:p w:rsidR="00DD5766" w:rsidRPr="00A82647" w:rsidRDefault="00DD5766" w:rsidP="00A82647">
      <w:pPr>
        <w:pStyle w:val="enumlev1"/>
        <w:rPr>
          <w:lang w:val="es-ES_tradnl"/>
        </w:rPr>
      </w:pPr>
      <w:r w:rsidRPr="00A82647">
        <w:rPr>
          <w:lang w:val="es-ES_tradnl"/>
        </w:rPr>
        <w:t>•</w:t>
      </w:r>
      <w:r w:rsidRPr="00A82647">
        <w:rPr>
          <w:lang w:val="es-ES_tradnl"/>
        </w:rPr>
        <w:tab/>
      </w:r>
      <w:r w:rsidR="00A1052F" w:rsidRPr="002E0072">
        <w:rPr>
          <w:lang w:val="es-ES_tradnl"/>
        </w:rPr>
        <w:t xml:space="preserve">Establecimiento del modelo de órbita para las redes </w:t>
      </w:r>
      <w:r w:rsidR="00FF69DF" w:rsidRPr="002E0072">
        <w:rPr>
          <w:lang w:val="es-ES_tradnl"/>
        </w:rPr>
        <w:t xml:space="preserve">ecuatoriales </w:t>
      </w:r>
      <w:r w:rsidR="00A1052F" w:rsidRPr="002E0072">
        <w:rPr>
          <w:lang w:val="es-ES_tradnl"/>
        </w:rPr>
        <w:t xml:space="preserve">no OSG </w:t>
      </w:r>
    </w:p>
    <w:p w:rsidR="00DD5766" w:rsidRPr="00A82647" w:rsidRDefault="00DD5766" w:rsidP="00A82647">
      <w:pPr>
        <w:pStyle w:val="enumlev1"/>
        <w:rPr>
          <w:lang w:val="es-ES_tradnl"/>
        </w:rPr>
      </w:pPr>
      <w:r w:rsidRPr="00A82647">
        <w:rPr>
          <w:lang w:val="es-ES_tradnl"/>
        </w:rPr>
        <w:t>•</w:t>
      </w:r>
      <w:r w:rsidRPr="00A82647">
        <w:rPr>
          <w:lang w:val="es-ES_tradnl"/>
        </w:rPr>
        <w:tab/>
      </w:r>
      <w:r w:rsidR="002E34F1" w:rsidRPr="002E0072">
        <w:rPr>
          <w:lang w:val="es-ES_tradnl"/>
        </w:rPr>
        <w:t>Defin</w:t>
      </w:r>
      <w:r w:rsidR="00A1052F" w:rsidRPr="002E0072">
        <w:rPr>
          <w:lang w:val="es-ES_tradnl"/>
        </w:rPr>
        <w:t xml:space="preserve">ición de la resolución para el cálculo alfa </w:t>
      </w:r>
    </w:p>
    <w:p w:rsidR="00DD5766" w:rsidRPr="00A82647" w:rsidRDefault="00DD5766" w:rsidP="00A82647">
      <w:pPr>
        <w:pStyle w:val="enumlev1"/>
        <w:rPr>
          <w:lang w:val="es-ES_tradnl"/>
        </w:rPr>
      </w:pPr>
      <w:r w:rsidRPr="00A82647">
        <w:rPr>
          <w:lang w:val="es-ES_tradnl"/>
        </w:rPr>
        <w:t>•</w:t>
      </w:r>
      <w:r w:rsidRPr="00A82647">
        <w:rPr>
          <w:lang w:val="es-ES_tradnl"/>
        </w:rPr>
        <w:tab/>
      </w:r>
      <w:r w:rsidR="00A1052F" w:rsidRPr="002E0072">
        <w:rPr>
          <w:lang w:val="es-ES_tradnl"/>
        </w:rPr>
        <w:t xml:space="preserve">Actualización del cálculo </w:t>
      </w:r>
      <w:r w:rsidRPr="002E0072">
        <w:rPr>
          <w:lang w:val="es-ES_tradnl"/>
        </w:rPr>
        <w:t>de los pasos</w:t>
      </w:r>
    </w:p>
    <w:p w:rsidR="002E34F1" w:rsidRPr="00A82647" w:rsidRDefault="00DD5766" w:rsidP="00A82647">
      <w:pPr>
        <w:pStyle w:val="enumlev1"/>
        <w:rPr>
          <w:lang w:val="es-ES_tradnl"/>
        </w:rPr>
      </w:pPr>
      <w:r w:rsidRPr="00A82647">
        <w:rPr>
          <w:lang w:val="es-ES_tradnl"/>
        </w:rPr>
        <w:t>•</w:t>
      </w:r>
      <w:r w:rsidRPr="00A82647">
        <w:rPr>
          <w:lang w:val="es-ES_tradnl"/>
        </w:rPr>
        <w:tab/>
      </w:r>
      <w:r w:rsidR="00A1052F" w:rsidRPr="002E0072">
        <w:rPr>
          <w:lang w:val="es-ES_tradnl"/>
        </w:rPr>
        <w:t>Mejora del cálcul</w:t>
      </w:r>
      <w:r w:rsidR="00FF69DF" w:rsidRPr="002E0072">
        <w:rPr>
          <w:lang w:val="es-ES_tradnl"/>
        </w:rPr>
        <w:t>o de la duración del tiempo de ejecución</w:t>
      </w:r>
    </w:p>
    <w:p w:rsidR="002E34F1" w:rsidRPr="0040179E" w:rsidRDefault="00A1052F" w:rsidP="0040179E">
      <w:pPr>
        <w:pStyle w:val="Headingb"/>
        <w:rPr>
          <w:lang w:val="en-US"/>
        </w:rPr>
      </w:pPr>
      <w:r w:rsidRPr="0040179E">
        <w:rPr>
          <w:lang w:val="en-US"/>
        </w:rPr>
        <w:t>Geometría del caso más desfavor</w:t>
      </w:r>
      <w:r w:rsidR="00DD5766" w:rsidRPr="0040179E">
        <w:rPr>
          <w:lang w:val="en-US"/>
        </w:rPr>
        <w:t>a</w:t>
      </w:r>
      <w:r w:rsidRPr="0040179E">
        <w:rPr>
          <w:lang w:val="en-US"/>
        </w:rPr>
        <w:t xml:space="preserve">ble </w:t>
      </w:r>
      <w:r w:rsidR="000C0A79" w:rsidRPr="0040179E">
        <w:rPr>
          <w:lang w:val="en-US"/>
        </w:rPr>
        <w:t>(WCG</w:t>
      </w:r>
      <w:r w:rsidRPr="0040179E">
        <w:rPr>
          <w:lang w:val="en-US"/>
        </w:rPr>
        <w:t>, worst case geometry</w:t>
      </w:r>
      <w:r w:rsidR="000C0A79" w:rsidRPr="0040179E">
        <w:rPr>
          <w:lang w:val="en-US"/>
        </w:rPr>
        <w:t>)</w:t>
      </w:r>
    </w:p>
    <w:p w:rsidR="00DD5766" w:rsidRPr="00A82647" w:rsidRDefault="00A1052F" w:rsidP="00A82647">
      <w:pPr>
        <w:rPr>
          <w:lang w:val="es-ES_tradnl"/>
        </w:rPr>
      </w:pPr>
      <w:r w:rsidRPr="00A82647">
        <w:rPr>
          <w:lang w:val="es-ES_tradnl"/>
        </w:rPr>
        <w:t>La geometría del caso más desfavor</w:t>
      </w:r>
      <w:r w:rsidR="00FF69DF" w:rsidRPr="00A82647">
        <w:rPr>
          <w:lang w:val="es-ES_tradnl"/>
        </w:rPr>
        <w:t>a</w:t>
      </w:r>
      <w:r w:rsidRPr="00A82647">
        <w:rPr>
          <w:lang w:val="es-ES_tradnl"/>
        </w:rPr>
        <w:t>ble es el emplazamiento de la estación terrena OSG y del satélite OSG que, según el análisis, generaría los máximos valores de la dfpe procedente de una sola fuente para una entrada determinada.</w:t>
      </w:r>
    </w:p>
    <w:p w:rsidR="00DD5766" w:rsidRPr="00A82647" w:rsidRDefault="00DD5766" w:rsidP="00A82647">
      <w:pPr>
        <w:pStyle w:val="enumlev1"/>
        <w:rPr>
          <w:lang w:val="es-ES_tradnl"/>
        </w:rPr>
      </w:pPr>
      <w:r w:rsidRPr="00A82647">
        <w:rPr>
          <w:lang w:val="es-ES_tradnl"/>
        </w:rPr>
        <w:t>•</w:t>
      </w:r>
      <w:r w:rsidRPr="00A82647">
        <w:rPr>
          <w:lang w:val="es-ES_tradnl"/>
        </w:rPr>
        <w:tab/>
      </w:r>
      <w:r w:rsidR="00A1052F" w:rsidRPr="002E0072">
        <w:rPr>
          <w:lang w:val="es-ES_tradnl"/>
        </w:rPr>
        <w:t xml:space="preserve">Nuevo algoritmo </w:t>
      </w:r>
      <w:r w:rsidR="002E34F1" w:rsidRPr="002E0072">
        <w:rPr>
          <w:lang w:val="es-ES_tradnl"/>
        </w:rPr>
        <w:t>WCGA(d</w:t>
      </w:r>
      <w:r w:rsidR="00A1052F" w:rsidRPr="002E0072">
        <w:rPr>
          <w:lang w:val="es-ES_tradnl"/>
        </w:rPr>
        <w:t>escendente</w:t>
      </w:r>
      <w:r w:rsidR="002E34F1" w:rsidRPr="002E0072">
        <w:rPr>
          <w:lang w:val="es-ES_tradnl"/>
        </w:rPr>
        <w:t xml:space="preserve">) </w:t>
      </w:r>
    </w:p>
    <w:p w:rsidR="00DD5766" w:rsidRPr="00A82647" w:rsidRDefault="00DD5766" w:rsidP="00A82647">
      <w:pPr>
        <w:pStyle w:val="enumlev1"/>
        <w:rPr>
          <w:lang w:val="es-ES_tradnl"/>
        </w:rPr>
      </w:pPr>
      <w:r w:rsidRPr="00A82647">
        <w:rPr>
          <w:lang w:val="es-ES_tradnl"/>
        </w:rPr>
        <w:t>•</w:t>
      </w:r>
      <w:r w:rsidRPr="00A82647">
        <w:rPr>
          <w:lang w:val="es-ES_tradnl"/>
        </w:rPr>
        <w:tab/>
      </w:r>
      <w:r w:rsidR="00A1052F" w:rsidRPr="002E0072">
        <w:rPr>
          <w:lang w:val="es-ES_tradnl"/>
        </w:rPr>
        <w:t xml:space="preserve">Nuevo algoritmo WCGA(ascendente) </w:t>
      </w:r>
    </w:p>
    <w:p w:rsidR="00DD5766" w:rsidRPr="00A82647" w:rsidRDefault="00DD5766" w:rsidP="00A82647">
      <w:pPr>
        <w:pStyle w:val="enumlev1"/>
        <w:rPr>
          <w:lang w:val="es-ES_tradnl"/>
        </w:rPr>
      </w:pPr>
      <w:r w:rsidRPr="00A82647">
        <w:rPr>
          <w:lang w:val="es-ES_tradnl"/>
        </w:rPr>
        <w:t>•</w:t>
      </w:r>
      <w:r w:rsidRPr="00A82647">
        <w:rPr>
          <w:lang w:val="es-ES_tradnl"/>
        </w:rPr>
        <w:tab/>
      </w:r>
      <w:r w:rsidR="002E34F1" w:rsidRPr="002E0072">
        <w:rPr>
          <w:lang w:val="es-ES_tradnl"/>
        </w:rPr>
        <w:t>N</w:t>
      </w:r>
      <w:r w:rsidR="00A1052F" w:rsidRPr="002E0072">
        <w:rPr>
          <w:lang w:val="es-ES_tradnl"/>
        </w:rPr>
        <w:t xml:space="preserve">uevo algoritmo </w:t>
      </w:r>
      <w:r w:rsidR="002E34F1" w:rsidRPr="002E0072">
        <w:rPr>
          <w:lang w:val="es-ES_tradnl"/>
        </w:rPr>
        <w:t xml:space="preserve">WCGA(IS) </w:t>
      </w:r>
    </w:p>
    <w:p w:rsidR="002E34F1" w:rsidRPr="00A82647" w:rsidRDefault="00A1052F" w:rsidP="00A82647">
      <w:pPr>
        <w:rPr>
          <w:lang w:val="es-ES_tradnl"/>
        </w:rPr>
      </w:pPr>
      <w:r w:rsidRPr="002E0072">
        <w:rPr>
          <w:lang w:val="es-ES_tradnl"/>
        </w:rPr>
        <w:t>El cambio más significativo en cuanto a complejidad afecta a la geometría del caso más desfavorable (WCG).</w:t>
      </w:r>
    </w:p>
    <w:p w:rsidR="00A1052F" w:rsidRPr="002E0072" w:rsidRDefault="00485BFB" w:rsidP="00A82647">
      <w:pPr>
        <w:rPr>
          <w:lang w:val="es-ES_tradnl"/>
        </w:rPr>
      </w:pPr>
      <w:r w:rsidRPr="002E0072">
        <w:rPr>
          <w:lang w:val="es-ES_tradnl"/>
        </w:rPr>
        <w:t xml:space="preserve">Para abordar estos cambios se realizaron pruebas en dos fases: </w:t>
      </w:r>
      <w:r w:rsidR="00FF69DF" w:rsidRPr="002E0072">
        <w:rPr>
          <w:lang w:val="es-ES_tradnl"/>
        </w:rPr>
        <w:t xml:space="preserve">una </w:t>
      </w:r>
      <w:r w:rsidR="008A73FE" w:rsidRPr="002E0072">
        <w:rPr>
          <w:lang w:val="es-ES_tradnl"/>
        </w:rPr>
        <w:t>interna</w:t>
      </w:r>
      <w:r w:rsidRPr="002E0072">
        <w:rPr>
          <w:lang w:val="es-ES_tradnl"/>
        </w:rPr>
        <w:t xml:space="preserve"> </w:t>
      </w:r>
      <w:r w:rsidR="008A73FE" w:rsidRPr="002E0072">
        <w:rPr>
          <w:lang w:val="es-ES_tradnl"/>
        </w:rPr>
        <w:t xml:space="preserve">que </w:t>
      </w:r>
      <w:r w:rsidRPr="002E0072">
        <w:rPr>
          <w:lang w:val="es-ES_tradnl"/>
        </w:rPr>
        <w:t>incluye la ejecución de pruebas individuales para cada una de las modificaciones implementadas</w:t>
      </w:r>
      <w:r w:rsidR="008A73FE" w:rsidRPr="002E0072">
        <w:rPr>
          <w:lang w:val="es-ES_tradnl"/>
        </w:rPr>
        <w:t xml:space="preserve"> y pruebas externas a realizar entre ambos software de DFPE para garantizar resultados similares tomando como base los siguientes casos:</w:t>
      </w:r>
    </w:p>
    <w:p w:rsidR="007A547B" w:rsidRPr="002E0072" w:rsidRDefault="008A73FE" w:rsidP="002E0072">
      <w:pPr>
        <w:pStyle w:val="TableNo"/>
        <w:rPr>
          <w:lang w:val="es-ES_tradnl"/>
        </w:rPr>
      </w:pPr>
      <w:r w:rsidRPr="002E0072">
        <w:rPr>
          <w:lang w:val="es-ES_tradnl"/>
        </w:rPr>
        <w:t>Cuadro</w:t>
      </w:r>
      <w:r w:rsidR="007A547B" w:rsidRPr="002E0072">
        <w:rPr>
          <w:lang w:val="es-ES_tradnl"/>
        </w:rPr>
        <w:t xml:space="preserve"> 1</w:t>
      </w:r>
    </w:p>
    <w:tbl>
      <w:tblPr>
        <w:tblW w:w="8142" w:type="dxa"/>
        <w:tblInd w:w="6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1"/>
        <w:gridCol w:w="1231"/>
        <w:gridCol w:w="1116"/>
        <w:gridCol w:w="1127"/>
        <w:gridCol w:w="2659"/>
        <w:gridCol w:w="1417"/>
      </w:tblGrid>
      <w:tr w:rsidR="008A73FE" w:rsidRPr="002E0072" w:rsidTr="008F4123">
        <w:trPr>
          <w:trHeight w:val="300"/>
        </w:trPr>
        <w:tc>
          <w:tcPr>
            <w:tcW w:w="851" w:type="dxa"/>
            <w:tcBorders>
              <w:top w:val="single" w:sz="4" w:space="0" w:color="auto"/>
              <w:bottom w:val="single" w:sz="6" w:space="0" w:color="auto"/>
            </w:tcBorders>
            <w:shd w:val="clear" w:color="auto" w:fill="D9D9D9"/>
            <w:noWrap/>
            <w:vAlign w:val="center"/>
            <w:hideMark/>
          </w:tcPr>
          <w:p w:rsidR="002E34F1" w:rsidRPr="002E0072" w:rsidRDefault="002E34F1" w:rsidP="008A73FE">
            <w:pPr>
              <w:pStyle w:val="Tablehead"/>
              <w:rPr>
                <w:lang w:val="es-ES_tradnl" w:eastAsia="en-GB"/>
              </w:rPr>
            </w:pPr>
            <w:r w:rsidRPr="002E0072">
              <w:rPr>
                <w:lang w:val="es-ES_tradnl"/>
              </w:rPr>
              <w:t>T</w:t>
            </w:r>
            <w:r w:rsidR="008A73FE" w:rsidRPr="002E0072">
              <w:rPr>
                <w:lang w:val="es-ES_tradnl"/>
              </w:rPr>
              <w:t>ipo</w:t>
            </w:r>
          </w:p>
        </w:tc>
        <w:tc>
          <w:tcPr>
            <w:tcW w:w="1231" w:type="dxa"/>
            <w:tcBorders>
              <w:top w:val="single" w:sz="4" w:space="0" w:color="auto"/>
              <w:bottom w:val="single" w:sz="6" w:space="0" w:color="auto"/>
            </w:tcBorders>
            <w:shd w:val="clear" w:color="auto" w:fill="D9D9D9"/>
            <w:noWrap/>
            <w:vAlign w:val="center"/>
            <w:hideMark/>
          </w:tcPr>
          <w:p w:rsidR="002E34F1" w:rsidRPr="002E0072" w:rsidRDefault="008A73FE" w:rsidP="008A73FE">
            <w:pPr>
              <w:pStyle w:val="Tablehead"/>
              <w:rPr>
                <w:lang w:val="es-ES_tradnl"/>
              </w:rPr>
            </w:pPr>
            <w:r w:rsidRPr="002E0072">
              <w:rPr>
                <w:lang w:val="es-ES_tradnl"/>
              </w:rPr>
              <w:t>Forma de la órbita</w:t>
            </w:r>
          </w:p>
        </w:tc>
        <w:tc>
          <w:tcPr>
            <w:tcW w:w="1116" w:type="dxa"/>
            <w:tcBorders>
              <w:top w:val="single" w:sz="4" w:space="0" w:color="auto"/>
              <w:bottom w:val="single" w:sz="6" w:space="0" w:color="auto"/>
            </w:tcBorders>
            <w:shd w:val="clear" w:color="auto" w:fill="D9D9D9"/>
            <w:noWrap/>
            <w:vAlign w:val="center"/>
            <w:hideMark/>
          </w:tcPr>
          <w:p w:rsidR="002E34F1" w:rsidRPr="002E0072" w:rsidRDefault="002E34F1" w:rsidP="008A73FE">
            <w:pPr>
              <w:pStyle w:val="Tablehead"/>
              <w:rPr>
                <w:lang w:val="es-ES_tradnl"/>
              </w:rPr>
            </w:pPr>
            <w:r w:rsidRPr="002E0072">
              <w:rPr>
                <w:lang w:val="es-ES_tradnl"/>
              </w:rPr>
              <w:t>E</w:t>
            </w:r>
            <w:r w:rsidR="008A73FE" w:rsidRPr="002E0072">
              <w:rPr>
                <w:lang w:val="es-ES_tradnl"/>
              </w:rPr>
              <w:t>cuatorial</w:t>
            </w:r>
          </w:p>
        </w:tc>
        <w:tc>
          <w:tcPr>
            <w:tcW w:w="868" w:type="dxa"/>
            <w:tcBorders>
              <w:top w:val="single" w:sz="4" w:space="0" w:color="auto"/>
              <w:bottom w:val="single" w:sz="6" w:space="0" w:color="auto"/>
            </w:tcBorders>
            <w:shd w:val="clear" w:color="auto" w:fill="D9D9D9"/>
            <w:noWrap/>
            <w:vAlign w:val="center"/>
            <w:hideMark/>
          </w:tcPr>
          <w:p w:rsidR="002E34F1" w:rsidRPr="002E0072" w:rsidRDefault="002E34F1" w:rsidP="008A73FE">
            <w:pPr>
              <w:pStyle w:val="Tablehead"/>
              <w:rPr>
                <w:lang w:val="es-ES_tradnl"/>
              </w:rPr>
            </w:pPr>
            <w:r w:rsidRPr="002E0072">
              <w:rPr>
                <w:lang w:val="es-ES_tradnl"/>
              </w:rPr>
              <w:t>Rep</w:t>
            </w:r>
            <w:r w:rsidR="008A73FE" w:rsidRPr="002E0072">
              <w:rPr>
                <w:lang w:val="es-ES_tradnl"/>
              </w:rPr>
              <w:t>etición</w:t>
            </w:r>
          </w:p>
        </w:tc>
        <w:tc>
          <w:tcPr>
            <w:tcW w:w="2659" w:type="dxa"/>
            <w:tcBorders>
              <w:top w:val="single" w:sz="4" w:space="0" w:color="auto"/>
              <w:bottom w:val="single" w:sz="6" w:space="0" w:color="auto"/>
            </w:tcBorders>
            <w:shd w:val="clear" w:color="auto" w:fill="D9D9D9"/>
            <w:noWrap/>
            <w:vAlign w:val="center"/>
            <w:hideMark/>
          </w:tcPr>
          <w:p w:rsidR="002E34F1" w:rsidRPr="002E0072" w:rsidRDefault="008A73FE" w:rsidP="008A73FE">
            <w:pPr>
              <w:pStyle w:val="Tablehead"/>
              <w:rPr>
                <w:lang w:val="es-ES_tradnl"/>
              </w:rPr>
            </w:pPr>
            <w:r w:rsidRPr="002E0072">
              <w:rPr>
                <w:lang w:val="es-ES_tradnl"/>
              </w:rPr>
              <w:t xml:space="preserve">Emplazamientos de la </w:t>
            </w:r>
            <w:r w:rsidR="002E34F1" w:rsidRPr="002E0072">
              <w:rPr>
                <w:lang w:val="es-ES_tradnl"/>
              </w:rPr>
              <w:t xml:space="preserve">ES </w:t>
            </w:r>
          </w:p>
        </w:tc>
        <w:tc>
          <w:tcPr>
            <w:tcW w:w="1417" w:type="dxa"/>
            <w:tcBorders>
              <w:top w:val="single" w:sz="4" w:space="0" w:color="auto"/>
              <w:bottom w:val="single" w:sz="6" w:space="0" w:color="auto"/>
            </w:tcBorders>
            <w:shd w:val="clear" w:color="auto" w:fill="D9D9D9"/>
            <w:noWrap/>
            <w:vAlign w:val="center"/>
            <w:hideMark/>
          </w:tcPr>
          <w:p w:rsidR="002E34F1" w:rsidRPr="002E0072" w:rsidRDefault="008A73FE" w:rsidP="008A73FE">
            <w:pPr>
              <w:pStyle w:val="Tablehead"/>
              <w:rPr>
                <w:lang w:val="es-ES_tradnl"/>
              </w:rPr>
            </w:pPr>
            <w:r w:rsidRPr="002E0072">
              <w:rPr>
                <w:lang w:val="es-ES_tradnl"/>
              </w:rPr>
              <w:t>Fundamento de la prueba</w:t>
            </w:r>
          </w:p>
        </w:tc>
      </w:tr>
      <w:tr w:rsidR="002E34F1" w:rsidRPr="002E0072" w:rsidTr="008F4123">
        <w:trPr>
          <w:trHeight w:val="300"/>
        </w:trPr>
        <w:tc>
          <w:tcPr>
            <w:tcW w:w="851" w:type="dxa"/>
            <w:tcBorders>
              <w:top w:val="single" w:sz="6" w:space="0" w:color="auto"/>
            </w:tcBorders>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A</w:t>
            </w:r>
          </w:p>
        </w:tc>
        <w:tc>
          <w:tcPr>
            <w:tcW w:w="1231" w:type="dxa"/>
            <w:tcBorders>
              <w:top w:val="single" w:sz="6" w:space="0" w:color="auto"/>
            </w:tcBorders>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Circular</w:t>
            </w:r>
          </w:p>
        </w:tc>
        <w:tc>
          <w:tcPr>
            <w:tcW w:w="1116" w:type="dxa"/>
            <w:tcBorders>
              <w:top w:val="single" w:sz="6" w:space="0" w:color="auto"/>
            </w:tcBorders>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No</w:t>
            </w:r>
          </w:p>
        </w:tc>
        <w:tc>
          <w:tcPr>
            <w:tcW w:w="868" w:type="dxa"/>
            <w:tcBorders>
              <w:top w:val="single" w:sz="6" w:space="0" w:color="auto"/>
            </w:tcBorders>
            <w:shd w:val="clear" w:color="auto" w:fill="auto"/>
            <w:noWrap/>
            <w:vAlign w:val="bottom"/>
            <w:hideMark/>
          </w:tcPr>
          <w:p w:rsidR="002E34F1" w:rsidRPr="002E0072" w:rsidRDefault="008A73FE" w:rsidP="008A73FE">
            <w:pPr>
              <w:pStyle w:val="TableText0"/>
              <w:jc w:val="center"/>
              <w:rPr>
                <w:lang w:val="es-ES_tradnl"/>
              </w:rPr>
            </w:pPr>
            <w:r w:rsidRPr="002E0072">
              <w:rPr>
                <w:lang w:val="es-ES_tradnl"/>
              </w:rPr>
              <w:t>Sí</w:t>
            </w:r>
          </w:p>
        </w:tc>
        <w:tc>
          <w:tcPr>
            <w:tcW w:w="2659" w:type="dxa"/>
            <w:tcBorders>
              <w:top w:val="single" w:sz="6" w:space="0" w:color="auto"/>
            </w:tcBorders>
            <w:shd w:val="clear" w:color="auto" w:fill="auto"/>
            <w:noWrap/>
            <w:vAlign w:val="bottom"/>
            <w:hideMark/>
          </w:tcPr>
          <w:p w:rsidR="002E34F1" w:rsidRPr="002E0072" w:rsidRDefault="008A73FE" w:rsidP="008A73FE">
            <w:pPr>
              <w:pStyle w:val="TableText0"/>
              <w:jc w:val="center"/>
              <w:rPr>
                <w:lang w:val="es-ES_tradnl"/>
              </w:rPr>
            </w:pPr>
            <w:r w:rsidRPr="002E0072">
              <w:rPr>
                <w:lang w:val="es-ES_tradnl"/>
              </w:rPr>
              <w:t xml:space="preserve">Normal </w:t>
            </w:r>
            <w:r w:rsidR="002E34F1" w:rsidRPr="002E0072">
              <w:rPr>
                <w:lang w:val="es-ES_tradnl"/>
              </w:rPr>
              <w:t>(</w:t>
            </w:r>
            <w:r w:rsidRPr="002E0072">
              <w:rPr>
                <w:lang w:val="es-ES_tradnl"/>
              </w:rPr>
              <w:t>en función de la densidad</w:t>
            </w:r>
            <w:r w:rsidR="002E34F1" w:rsidRPr="002E0072">
              <w:rPr>
                <w:lang w:val="es-ES_tradnl"/>
              </w:rPr>
              <w:t>)</w:t>
            </w:r>
          </w:p>
        </w:tc>
        <w:tc>
          <w:tcPr>
            <w:tcW w:w="1417" w:type="dxa"/>
            <w:tcBorders>
              <w:top w:val="single" w:sz="6" w:space="0" w:color="auto"/>
            </w:tcBorders>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Skybridge</w:t>
            </w:r>
          </w:p>
        </w:tc>
      </w:tr>
      <w:tr w:rsidR="002E34F1" w:rsidRPr="002E0072" w:rsidTr="008F4123">
        <w:trPr>
          <w:trHeight w:val="300"/>
        </w:trPr>
        <w:tc>
          <w:tcPr>
            <w:tcW w:w="85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B</w:t>
            </w:r>
          </w:p>
        </w:tc>
        <w:tc>
          <w:tcPr>
            <w:tcW w:w="123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Circular</w:t>
            </w:r>
          </w:p>
        </w:tc>
        <w:tc>
          <w:tcPr>
            <w:tcW w:w="1116"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No</w:t>
            </w:r>
          </w:p>
        </w:tc>
        <w:tc>
          <w:tcPr>
            <w:tcW w:w="868"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No</w:t>
            </w:r>
          </w:p>
        </w:tc>
        <w:tc>
          <w:tcPr>
            <w:tcW w:w="2659" w:type="dxa"/>
            <w:shd w:val="clear" w:color="auto" w:fill="auto"/>
            <w:noWrap/>
            <w:vAlign w:val="bottom"/>
            <w:hideMark/>
          </w:tcPr>
          <w:p w:rsidR="002E34F1" w:rsidRPr="002E0072" w:rsidRDefault="008A73FE" w:rsidP="00FC4D74">
            <w:pPr>
              <w:pStyle w:val="TableText0"/>
              <w:jc w:val="center"/>
              <w:rPr>
                <w:lang w:val="es-ES_tradnl"/>
              </w:rPr>
            </w:pPr>
            <w:r w:rsidRPr="002E0072">
              <w:rPr>
                <w:lang w:val="es-ES_tradnl"/>
              </w:rPr>
              <w:t xml:space="preserve">Normal </w:t>
            </w:r>
            <w:r w:rsidR="002E34F1" w:rsidRPr="002E0072">
              <w:rPr>
                <w:lang w:val="es-ES_tradnl"/>
              </w:rPr>
              <w:t>(</w:t>
            </w:r>
            <w:r w:rsidRPr="002E0072">
              <w:rPr>
                <w:lang w:val="es-ES_tradnl"/>
              </w:rPr>
              <w:t>en función de la densidad</w:t>
            </w:r>
            <w:r w:rsidR="002E34F1" w:rsidRPr="002E0072">
              <w:rPr>
                <w:lang w:val="es-ES_tradnl"/>
              </w:rPr>
              <w:t>)</w:t>
            </w:r>
          </w:p>
        </w:tc>
        <w:tc>
          <w:tcPr>
            <w:tcW w:w="1417"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Boeing</w:t>
            </w:r>
          </w:p>
        </w:tc>
      </w:tr>
      <w:tr w:rsidR="002E34F1" w:rsidRPr="002E0072" w:rsidTr="008F4123">
        <w:trPr>
          <w:trHeight w:val="300"/>
        </w:trPr>
        <w:tc>
          <w:tcPr>
            <w:tcW w:w="85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C</w:t>
            </w:r>
          </w:p>
        </w:tc>
        <w:tc>
          <w:tcPr>
            <w:tcW w:w="123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Circular</w:t>
            </w:r>
          </w:p>
        </w:tc>
        <w:tc>
          <w:tcPr>
            <w:tcW w:w="1116" w:type="dxa"/>
            <w:shd w:val="clear" w:color="auto" w:fill="auto"/>
            <w:noWrap/>
            <w:vAlign w:val="bottom"/>
            <w:hideMark/>
          </w:tcPr>
          <w:p w:rsidR="002E34F1" w:rsidRPr="002E0072" w:rsidRDefault="008A73FE" w:rsidP="008A73FE">
            <w:pPr>
              <w:pStyle w:val="TableText0"/>
              <w:jc w:val="center"/>
              <w:rPr>
                <w:lang w:val="es-ES_tradnl"/>
              </w:rPr>
            </w:pPr>
            <w:r w:rsidRPr="002E0072">
              <w:rPr>
                <w:lang w:val="es-ES_tradnl"/>
              </w:rPr>
              <w:t>Sí</w:t>
            </w:r>
          </w:p>
        </w:tc>
        <w:tc>
          <w:tcPr>
            <w:tcW w:w="868" w:type="dxa"/>
            <w:shd w:val="clear" w:color="auto" w:fill="auto"/>
            <w:noWrap/>
            <w:vAlign w:val="bottom"/>
            <w:hideMark/>
          </w:tcPr>
          <w:p w:rsidR="002E34F1" w:rsidRPr="002E0072" w:rsidRDefault="002E34F1" w:rsidP="00E67300">
            <w:pPr>
              <w:pStyle w:val="TableText0"/>
              <w:jc w:val="center"/>
              <w:rPr>
                <w:lang w:val="es-ES_tradnl"/>
              </w:rPr>
            </w:pPr>
            <w:r w:rsidRPr="002E0072">
              <w:rPr>
                <w:lang w:val="es-ES_tradnl"/>
              </w:rPr>
              <w:t>n/</w:t>
            </w:r>
            <w:r w:rsidR="00E67300">
              <w:rPr>
                <w:lang w:val="es-ES_tradnl"/>
              </w:rPr>
              <w:t>a</w:t>
            </w:r>
          </w:p>
        </w:tc>
        <w:tc>
          <w:tcPr>
            <w:tcW w:w="2659" w:type="dxa"/>
            <w:shd w:val="clear" w:color="auto" w:fill="auto"/>
            <w:noWrap/>
            <w:vAlign w:val="bottom"/>
            <w:hideMark/>
          </w:tcPr>
          <w:p w:rsidR="002E34F1" w:rsidRPr="002E0072" w:rsidRDefault="008A73FE" w:rsidP="00FC4D74">
            <w:pPr>
              <w:pStyle w:val="TableText0"/>
              <w:jc w:val="center"/>
              <w:rPr>
                <w:lang w:val="es-ES_tradnl"/>
              </w:rPr>
            </w:pPr>
            <w:r w:rsidRPr="002E0072">
              <w:rPr>
                <w:lang w:val="es-ES_tradnl"/>
              </w:rPr>
              <w:t xml:space="preserve">Normal </w:t>
            </w:r>
            <w:r w:rsidR="002E34F1" w:rsidRPr="002E0072">
              <w:rPr>
                <w:lang w:val="es-ES_tradnl"/>
              </w:rPr>
              <w:t>(</w:t>
            </w:r>
            <w:r w:rsidRPr="002E0072">
              <w:rPr>
                <w:lang w:val="es-ES_tradnl"/>
              </w:rPr>
              <w:t>en función de la densidad</w:t>
            </w:r>
            <w:r w:rsidR="002E34F1" w:rsidRPr="002E0072">
              <w:rPr>
                <w:lang w:val="es-ES_tradnl"/>
              </w:rPr>
              <w:t>)</w:t>
            </w:r>
          </w:p>
        </w:tc>
        <w:tc>
          <w:tcPr>
            <w:tcW w:w="1417"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O3</w:t>
            </w:r>
            <w:r w:rsidR="000B055B" w:rsidRPr="002E0072">
              <w:rPr>
                <w:lang w:val="es-ES_tradnl"/>
              </w:rPr>
              <w:t>b</w:t>
            </w:r>
          </w:p>
        </w:tc>
      </w:tr>
      <w:tr w:rsidR="002E34F1" w:rsidRPr="002E0072" w:rsidTr="008F4123">
        <w:trPr>
          <w:trHeight w:val="300"/>
        </w:trPr>
        <w:tc>
          <w:tcPr>
            <w:tcW w:w="85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D</w:t>
            </w:r>
          </w:p>
        </w:tc>
        <w:tc>
          <w:tcPr>
            <w:tcW w:w="1231" w:type="dxa"/>
            <w:shd w:val="clear" w:color="auto" w:fill="auto"/>
            <w:noWrap/>
            <w:vAlign w:val="bottom"/>
            <w:hideMark/>
          </w:tcPr>
          <w:p w:rsidR="002E34F1" w:rsidRPr="002E0072" w:rsidRDefault="002E34F1" w:rsidP="008A73FE">
            <w:pPr>
              <w:pStyle w:val="TableText0"/>
              <w:jc w:val="center"/>
              <w:rPr>
                <w:lang w:val="es-ES_tradnl"/>
              </w:rPr>
            </w:pPr>
            <w:r w:rsidRPr="002E0072">
              <w:rPr>
                <w:lang w:val="es-ES_tradnl"/>
              </w:rPr>
              <w:t>E</w:t>
            </w:r>
            <w:r w:rsidR="008A73FE" w:rsidRPr="002E0072">
              <w:rPr>
                <w:lang w:val="es-ES_tradnl"/>
              </w:rPr>
              <w:t>líptica</w:t>
            </w:r>
          </w:p>
        </w:tc>
        <w:tc>
          <w:tcPr>
            <w:tcW w:w="1116"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No</w:t>
            </w:r>
          </w:p>
        </w:tc>
        <w:tc>
          <w:tcPr>
            <w:tcW w:w="868" w:type="dxa"/>
            <w:shd w:val="clear" w:color="auto" w:fill="auto"/>
            <w:noWrap/>
            <w:vAlign w:val="bottom"/>
            <w:hideMark/>
          </w:tcPr>
          <w:p w:rsidR="002E34F1" w:rsidRPr="002E0072" w:rsidRDefault="001B24AD" w:rsidP="00FC4D74">
            <w:pPr>
              <w:pStyle w:val="TableText0"/>
              <w:jc w:val="center"/>
              <w:rPr>
                <w:lang w:val="es-ES_tradnl"/>
              </w:rPr>
            </w:pPr>
            <w:r w:rsidRPr="002E0072">
              <w:rPr>
                <w:lang w:val="es-ES_tradnl"/>
              </w:rPr>
              <w:t>No</w:t>
            </w:r>
          </w:p>
        </w:tc>
        <w:tc>
          <w:tcPr>
            <w:tcW w:w="2659" w:type="dxa"/>
            <w:shd w:val="clear" w:color="auto" w:fill="auto"/>
            <w:noWrap/>
            <w:vAlign w:val="bottom"/>
            <w:hideMark/>
          </w:tcPr>
          <w:p w:rsidR="002E34F1" w:rsidRPr="002E0072" w:rsidRDefault="001B24AD" w:rsidP="00A46E2F">
            <w:pPr>
              <w:pStyle w:val="TableText0"/>
              <w:jc w:val="center"/>
              <w:rPr>
                <w:lang w:val="es-ES_tradnl"/>
              </w:rPr>
            </w:pPr>
            <w:r w:rsidRPr="002E0072">
              <w:rPr>
                <w:szCs w:val="22"/>
                <w:lang w:val="es-ES_tradnl"/>
              </w:rPr>
              <w:t>n/</w:t>
            </w:r>
            <w:r w:rsidR="00A46E2F" w:rsidRPr="002E0072">
              <w:rPr>
                <w:szCs w:val="22"/>
                <w:lang w:val="es-ES_tradnl"/>
              </w:rPr>
              <w:t>a</w:t>
            </w:r>
          </w:p>
        </w:tc>
        <w:tc>
          <w:tcPr>
            <w:tcW w:w="1417"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USCSID</w:t>
            </w:r>
          </w:p>
        </w:tc>
      </w:tr>
      <w:tr w:rsidR="002E34F1" w:rsidRPr="002E0072" w:rsidTr="008F4123">
        <w:trPr>
          <w:trHeight w:val="300"/>
        </w:trPr>
        <w:tc>
          <w:tcPr>
            <w:tcW w:w="851"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E</w:t>
            </w:r>
          </w:p>
        </w:tc>
        <w:tc>
          <w:tcPr>
            <w:tcW w:w="1231" w:type="dxa"/>
            <w:shd w:val="clear" w:color="auto" w:fill="auto"/>
            <w:noWrap/>
            <w:vAlign w:val="bottom"/>
            <w:hideMark/>
          </w:tcPr>
          <w:p w:rsidR="002E34F1" w:rsidRPr="002E0072" w:rsidRDefault="002E34F1" w:rsidP="008A73FE">
            <w:pPr>
              <w:pStyle w:val="TableText0"/>
              <w:jc w:val="center"/>
              <w:rPr>
                <w:lang w:val="es-ES_tradnl"/>
              </w:rPr>
            </w:pPr>
            <w:r w:rsidRPr="002E0072">
              <w:rPr>
                <w:lang w:val="es-ES_tradnl"/>
              </w:rPr>
              <w:t>E</w:t>
            </w:r>
            <w:r w:rsidR="008A73FE" w:rsidRPr="002E0072">
              <w:rPr>
                <w:lang w:val="es-ES_tradnl"/>
              </w:rPr>
              <w:t>líptica</w:t>
            </w:r>
          </w:p>
        </w:tc>
        <w:tc>
          <w:tcPr>
            <w:tcW w:w="1116" w:type="dxa"/>
            <w:shd w:val="clear" w:color="auto" w:fill="auto"/>
            <w:noWrap/>
            <w:vAlign w:val="bottom"/>
            <w:hideMark/>
          </w:tcPr>
          <w:p w:rsidR="002E34F1" w:rsidRPr="002E0072" w:rsidRDefault="002E34F1" w:rsidP="00FC4D74">
            <w:pPr>
              <w:pStyle w:val="TableText0"/>
              <w:jc w:val="center"/>
              <w:rPr>
                <w:lang w:val="es-ES_tradnl"/>
              </w:rPr>
            </w:pPr>
            <w:r w:rsidRPr="002E0072">
              <w:rPr>
                <w:lang w:val="es-ES_tradnl"/>
              </w:rPr>
              <w:t>No</w:t>
            </w:r>
          </w:p>
        </w:tc>
        <w:tc>
          <w:tcPr>
            <w:tcW w:w="868" w:type="dxa"/>
            <w:shd w:val="clear" w:color="auto" w:fill="auto"/>
            <w:noWrap/>
            <w:vAlign w:val="bottom"/>
            <w:hideMark/>
          </w:tcPr>
          <w:p w:rsidR="002E34F1" w:rsidRPr="002E0072" w:rsidRDefault="008A73FE" w:rsidP="00FC4D74">
            <w:pPr>
              <w:pStyle w:val="TableText0"/>
              <w:jc w:val="center"/>
              <w:rPr>
                <w:lang w:val="es-ES_tradnl"/>
              </w:rPr>
            </w:pPr>
            <w:r w:rsidRPr="002E0072">
              <w:rPr>
                <w:lang w:val="es-ES_tradnl"/>
              </w:rPr>
              <w:t>Sí</w:t>
            </w:r>
          </w:p>
        </w:tc>
        <w:tc>
          <w:tcPr>
            <w:tcW w:w="2659" w:type="dxa"/>
            <w:shd w:val="clear" w:color="auto" w:fill="auto"/>
            <w:noWrap/>
            <w:vAlign w:val="bottom"/>
            <w:hideMark/>
          </w:tcPr>
          <w:p w:rsidR="002E34F1" w:rsidRPr="002E0072" w:rsidRDefault="008A73FE" w:rsidP="00FC4D74">
            <w:pPr>
              <w:pStyle w:val="TableText0"/>
              <w:jc w:val="center"/>
              <w:rPr>
                <w:lang w:val="es-ES_tradnl"/>
              </w:rPr>
            </w:pPr>
            <w:r w:rsidRPr="002E0072">
              <w:rPr>
                <w:lang w:val="es-ES_tradnl"/>
              </w:rPr>
              <w:t xml:space="preserve">Normal </w:t>
            </w:r>
            <w:r w:rsidR="002E34F1" w:rsidRPr="002E0072">
              <w:rPr>
                <w:lang w:val="es-ES_tradnl"/>
              </w:rPr>
              <w:t>(</w:t>
            </w:r>
            <w:r w:rsidRPr="002E0072">
              <w:rPr>
                <w:lang w:val="es-ES_tradnl"/>
              </w:rPr>
              <w:t>en función de la densidad</w:t>
            </w:r>
            <w:r w:rsidR="002E34F1" w:rsidRPr="002E0072">
              <w:rPr>
                <w:lang w:val="es-ES_tradnl"/>
              </w:rPr>
              <w:t>)</w:t>
            </w:r>
          </w:p>
        </w:tc>
        <w:tc>
          <w:tcPr>
            <w:tcW w:w="1417" w:type="dxa"/>
            <w:shd w:val="clear" w:color="auto" w:fill="auto"/>
            <w:noWrap/>
            <w:vAlign w:val="bottom"/>
            <w:hideMark/>
          </w:tcPr>
          <w:p w:rsidR="002E34F1" w:rsidRPr="002E0072" w:rsidRDefault="00B21B14" w:rsidP="008A73FE">
            <w:pPr>
              <w:pStyle w:val="TableText0"/>
              <w:jc w:val="center"/>
              <w:rPr>
                <w:lang w:val="es-ES_tradnl"/>
              </w:rPr>
            </w:pPr>
            <w:r w:rsidRPr="002E0072">
              <w:rPr>
                <w:lang w:val="es-ES_tradnl"/>
              </w:rPr>
              <w:t>(crea</w:t>
            </w:r>
            <w:r w:rsidR="008A73FE" w:rsidRPr="002E0072">
              <w:rPr>
                <w:lang w:val="es-ES_tradnl"/>
              </w:rPr>
              <w:t>do</w:t>
            </w:r>
            <w:r w:rsidR="002E34F1" w:rsidRPr="002E0072">
              <w:rPr>
                <w:lang w:val="es-ES_tradnl"/>
              </w:rPr>
              <w:t>)</w:t>
            </w:r>
          </w:p>
        </w:tc>
      </w:tr>
      <w:tr w:rsidR="002E34F1" w:rsidRPr="002E0072" w:rsidTr="008F4123">
        <w:trPr>
          <w:trHeight w:val="300"/>
        </w:trPr>
        <w:tc>
          <w:tcPr>
            <w:tcW w:w="851" w:type="dxa"/>
            <w:shd w:val="clear" w:color="auto" w:fill="auto"/>
            <w:noWrap/>
            <w:vAlign w:val="bottom"/>
          </w:tcPr>
          <w:p w:rsidR="002E34F1" w:rsidRPr="002E0072" w:rsidRDefault="002E34F1" w:rsidP="00FC4D74">
            <w:pPr>
              <w:pStyle w:val="TableText0"/>
              <w:jc w:val="center"/>
              <w:rPr>
                <w:lang w:val="es-ES_tradnl"/>
              </w:rPr>
            </w:pPr>
            <w:r w:rsidRPr="002E0072">
              <w:rPr>
                <w:lang w:val="es-ES_tradnl"/>
              </w:rPr>
              <w:t>F</w:t>
            </w:r>
          </w:p>
        </w:tc>
        <w:tc>
          <w:tcPr>
            <w:tcW w:w="1231" w:type="dxa"/>
            <w:shd w:val="clear" w:color="auto" w:fill="auto"/>
            <w:noWrap/>
            <w:vAlign w:val="bottom"/>
          </w:tcPr>
          <w:p w:rsidR="002E34F1" w:rsidRPr="002E0072" w:rsidRDefault="002E34F1" w:rsidP="008A73FE">
            <w:pPr>
              <w:pStyle w:val="TableText0"/>
              <w:jc w:val="center"/>
              <w:rPr>
                <w:lang w:val="es-ES_tradnl"/>
              </w:rPr>
            </w:pPr>
            <w:r w:rsidRPr="002E0072">
              <w:rPr>
                <w:lang w:val="es-ES_tradnl"/>
              </w:rPr>
              <w:t>Polar</w:t>
            </w:r>
            <w:r w:rsidR="002871DC" w:rsidRPr="002E0072">
              <w:rPr>
                <w:lang w:val="es-ES_tradnl"/>
              </w:rPr>
              <w:t xml:space="preserve"> </w:t>
            </w:r>
            <w:r w:rsidR="008A73FE" w:rsidRPr="002E0072">
              <w:rPr>
                <w:lang w:val="es-ES_tradnl"/>
              </w:rPr>
              <w:t xml:space="preserve">de cobertura limitada </w:t>
            </w:r>
          </w:p>
        </w:tc>
        <w:tc>
          <w:tcPr>
            <w:tcW w:w="1116" w:type="dxa"/>
            <w:shd w:val="clear" w:color="auto" w:fill="auto"/>
            <w:noWrap/>
            <w:vAlign w:val="bottom"/>
          </w:tcPr>
          <w:p w:rsidR="002E34F1" w:rsidRPr="002E0072" w:rsidRDefault="002E34F1" w:rsidP="00FC4D74">
            <w:pPr>
              <w:pStyle w:val="TableText0"/>
              <w:jc w:val="center"/>
              <w:rPr>
                <w:lang w:val="es-ES_tradnl"/>
              </w:rPr>
            </w:pPr>
            <w:r w:rsidRPr="002E0072">
              <w:rPr>
                <w:lang w:val="es-ES_tradnl"/>
              </w:rPr>
              <w:t>No</w:t>
            </w:r>
          </w:p>
        </w:tc>
        <w:tc>
          <w:tcPr>
            <w:tcW w:w="868" w:type="dxa"/>
            <w:shd w:val="clear" w:color="auto" w:fill="auto"/>
            <w:noWrap/>
            <w:vAlign w:val="bottom"/>
          </w:tcPr>
          <w:p w:rsidR="002E34F1" w:rsidRPr="002E0072" w:rsidRDefault="008A73FE" w:rsidP="008A73FE">
            <w:pPr>
              <w:pStyle w:val="TableText0"/>
              <w:jc w:val="center"/>
              <w:rPr>
                <w:lang w:val="es-ES_tradnl"/>
              </w:rPr>
            </w:pPr>
            <w:r w:rsidRPr="002E0072">
              <w:rPr>
                <w:lang w:val="es-ES_tradnl"/>
              </w:rPr>
              <w:t>Sí</w:t>
            </w:r>
          </w:p>
        </w:tc>
        <w:tc>
          <w:tcPr>
            <w:tcW w:w="2659" w:type="dxa"/>
            <w:shd w:val="clear" w:color="auto" w:fill="auto"/>
            <w:noWrap/>
            <w:vAlign w:val="bottom"/>
          </w:tcPr>
          <w:p w:rsidR="002E34F1" w:rsidRPr="002E0072" w:rsidRDefault="008A73FE" w:rsidP="008A73FE">
            <w:pPr>
              <w:pStyle w:val="TableText0"/>
              <w:jc w:val="center"/>
              <w:rPr>
                <w:lang w:val="es-ES_tradnl"/>
              </w:rPr>
            </w:pPr>
            <w:r w:rsidRPr="002E0072">
              <w:rPr>
                <w:szCs w:val="22"/>
                <w:lang w:val="es-ES_tradnl"/>
              </w:rPr>
              <w:t>Específico</w:t>
            </w:r>
            <w:r w:rsidR="002E34F1" w:rsidRPr="002E0072">
              <w:rPr>
                <w:szCs w:val="22"/>
                <w:lang w:val="es-ES_tradnl"/>
              </w:rPr>
              <w:t xml:space="preserve"> (</w:t>
            </w:r>
            <w:r w:rsidRPr="002E0072">
              <w:rPr>
                <w:szCs w:val="22"/>
                <w:lang w:val="es-ES_tradnl"/>
              </w:rPr>
              <w:t xml:space="preserve">emplazamiento </w:t>
            </w:r>
            <w:r w:rsidR="002E34F1" w:rsidRPr="002E0072">
              <w:rPr>
                <w:szCs w:val="22"/>
                <w:lang w:val="es-ES_tradnl"/>
              </w:rPr>
              <w:t>exact</w:t>
            </w:r>
            <w:r w:rsidRPr="002E0072">
              <w:rPr>
                <w:szCs w:val="22"/>
                <w:lang w:val="es-ES_tradnl"/>
              </w:rPr>
              <w:t>o</w:t>
            </w:r>
            <w:r w:rsidR="002E34F1" w:rsidRPr="002E0072">
              <w:rPr>
                <w:szCs w:val="22"/>
                <w:lang w:val="es-ES_tradnl"/>
              </w:rPr>
              <w:t>)</w:t>
            </w:r>
          </w:p>
        </w:tc>
        <w:tc>
          <w:tcPr>
            <w:tcW w:w="1417" w:type="dxa"/>
            <w:shd w:val="clear" w:color="auto" w:fill="auto"/>
            <w:noWrap/>
            <w:vAlign w:val="bottom"/>
          </w:tcPr>
          <w:p w:rsidR="002E34F1" w:rsidRPr="002E0072" w:rsidRDefault="002E34F1" w:rsidP="00B21B14">
            <w:pPr>
              <w:pStyle w:val="TableText0"/>
              <w:jc w:val="center"/>
              <w:rPr>
                <w:lang w:val="es-ES_tradnl"/>
              </w:rPr>
            </w:pPr>
            <w:r w:rsidRPr="002E0072">
              <w:rPr>
                <w:lang w:val="es-ES_tradnl"/>
              </w:rPr>
              <w:t>CANPOL</w:t>
            </w:r>
          </w:p>
        </w:tc>
      </w:tr>
    </w:tbl>
    <w:p w:rsidR="00E6759C" w:rsidRPr="002E0072" w:rsidRDefault="00E6759C" w:rsidP="00FF69DF">
      <w:pPr>
        <w:rPr>
          <w:lang w:val="es-ES_tradnl"/>
        </w:rPr>
      </w:pPr>
      <w:r w:rsidRPr="002E0072">
        <w:rPr>
          <w:lang w:val="es-ES_tradnl"/>
        </w:rPr>
        <w:t xml:space="preserve">La Oficina ha contratado con Transfinite Ltd </w:t>
      </w:r>
      <w:r w:rsidR="00FF69DF" w:rsidRPr="002E0072">
        <w:rPr>
          <w:lang w:val="es-ES_tradnl"/>
        </w:rPr>
        <w:t>y</w:t>
      </w:r>
      <w:r w:rsidRPr="002E0072">
        <w:rPr>
          <w:lang w:val="es-ES_tradnl"/>
        </w:rPr>
        <w:t xml:space="preserve"> Agenium la actualización del software de validación de la DFPE de conformidad con la Recomendación UIT-R S.1503-2.</w:t>
      </w:r>
    </w:p>
    <w:p w:rsidR="002E34F1" w:rsidRPr="00550C93" w:rsidRDefault="0033065C" w:rsidP="00550C93">
      <w:pPr>
        <w:pStyle w:val="Heading1"/>
      </w:pPr>
      <w:r w:rsidRPr="00550C93">
        <w:t>4</w:t>
      </w:r>
      <w:r w:rsidR="00CF7DE7" w:rsidRPr="00550C93">
        <w:tab/>
      </w:r>
      <w:r w:rsidR="006A169A" w:rsidRPr="00550C93">
        <w:t xml:space="preserve">Informe del estado </w:t>
      </w:r>
      <w:r w:rsidR="00FF69DF" w:rsidRPr="00550C93">
        <w:t xml:space="preserve">de </w:t>
      </w:r>
      <w:r w:rsidR="006A169A" w:rsidRPr="00550C93">
        <w:t>aplicación de la Recom</w:t>
      </w:r>
      <w:r w:rsidR="002E34F1" w:rsidRPr="00550C93">
        <w:t>enda</w:t>
      </w:r>
      <w:r w:rsidR="006A169A" w:rsidRPr="00550C93">
        <w:t xml:space="preserve">ción UIT-R </w:t>
      </w:r>
      <w:r w:rsidR="002E34F1" w:rsidRPr="00550C93">
        <w:t>S.1503-2</w:t>
      </w:r>
    </w:p>
    <w:p w:rsidR="002E34F1" w:rsidRPr="002E0072" w:rsidRDefault="0033065C" w:rsidP="008A7571">
      <w:pPr>
        <w:pStyle w:val="Heading2"/>
        <w:rPr>
          <w:lang w:val="es-ES_tradnl"/>
        </w:rPr>
      </w:pPr>
      <w:r w:rsidRPr="002E0072">
        <w:rPr>
          <w:lang w:val="es-ES_tradnl"/>
        </w:rPr>
        <w:t>4</w:t>
      </w:r>
      <w:r w:rsidR="00CF7DE7" w:rsidRPr="002E0072">
        <w:rPr>
          <w:lang w:val="es-ES_tradnl"/>
        </w:rPr>
        <w:t>.1</w:t>
      </w:r>
      <w:r w:rsidR="00CF7DE7" w:rsidRPr="002E0072">
        <w:rPr>
          <w:lang w:val="es-ES_tradnl"/>
        </w:rPr>
        <w:tab/>
      </w:r>
      <w:r w:rsidR="006A169A" w:rsidRPr="002E0072">
        <w:rPr>
          <w:lang w:val="es-ES_tradnl"/>
        </w:rPr>
        <w:t xml:space="preserve">Actualizaciones generales </w:t>
      </w:r>
    </w:p>
    <w:p w:rsidR="00DD5766" w:rsidRPr="002E0072" w:rsidRDefault="006A169A" w:rsidP="004151B0">
      <w:pPr>
        <w:rPr>
          <w:lang w:val="es-ES_tradnl"/>
        </w:rPr>
      </w:pPr>
      <w:r w:rsidRPr="002E0072">
        <w:rPr>
          <w:lang w:val="es-ES_tradnl"/>
        </w:rPr>
        <w:t>Se han implementado las siguientes características en el software:</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404B15" w:rsidRPr="002E0072">
        <w:rPr>
          <w:lang w:val="es-ES_tradnl"/>
        </w:rPr>
        <w:t>Po</w:t>
      </w:r>
      <w:r w:rsidR="006A169A" w:rsidRPr="002E0072">
        <w:rPr>
          <w:lang w:val="es-ES_tradnl"/>
        </w:rPr>
        <w:t>sibilidad de variación de la máscara DFP/PIRE entre satélites</w:t>
      </w:r>
    </w:p>
    <w:p w:rsidR="00DD5766" w:rsidRPr="002E0072" w:rsidRDefault="00DD5766" w:rsidP="007C413E">
      <w:pPr>
        <w:pStyle w:val="enumlev1"/>
        <w:rPr>
          <w:lang w:val="es-ES_tradnl"/>
        </w:rPr>
      </w:pPr>
      <w:r w:rsidRPr="002E0072">
        <w:rPr>
          <w:b/>
          <w:lang w:val="es-ES_tradnl"/>
        </w:rPr>
        <w:lastRenderedPageBreak/>
        <w:t>•</w:t>
      </w:r>
      <w:r w:rsidRPr="002E0072">
        <w:rPr>
          <w:b/>
          <w:lang w:val="es-ES_tradnl"/>
        </w:rPr>
        <w:tab/>
      </w:r>
      <w:r w:rsidR="00404B15" w:rsidRPr="002E0072">
        <w:rPr>
          <w:lang w:val="es-ES_tradnl"/>
        </w:rPr>
        <w:t>Po</w:t>
      </w:r>
      <w:r w:rsidR="006A169A" w:rsidRPr="002E0072">
        <w:rPr>
          <w:lang w:val="es-ES_tradnl"/>
        </w:rPr>
        <w:t>sibilid</w:t>
      </w:r>
      <w:r w:rsidR="00D20A08" w:rsidRPr="002E0072">
        <w:rPr>
          <w:lang w:val="es-ES_tradnl"/>
        </w:rPr>
        <w:t xml:space="preserve">ad de variación de la máscara </w:t>
      </w:r>
      <w:r w:rsidR="006A169A" w:rsidRPr="002E0072">
        <w:rPr>
          <w:lang w:val="es-ES_tradnl"/>
        </w:rPr>
        <w:t xml:space="preserve">PIRE del satélite y de la estación terrena (ES) en función de la latitud </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2E34F1" w:rsidRPr="002E0072">
        <w:rPr>
          <w:lang w:val="es-ES_tradnl"/>
        </w:rPr>
        <w:t>U</w:t>
      </w:r>
      <w:r w:rsidR="00FF69DF" w:rsidRPr="002E0072">
        <w:rPr>
          <w:lang w:val="es-ES_tradnl"/>
        </w:rPr>
        <w:t>tilización de un nue</w:t>
      </w:r>
      <w:r w:rsidR="006A169A" w:rsidRPr="002E0072">
        <w:rPr>
          <w:lang w:val="es-ES_tradnl"/>
        </w:rPr>
        <w:t xml:space="preserve">vo algoritmo de despliegue de ES en función de la densidad </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6A169A" w:rsidRPr="002E0072">
        <w:rPr>
          <w:lang w:val="es-ES_tradnl"/>
        </w:rPr>
        <w:t xml:space="preserve">Tratamiento de órbitas no OSG ecuatoriales </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6A169A" w:rsidRPr="002E0072">
        <w:rPr>
          <w:lang w:val="es-ES_tradnl"/>
        </w:rPr>
        <w:t xml:space="preserve">Tratamiento de órbitas no OSG elípticas </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6A169A" w:rsidRPr="002E0072">
        <w:rPr>
          <w:lang w:val="es-ES_tradnl"/>
        </w:rPr>
        <w:t xml:space="preserve">Modificación del cálculo del paso de tiempo y de la duración de los pasos </w:t>
      </w:r>
    </w:p>
    <w:p w:rsidR="00DD5766" w:rsidRPr="002E0072" w:rsidRDefault="00DD5766" w:rsidP="007C413E">
      <w:pPr>
        <w:pStyle w:val="enumlev1"/>
        <w:rPr>
          <w:lang w:val="es-ES_tradnl"/>
        </w:rPr>
      </w:pPr>
      <w:r w:rsidRPr="002E0072">
        <w:rPr>
          <w:b/>
          <w:lang w:val="es-ES_tradnl"/>
        </w:rPr>
        <w:t>•</w:t>
      </w:r>
      <w:r w:rsidRPr="002E0072">
        <w:rPr>
          <w:b/>
          <w:lang w:val="es-ES_tradnl"/>
        </w:rPr>
        <w:tab/>
      </w:r>
      <w:r w:rsidR="002E34F1" w:rsidRPr="002E0072">
        <w:rPr>
          <w:lang w:val="es-ES_tradnl"/>
        </w:rPr>
        <w:t>N</w:t>
      </w:r>
      <w:r w:rsidR="006A169A" w:rsidRPr="002E0072">
        <w:rPr>
          <w:lang w:val="es-ES_tradnl"/>
        </w:rPr>
        <w:t xml:space="preserve">uevos algoritmos </w:t>
      </w:r>
      <w:r w:rsidR="002E34F1" w:rsidRPr="002E0072">
        <w:rPr>
          <w:lang w:val="es-ES_tradnl"/>
        </w:rPr>
        <w:t xml:space="preserve">WCG </w:t>
      </w:r>
    </w:p>
    <w:p w:rsidR="002E34F1" w:rsidRPr="002E0072" w:rsidRDefault="00DD5766" w:rsidP="007C413E">
      <w:pPr>
        <w:pStyle w:val="enumlev1"/>
        <w:rPr>
          <w:lang w:val="es-ES_tradnl"/>
        </w:rPr>
      </w:pPr>
      <w:r w:rsidRPr="002E0072">
        <w:rPr>
          <w:b/>
          <w:lang w:val="es-ES_tradnl"/>
        </w:rPr>
        <w:t>•</w:t>
      </w:r>
      <w:r w:rsidRPr="002E0072">
        <w:rPr>
          <w:b/>
          <w:lang w:val="es-ES_tradnl"/>
        </w:rPr>
        <w:tab/>
      </w:r>
      <w:r w:rsidR="006A169A" w:rsidRPr="002E0072">
        <w:rPr>
          <w:lang w:val="es-ES_tradnl"/>
        </w:rPr>
        <w:t>Extracción de la información de la m</w:t>
      </w:r>
      <w:r w:rsidR="00D20A08" w:rsidRPr="002E0072">
        <w:rPr>
          <w:lang w:val="es-ES_tradnl"/>
        </w:rPr>
        <w:t xml:space="preserve">áscara </w:t>
      </w:r>
      <w:r w:rsidR="006A169A" w:rsidRPr="002E0072">
        <w:rPr>
          <w:lang w:val="es-ES_tradnl"/>
        </w:rPr>
        <w:t>DFP/PIRE de la base de datos del SIE</w:t>
      </w:r>
      <w:r w:rsidR="00C23874" w:rsidRPr="002E0072">
        <w:rPr>
          <w:lang w:val="es-ES_tradnl"/>
        </w:rPr>
        <w:t>.</w:t>
      </w:r>
    </w:p>
    <w:p w:rsidR="00FC4D74" w:rsidRPr="002E0072" w:rsidRDefault="00FC4D74" w:rsidP="002E0072">
      <w:pPr>
        <w:rPr>
          <w:lang w:val="es-ES_tradnl"/>
        </w:rPr>
      </w:pPr>
      <w:r w:rsidRPr="002E0072">
        <w:rPr>
          <w:lang w:val="es-ES_tradnl"/>
        </w:rPr>
        <w:t xml:space="preserve">Al implementar estos cambios debe prestarse una atención especial </w:t>
      </w:r>
      <w:r w:rsidR="00FF69DF" w:rsidRPr="002E0072">
        <w:rPr>
          <w:lang w:val="es-ES_tradnl"/>
        </w:rPr>
        <w:t>a la ejecución del código</w:t>
      </w:r>
      <w:r w:rsidRPr="002E0072">
        <w:rPr>
          <w:lang w:val="es-ES_tradnl"/>
        </w:rPr>
        <w:t xml:space="preserve"> con la mayor eficacia posible utilizando PC modernos de varios núcleos. Esto resulta crítico teniendo en cuenta la intensidad de la computación del algoritmo WCG y su repercusión en el tiempo de ejecución del software.</w:t>
      </w:r>
    </w:p>
    <w:p w:rsidR="00DD5766" w:rsidRPr="002E0072" w:rsidRDefault="00FC4D74" w:rsidP="00E26B12">
      <w:pPr>
        <w:rPr>
          <w:lang w:val="es-ES_tradnl"/>
        </w:rPr>
      </w:pPr>
      <w:r w:rsidRPr="002E0072">
        <w:rPr>
          <w:lang w:val="es-ES_tradnl"/>
        </w:rPr>
        <w:t>Es necesario seguir desarrollando y probando ciertas características:</w:t>
      </w:r>
    </w:p>
    <w:p w:rsidR="00DD5766" w:rsidRPr="002E0072" w:rsidRDefault="00DD5766" w:rsidP="00E26B12">
      <w:pPr>
        <w:pStyle w:val="enumlev1"/>
        <w:rPr>
          <w:lang w:val="es-ES_tradnl"/>
        </w:rPr>
      </w:pPr>
      <w:r w:rsidRPr="00E26B12">
        <w:rPr>
          <w:lang w:val="es-ES_tradnl"/>
        </w:rPr>
        <w:t>•</w:t>
      </w:r>
      <w:r w:rsidRPr="00E26B12">
        <w:rPr>
          <w:lang w:val="es-ES_tradnl"/>
        </w:rPr>
        <w:tab/>
      </w:r>
      <w:r w:rsidR="00FC4D74" w:rsidRPr="002E0072">
        <w:rPr>
          <w:lang w:val="es-ES_tradnl"/>
        </w:rPr>
        <w:t>Posibilidad del cálculo del ancho de banda de la máscar</w:t>
      </w:r>
      <w:r w:rsidR="00607D68" w:rsidRPr="002E0072">
        <w:rPr>
          <w:lang w:val="es-ES_tradnl"/>
        </w:rPr>
        <w:t>a</w:t>
      </w:r>
      <w:r w:rsidR="00FC4D74" w:rsidRPr="002E0072">
        <w:rPr>
          <w:lang w:val="es-ES_tradnl"/>
        </w:rPr>
        <w:t xml:space="preserve"> de DFP/PIRE </w:t>
      </w:r>
    </w:p>
    <w:p w:rsidR="002E34F1" w:rsidRPr="002E0072" w:rsidRDefault="00DD5766" w:rsidP="00E26B12">
      <w:pPr>
        <w:pStyle w:val="enumlev1"/>
        <w:rPr>
          <w:lang w:val="es-ES_tradnl"/>
        </w:rPr>
      </w:pPr>
      <w:r w:rsidRPr="00E26B12">
        <w:rPr>
          <w:lang w:val="es-ES_tradnl"/>
        </w:rPr>
        <w:t>•</w:t>
      </w:r>
      <w:r w:rsidRPr="00E26B12">
        <w:rPr>
          <w:lang w:val="es-ES_tradnl"/>
        </w:rPr>
        <w:tab/>
      </w:r>
      <w:r w:rsidR="00FC4D74" w:rsidRPr="002E0072">
        <w:rPr>
          <w:lang w:val="es-ES_tradnl"/>
        </w:rPr>
        <w:t xml:space="preserve">Posibilidad de utilizar ES específicas. </w:t>
      </w:r>
    </w:p>
    <w:p w:rsidR="002E34F1" w:rsidRPr="002E0072" w:rsidRDefault="0033065C" w:rsidP="00E26B12">
      <w:pPr>
        <w:pStyle w:val="Heading2"/>
        <w:rPr>
          <w:lang w:val="es-ES_tradnl"/>
        </w:rPr>
      </w:pPr>
      <w:r w:rsidRPr="002E0072">
        <w:rPr>
          <w:lang w:val="es-ES_tradnl"/>
        </w:rPr>
        <w:t>4</w:t>
      </w:r>
      <w:r w:rsidR="00CF7DE7" w:rsidRPr="002E0072">
        <w:rPr>
          <w:lang w:val="es-ES_tradnl"/>
        </w:rPr>
        <w:t>.</w:t>
      </w:r>
      <w:r w:rsidR="00E162F0" w:rsidRPr="002E0072">
        <w:rPr>
          <w:lang w:val="es-ES_tradnl"/>
        </w:rPr>
        <w:t>2</w:t>
      </w:r>
      <w:r w:rsidR="00CF7DE7" w:rsidRPr="002E0072">
        <w:rPr>
          <w:lang w:val="es-ES_tradnl"/>
        </w:rPr>
        <w:tab/>
      </w:r>
      <w:r w:rsidR="00FC4D74" w:rsidRPr="002E0072">
        <w:rPr>
          <w:lang w:val="es-ES_tradnl"/>
        </w:rPr>
        <w:t>Prueba</w:t>
      </w:r>
      <w:r w:rsidR="007018BF" w:rsidRPr="002E0072">
        <w:rPr>
          <w:lang w:val="es-ES_tradnl"/>
        </w:rPr>
        <w:t>s</w:t>
      </w:r>
      <w:r w:rsidR="00FC4D74" w:rsidRPr="002E0072">
        <w:rPr>
          <w:lang w:val="es-ES_tradnl"/>
        </w:rPr>
        <w:t xml:space="preserve"> interna</w:t>
      </w:r>
      <w:r w:rsidR="007018BF" w:rsidRPr="002E0072">
        <w:rPr>
          <w:lang w:val="es-ES_tradnl"/>
        </w:rPr>
        <w:t>s</w:t>
      </w:r>
      <w:r w:rsidR="00FC4D74" w:rsidRPr="002E0072">
        <w:rPr>
          <w:lang w:val="es-ES_tradnl"/>
        </w:rPr>
        <w:t xml:space="preserve"> </w:t>
      </w:r>
    </w:p>
    <w:p w:rsidR="002E34F1" w:rsidRPr="002E0072" w:rsidRDefault="00FC4D74" w:rsidP="002E0072">
      <w:pPr>
        <w:pStyle w:val="Headingb"/>
        <w:rPr>
          <w:lang w:val="es-ES_tradnl"/>
        </w:rPr>
      </w:pPr>
      <w:r w:rsidRPr="002E0072">
        <w:rPr>
          <w:lang w:val="es-ES_tradnl"/>
        </w:rPr>
        <w:t xml:space="preserve">Modificaciones del modelo de órbita </w:t>
      </w:r>
    </w:p>
    <w:p w:rsidR="002E34F1" w:rsidRPr="002E0072" w:rsidRDefault="00FC4D74" w:rsidP="004D5C4D">
      <w:pPr>
        <w:rPr>
          <w:lang w:val="es-ES_tradnl"/>
        </w:rPr>
      </w:pPr>
      <w:r w:rsidRPr="002E0072">
        <w:rPr>
          <w:lang w:val="es-ES_tradnl"/>
        </w:rPr>
        <w:t>Las modificaciones del software se validaron con respecto a una prueba de referencia y resultaron totalmente satisfactorias.</w:t>
      </w:r>
      <w:r w:rsidR="002E34F1" w:rsidRPr="002E0072">
        <w:rPr>
          <w:lang w:val="es-ES_tradnl"/>
        </w:rPr>
        <w:t xml:space="preserve"> </w:t>
      </w:r>
    </w:p>
    <w:p w:rsidR="002E34F1" w:rsidRPr="002E0072" w:rsidRDefault="00FC4D74" w:rsidP="002E0072">
      <w:pPr>
        <w:pStyle w:val="Headingb"/>
        <w:rPr>
          <w:lang w:val="es-ES_tradnl"/>
        </w:rPr>
      </w:pPr>
      <w:r w:rsidRPr="002E0072">
        <w:rPr>
          <w:lang w:val="es-ES_tradnl"/>
        </w:rPr>
        <w:t>Modificación del cálculo de</w:t>
      </w:r>
      <w:r w:rsidR="00DD1DD7" w:rsidRPr="002E0072">
        <w:rPr>
          <w:lang w:val="es-ES_tradnl"/>
        </w:rPr>
        <w:t>l</w:t>
      </w:r>
      <w:r w:rsidRPr="002E0072">
        <w:rPr>
          <w:lang w:val="es-ES_tradnl"/>
        </w:rPr>
        <w:t xml:space="preserve"> paso de tiempo y de la duración de </w:t>
      </w:r>
      <w:r w:rsidR="002E0072" w:rsidRPr="002E0072">
        <w:rPr>
          <w:lang w:val="es-ES_tradnl"/>
        </w:rPr>
        <w:t>cada ejecución</w:t>
      </w:r>
    </w:p>
    <w:p w:rsidR="00FC4D74" w:rsidRPr="002E0072" w:rsidRDefault="00FC4D74" w:rsidP="00FC4D74">
      <w:pPr>
        <w:rPr>
          <w:lang w:val="es-ES_tradnl"/>
        </w:rPr>
      </w:pPr>
      <w:r w:rsidRPr="002E0072">
        <w:rPr>
          <w:lang w:val="es-ES_tradnl"/>
        </w:rPr>
        <w:t>Las modificaciones introducidas en la Rec. UIT-R S.1503-2 han provocado en muchos casos un aumento significativo del número de pasos de tiempo que hay que ejecutar para cada DFPE, y repercute de forma importante en el tiempo necesario para completar cada ejecución.</w:t>
      </w:r>
    </w:p>
    <w:p w:rsidR="002E34F1" w:rsidRPr="002E0072" w:rsidRDefault="00FC4D74" w:rsidP="002E0072">
      <w:pPr>
        <w:pStyle w:val="Headingb"/>
        <w:rPr>
          <w:lang w:val="es-ES_tradnl"/>
        </w:rPr>
      </w:pPr>
      <w:r w:rsidRPr="002E0072">
        <w:rPr>
          <w:lang w:val="es-ES_tradnl"/>
        </w:rPr>
        <w:t xml:space="preserve">Actualización de la </w:t>
      </w:r>
      <w:r w:rsidR="002E34F1" w:rsidRPr="002E0072">
        <w:rPr>
          <w:lang w:val="es-ES_tradnl"/>
        </w:rPr>
        <w:t>WCG</w:t>
      </w:r>
    </w:p>
    <w:p w:rsidR="00FC4D74" w:rsidRPr="002E0072" w:rsidRDefault="00FC4D74" w:rsidP="002E0072">
      <w:pPr>
        <w:rPr>
          <w:highlight w:val="yellow"/>
          <w:lang w:val="es-ES_tradnl"/>
        </w:rPr>
      </w:pPr>
      <w:r w:rsidRPr="002E0072">
        <w:rPr>
          <w:lang w:val="es-ES_tradnl"/>
        </w:rPr>
        <w:t>Uno de los cambios más importantes del algoritmo de la Rec. UIT-R S.1503 fue el del cálculo de la geometría del caso más desfavorable. El nuevo algoritmo WCG de la versión 2 resulta ser mucho más potente que el de la versión 1 e identifica geometrías alternativas para emplazar el satélite OSG y las estaciones terrenas. Esto da lugar a estadísticas de la dfpe que en ciertos casos alcanzan porcentajes de tiempo más elevados para un determinado nivel de la dfpe</w:t>
      </w:r>
      <w:r w:rsidR="002E0072">
        <w:rPr>
          <w:lang w:val="es-ES_tradnl"/>
        </w:rPr>
        <w:t xml:space="preserve"> </w:t>
      </w:r>
      <w:r w:rsidRPr="002E0072">
        <w:rPr>
          <w:lang w:val="es-ES_tradnl"/>
        </w:rPr>
        <w:t>y que parecen indicar que</w:t>
      </w:r>
      <w:r w:rsidR="004752CC" w:rsidRPr="002E0072">
        <w:rPr>
          <w:lang w:val="es-ES_tradnl"/>
        </w:rPr>
        <w:t xml:space="preserve"> el algoritmo revisado funciona</w:t>
      </w:r>
      <w:r w:rsidRPr="002E0072">
        <w:rPr>
          <w:lang w:val="es-ES_tradnl"/>
        </w:rPr>
        <w:t xml:space="preserve"> eficazmente. </w:t>
      </w:r>
    </w:p>
    <w:p w:rsidR="0098417B" w:rsidRPr="002E0072" w:rsidRDefault="002E0072" w:rsidP="002E0072">
      <w:pPr>
        <w:pStyle w:val="Headingb"/>
        <w:rPr>
          <w:lang w:val="es-ES_tradnl"/>
        </w:rPr>
      </w:pPr>
      <w:r w:rsidRPr="002E0072">
        <w:rPr>
          <w:lang w:val="es-ES_tradnl"/>
        </w:rPr>
        <w:t>Formato de las máscaras</w:t>
      </w:r>
    </w:p>
    <w:p w:rsidR="007018BF" w:rsidRPr="002E0072" w:rsidRDefault="007018BF" w:rsidP="00C66DE1">
      <w:pPr>
        <w:rPr>
          <w:lang w:val="es-ES_tradnl"/>
        </w:rPr>
      </w:pPr>
      <w:r w:rsidRPr="002E0072">
        <w:rPr>
          <w:lang w:val="es-ES_tradnl"/>
        </w:rPr>
        <w:t>Se efectuaron pruebas para garantizar que el software p</w:t>
      </w:r>
      <w:r w:rsidR="00C66DE1" w:rsidRPr="002E0072">
        <w:rPr>
          <w:lang w:val="es-ES_tradnl"/>
        </w:rPr>
        <w:t>ueda</w:t>
      </w:r>
      <w:r w:rsidRPr="002E0072">
        <w:rPr>
          <w:lang w:val="es-ES_tradnl"/>
        </w:rPr>
        <w:t xml:space="preserve"> funcionar con constelaciones del SFS no OSG que utili</w:t>
      </w:r>
      <w:r w:rsidR="00C66DE1" w:rsidRPr="002E0072">
        <w:rPr>
          <w:lang w:val="es-ES_tradnl"/>
        </w:rPr>
        <w:t xml:space="preserve">cen </w:t>
      </w:r>
      <w:r w:rsidRPr="002E0072">
        <w:rPr>
          <w:lang w:val="es-ES_tradnl"/>
        </w:rPr>
        <w:t>varias m</w:t>
      </w:r>
      <w:r w:rsidR="00D20A08" w:rsidRPr="002E0072">
        <w:rPr>
          <w:lang w:val="es-ES_tradnl"/>
        </w:rPr>
        <w:t xml:space="preserve">áscaras </w:t>
      </w:r>
      <w:r w:rsidRPr="002E0072">
        <w:rPr>
          <w:lang w:val="es-ES_tradnl"/>
        </w:rPr>
        <w:t>DFP y otras máscaras que var</w:t>
      </w:r>
      <w:r w:rsidR="00C66DE1" w:rsidRPr="002E0072">
        <w:rPr>
          <w:lang w:val="es-ES_tradnl"/>
        </w:rPr>
        <w:t>íen</w:t>
      </w:r>
      <w:r w:rsidRPr="002E0072">
        <w:rPr>
          <w:lang w:val="es-ES_tradnl"/>
        </w:rPr>
        <w:t xml:space="preserve"> en función de la latitud.</w:t>
      </w:r>
    </w:p>
    <w:p w:rsidR="009C4445" w:rsidRPr="002E0072" w:rsidRDefault="0033065C" w:rsidP="004D4843">
      <w:pPr>
        <w:pStyle w:val="Heading2"/>
        <w:rPr>
          <w:lang w:val="es-ES_tradnl"/>
        </w:rPr>
      </w:pPr>
      <w:r w:rsidRPr="002E0072">
        <w:rPr>
          <w:lang w:val="es-ES_tradnl"/>
        </w:rPr>
        <w:t>4</w:t>
      </w:r>
      <w:r w:rsidR="009C4445" w:rsidRPr="002E0072">
        <w:rPr>
          <w:lang w:val="es-ES_tradnl"/>
        </w:rPr>
        <w:t>.3</w:t>
      </w:r>
      <w:r w:rsidR="009C4445" w:rsidRPr="002E0072">
        <w:rPr>
          <w:lang w:val="es-ES_tradnl"/>
        </w:rPr>
        <w:tab/>
      </w:r>
      <w:r w:rsidR="007018BF" w:rsidRPr="002E0072">
        <w:rPr>
          <w:lang w:val="es-ES_tradnl"/>
        </w:rPr>
        <w:t xml:space="preserve">Pruebas externas </w:t>
      </w:r>
    </w:p>
    <w:p w:rsidR="007018BF" w:rsidRPr="004D4843" w:rsidRDefault="007018BF" w:rsidP="004D4843">
      <w:pPr>
        <w:pStyle w:val="Headingb"/>
        <w:rPr>
          <w:lang w:val="es-ES_tradnl"/>
        </w:rPr>
      </w:pPr>
      <w:r w:rsidRPr="002E0072">
        <w:rPr>
          <w:lang w:val="es-ES_tradnl"/>
        </w:rPr>
        <w:t xml:space="preserve">Modificaciones del modelo de órbita </w:t>
      </w:r>
    </w:p>
    <w:p w:rsidR="007018BF" w:rsidRPr="002E0072" w:rsidRDefault="00DD1DD7" w:rsidP="00DD1DD7">
      <w:pPr>
        <w:rPr>
          <w:lang w:val="es-ES_tradnl"/>
        </w:rPr>
      </w:pPr>
      <w:r w:rsidRPr="002E0072">
        <w:rPr>
          <w:lang w:val="es-ES_tradnl"/>
        </w:rPr>
        <w:t xml:space="preserve">Las modificaciones del software se validaron un marco de prueba. Los resultados fueron excelentes y en muchos casos se obtuvo un delta mejor que 1e-5. </w:t>
      </w:r>
    </w:p>
    <w:p w:rsidR="002E34F1" w:rsidRPr="004D4843" w:rsidRDefault="00DD1DD7" w:rsidP="004D4843">
      <w:pPr>
        <w:pStyle w:val="Headingb"/>
        <w:rPr>
          <w:lang w:val="es-ES_tradnl"/>
        </w:rPr>
      </w:pPr>
      <w:r w:rsidRPr="002E0072">
        <w:rPr>
          <w:lang w:val="es-ES_tradnl"/>
        </w:rPr>
        <w:t xml:space="preserve">Modificación del cálculo del paso de tiempo y de la duración de </w:t>
      </w:r>
      <w:r w:rsidR="00607D68" w:rsidRPr="002E0072">
        <w:rPr>
          <w:lang w:val="es-ES_tradnl"/>
        </w:rPr>
        <w:t>cada ejecución</w:t>
      </w:r>
    </w:p>
    <w:p w:rsidR="00DD1DD7" w:rsidRPr="002E0072" w:rsidRDefault="00DD1DD7" w:rsidP="00C66DE1">
      <w:pPr>
        <w:rPr>
          <w:lang w:val="es-ES_tradnl"/>
        </w:rPr>
      </w:pPr>
      <w:r w:rsidRPr="002E0072">
        <w:rPr>
          <w:lang w:val="es-ES_tradnl"/>
        </w:rPr>
        <w:t xml:space="preserve">Tras la comparación del paso del tiempo y el número de </w:t>
      </w:r>
      <w:r w:rsidR="00C66DE1" w:rsidRPr="002E0072">
        <w:rPr>
          <w:lang w:val="es-ES_tradnl"/>
        </w:rPr>
        <w:t>ejecuciones</w:t>
      </w:r>
      <w:r w:rsidRPr="002E0072">
        <w:rPr>
          <w:lang w:val="es-ES_tradnl"/>
        </w:rPr>
        <w:t xml:space="preserve"> se observó una concordancia perfecta entre ambos módulos de software. </w:t>
      </w:r>
    </w:p>
    <w:p w:rsidR="002E34F1" w:rsidRPr="004D4843" w:rsidRDefault="00123FF1" w:rsidP="004D4843">
      <w:pPr>
        <w:pStyle w:val="Headingb"/>
        <w:rPr>
          <w:lang w:val="es-ES_tradnl"/>
        </w:rPr>
      </w:pPr>
      <w:r w:rsidRPr="002E0072">
        <w:rPr>
          <w:lang w:val="es-ES_tradnl"/>
        </w:rPr>
        <w:t xml:space="preserve">Despliegue de la estación terrena </w:t>
      </w:r>
    </w:p>
    <w:p w:rsidR="00123FF1" w:rsidRPr="002E0072" w:rsidRDefault="00123FF1" w:rsidP="00123FF1">
      <w:pPr>
        <w:rPr>
          <w:lang w:val="es-ES_tradnl"/>
        </w:rPr>
      </w:pPr>
      <w:r w:rsidRPr="002E0072">
        <w:rPr>
          <w:lang w:val="es-ES_tradnl"/>
        </w:rPr>
        <w:lastRenderedPageBreak/>
        <w:t>Se compararon los emplazamientos de las estaciones terrenas de los escenarios ascendentes con los escenarios de prueba correspondientes (obsérvese que el sistema USCSID no genera pasos de ejecución ascendente). El resultado fue perfecto.</w:t>
      </w:r>
    </w:p>
    <w:p w:rsidR="002E34F1" w:rsidRPr="008D3352" w:rsidRDefault="00123FF1" w:rsidP="008D3352">
      <w:pPr>
        <w:pStyle w:val="Headingb"/>
        <w:rPr>
          <w:lang w:val="es-ES_tradnl"/>
        </w:rPr>
      </w:pPr>
      <w:r w:rsidRPr="002E0072">
        <w:rPr>
          <w:lang w:val="es-ES_tradnl"/>
        </w:rPr>
        <w:t xml:space="preserve">Actualización del </w:t>
      </w:r>
      <w:r w:rsidR="002E34F1" w:rsidRPr="002E0072">
        <w:rPr>
          <w:lang w:val="es-ES_tradnl"/>
        </w:rPr>
        <w:t>WCG</w:t>
      </w:r>
    </w:p>
    <w:p w:rsidR="00123FF1" w:rsidRPr="002E0072" w:rsidRDefault="00123FF1" w:rsidP="00C66DE1">
      <w:pPr>
        <w:rPr>
          <w:lang w:val="es-ES_tradnl"/>
        </w:rPr>
      </w:pPr>
      <w:r w:rsidRPr="002E0072">
        <w:rPr>
          <w:lang w:val="es-ES_tradnl"/>
        </w:rPr>
        <w:t xml:space="preserve">Con el fin de terminar las pruebas en un tiempo razonable se utilizó un paso </w:t>
      </w:r>
      <w:r w:rsidR="00C66DE1" w:rsidRPr="002E0072">
        <w:rPr>
          <w:lang w:val="es-ES_tradnl"/>
        </w:rPr>
        <w:t>fijo d</w:t>
      </w:r>
      <w:r w:rsidRPr="002E0072">
        <w:rPr>
          <w:lang w:val="es-ES_tradnl"/>
        </w:rPr>
        <w:t>e latitud de 1 grado</w:t>
      </w:r>
      <w:r w:rsidR="00C66DE1" w:rsidRPr="002E0072">
        <w:rPr>
          <w:lang w:val="es-ES_tradnl"/>
        </w:rPr>
        <w:t>.</w:t>
      </w:r>
      <w:r w:rsidR="002E0072">
        <w:rPr>
          <w:lang w:val="es-ES_tradnl"/>
        </w:rPr>
        <w:t xml:space="preserve"> </w:t>
      </w:r>
      <w:r w:rsidRPr="002E0072">
        <w:rPr>
          <w:lang w:val="es-ES_tradnl"/>
        </w:rPr>
        <w:t xml:space="preserve">Los resultados de las diversas pruebas fueron satisfactorios. Continúan los trabajos para acelerar los cálculos de la WCG. </w:t>
      </w:r>
    </w:p>
    <w:p w:rsidR="00E162F0" w:rsidRPr="002E0072" w:rsidRDefault="00C66DE1" w:rsidP="00C66DE1">
      <w:pPr>
        <w:rPr>
          <w:lang w:val="es-ES_tradnl"/>
        </w:rPr>
      </w:pPr>
      <w:r w:rsidRPr="002E0072">
        <w:rPr>
          <w:lang w:val="es-ES_tradnl"/>
        </w:rPr>
        <w:t xml:space="preserve">Hay que </w:t>
      </w:r>
      <w:r w:rsidR="00123FF1" w:rsidRPr="002E0072">
        <w:rPr>
          <w:lang w:val="es-ES_tradnl"/>
        </w:rPr>
        <w:t>completar las pruebas</w:t>
      </w:r>
      <w:r w:rsidRPr="002E0072">
        <w:rPr>
          <w:lang w:val="es-ES_tradnl"/>
        </w:rPr>
        <w:t xml:space="preserve"> de los tipos E y F (véase el Cuadro 1 </w:t>
      </w:r>
      <w:r w:rsidRPr="008D3352">
        <w:rPr>
          <w:lang w:val="es-ES_tradnl"/>
        </w:rPr>
        <w:t>infra</w:t>
      </w:r>
      <w:r w:rsidRPr="002E0072">
        <w:rPr>
          <w:lang w:val="es-ES_tradnl"/>
        </w:rPr>
        <w:t>).</w:t>
      </w:r>
    </w:p>
    <w:p w:rsidR="00171973" w:rsidRPr="008D3352" w:rsidRDefault="002E0072" w:rsidP="008D3352">
      <w:pPr>
        <w:pStyle w:val="Headingb"/>
        <w:rPr>
          <w:lang w:val="es-ES_tradnl"/>
        </w:rPr>
      </w:pPr>
      <w:r w:rsidRPr="002E0072">
        <w:rPr>
          <w:lang w:val="es-ES_tradnl"/>
        </w:rPr>
        <w:t>Ejecución de cálculos completos</w:t>
      </w:r>
    </w:p>
    <w:p w:rsidR="00123FF1" w:rsidRPr="002E0072" w:rsidRDefault="00D20A08" w:rsidP="00C66DE1">
      <w:pPr>
        <w:rPr>
          <w:lang w:val="es-ES_tradnl"/>
        </w:rPr>
      </w:pPr>
      <w:r w:rsidRPr="002E0072">
        <w:rPr>
          <w:lang w:val="es-ES_tradnl"/>
        </w:rPr>
        <w:t xml:space="preserve">Se alcanzó </w:t>
      </w:r>
      <w:r w:rsidR="00C66DE1" w:rsidRPr="002E0072">
        <w:rPr>
          <w:lang w:val="es-ES_tradnl"/>
        </w:rPr>
        <w:t xml:space="preserve">el acuerdo de fijar en </w:t>
      </w:r>
      <w:r w:rsidRPr="002E0072">
        <w:rPr>
          <w:lang w:val="es-ES_tradnl"/>
        </w:rPr>
        <w:t xml:space="preserve">0,1 dB </w:t>
      </w:r>
      <w:r w:rsidR="00C66DE1" w:rsidRPr="002E0072">
        <w:rPr>
          <w:lang w:val="es-ES_tradnl"/>
        </w:rPr>
        <w:t xml:space="preserve">el nivel </w:t>
      </w:r>
      <w:r w:rsidRPr="002E0072">
        <w:rPr>
          <w:lang w:val="es-ES_tradnl"/>
        </w:rPr>
        <w:t>necesario para las pruebas A, B y C. Continúan analizándose la pruebas de D, E y F que deben terminarse para principios de 2016.</w:t>
      </w:r>
      <w:r w:rsidR="002E0072">
        <w:rPr>
          <w:lang w:val="es-ES_tradnl"/>
        </w:rPr>
        <w:t xml:space="preserve"> </w:t>
      </w:r>
    </w:p>
    <w:p w:rsidR="002E34F1" w:rsidRPr="002E0072" w:rsidRDefault="0033065C" w:rsidP="00D20A08">
      <w:pPr>
        <w:pStyle w:val="Heading2"/>
        <w:rPr>
          <w:lang w:val="es-ES_tradnl"/>
        </w:rPr>
      </w:pPr>
      <w:r w:rsidRPr="002E0072">
        <w:rPr>
          <w:lang w:val="es-ES_tradnl"/>
        </w:rPr>
        <w:t>4</w:t>
      </w:r>
      <w:r w:rsidR="00CF7DE7" w:rsidRPr="002E0072">
        <w:rPr>
          <w:lang w:val="es-ES_tradnl"/>
        </w:rPr>
        <w:t>.</w:t>
      </w:r>
      <w:r w:rsidR="00E162F0" w:rsidRPr="002E0072">
        <w:rPr>
          <w:lang w:val="es-ES_tradnl"/>
        </w:rPr>
        <w:t>4</w:t>
      </w:r>
      <w:r w:rsidR="00CF7DE7" w:rsidRPr="002E0072">
        <w:rPr>
          <w:lang w:val="es-ES_tradnl"/>
        </w:rPr>
        <w:tab/>
      </w:r>
      <w:r w:rsidR="00D20A08" w:rsidRPr="002E0072">
        <w:rPr>
          <w:lang w:val="es-ES_tradnl"/>
        </w:rPr>
        <w:t xml:space="preserve">Actualización del formato </w:t>
      </w:r>
      <w:r w:rsidR="002E34F1" w:rsidRPr="002E0072">
        <w:rPr>
          <w:lang w:val="es-ES_tradnl"/>
        </w:rPr>
        <w:t>XML</w:t>
      </w:r>
      <w:r w:rsidR="00D20A08" w:rsidRPr="002E0072">
        <w:rPr>
          <w:lang w:val="es-ES_tradnl"/>
        </w:rPr>
        <w:t xml:space="preserve"> para la presentación de datos de la máscara DFP/PIRE </w:t>
      </w:r>
    </w:p>
    <w:p w:rsidR="00D20A08" w:rsidRPr="002E0072" w:rsidRDefault="00D20A08" w:rsidP="00D20A08">
      <w:pPr>
        <w:rPr>
          <w:lang w:val="es-ES_tradnl"/>
        </w:rPr>
      </w:pPr>
      <w:r w:rsidRPr="002E0072">
        <w:rPr>
          <w:lang w:val="es-ES_tradnl"/>
        </w:rPr>
        <w:t>Para describir un sistema no geoestacionario y examinarlo con arreglo al Artículo 22 del RR y el Apéndice 5 se necesitan obligatoriamente tres máscaras, según el Apéndice 4, a saber: una máscara de densidad de flujo de potencia para el enlace descendente (A.14.c), una máscara de potencia isótropa radiada equivalente para el enlace ascendente (A.14.b) y una tercera para el enlace entre satélites (A.14.a).</w:t>
      </w:r>
    </w:p>
    <w:p w:rsidR="00CD698F" w:rsidRPr="002E0072" w:rsidRDefault="00CD698F" w:rsidP="00D83A95">
      <w:pPr>
        <w:rPr>
          <w:lang w:val="es-ES_tradnl"/>
        </w:rPr>
      </w:pPr>
      <w:r w:rsidRPr="002E0072">
        <w:rPr>
          <w:lang w:val="es-ES_tradnl"/>
        </w:rPr>
        <w:t>A raíz de la actualización de la Recomendaci</w:t>
      </w:r>
      <w:r w:rsidR="00B950E7" w:rsidRPr="002E0072">
        <w:rPr>
          <w:lang w:val="es-ES_tradnl"/>
        </w:rPr>
        <w:t>ón UIT-R S.</w:t>
      </w:r>
      <w:r w:rsidRPr="002E0072">
        <w:rPr>
          <w:lang w:val="es-ES_tradnl"/>
        </w:rPr>
        <w:t>1503-2, la Oficina actualizó el formato XML que se utiliza para la presentación de los datos de las máscaras en XML. La def</w:t>
      </w:r>
      <w:r w:rsidR="004447C7">
        <w:rPr>
          <w:lang w:val="es-ES_tradnl"/>
        </w:rPr>
        <w:t>i</w:t>
      </w:r>
      <w:r w:rsidRPr="002E0072">
        <w:rPr>
          <w:lang w:val="es-ES_tradnl"/>
        </w:rPr>
        <w:t>nición detallada de estas máscaras, la descripción de su generación y la metodología de su cálculo se presentan en la Rec</w:t>
      </w:r>
      <w:r w:rsidR="00D83A95" w:rsidRPr="002E0072">
        <w:rPr>
          <w:lang w:val="es-ES_tradnl"/>
        </w:rPr>
        <w:t>. </w:t>
      </w:r>
      <w:r w:rsidRPr="002E0072">
        <w:rPr>
          <w:lang w:val="es-ES_tradnl"/>
        </w:rPr>
        <w:t>UIT-R S.1503-2</w:t>
      </w:r>
      <w:r w:rsidR="00E223A7" w:rsidRPr="002E0072">
        <w:rPr>
          <w:lang w:val="es-ES_tradnl"/>
        </w:rPr>
        <w:t>.</w:t>
      </w:r>
    </w:p>
    <w:p w:rsidR="002E34F1" w:rsidRPr="002E0072" w:rsidRDefault="00E223A7" w:rsidP="002E34F1">
      <w:pPr>
        <w:rPr>
          <w:lang w:val="es-ES_tradnl"/>
        </w:rPr>
      </w:pPr>
      <w:r w:rsidRPr="002E0072">
        <w:rPr>
          <w:lang w:val="es-ES_tradnl"/>
        </w:rPr>
        <w:t>La descripción del formato XML junto con algunos ejemplos puede consultarse en el siguiente enlace:</w:t>
      </w:r>
    </w:p>
    <w:p w:rsidR="002E34F1" w:rsidRPr="002E0072" w:rsidRDefault="00CC2B29" w:rsidP="002E34F1">
      <w:pPr>
        <w:jc w:val="center"/>
        <w:rPr>
          <w:lang w:val="es-ES_tradnl"/>
        </w:rPr>
      </w:pPr>
      <w:hyperlink r:id="rId13" w:history="1">
        <w:r w:rsidR="002E0072" w:rsidRPr="002E0072">
          <w:rPr>
            <w:rStyle w:val="Hyperlink"/>
            <w:lang w:val="es-ES_tradnl"/>
          </w:rPr>
          <w:t>http://www.itu.int/es/ITU-R/space/Pages/XMLmaskDataFile.aspx</w:t>
        </w:r>
      </w:hyperlink>
    </w:p>
    <w:p w:rsidR="002E34F1" w:rsidRPr="002E0072" w:rsidRDefault="00E223A7" w:rsidP="002E34F1">
      <w:pPr>
        <w:rPr>
          <w:lang w:val="es-ES_tradnl"/>
        </w:rPr>
      </w:pPr>
      <w:r w:rsidRPr="002E0072">
        <w:rPr>
          <w:lang w:val="es-ES_tradnl"/>
        </w:rPr>
        <w:t>La modificación más importante es la introducción del elemento latitud en las máscaras</w:t>
      </w:r>
      <w:r w:rsidR="00C66DE1" w:rsidRPr="002E0072">
        <w:rPr>
          <w:lang w:val="es-ES_tradnl"/>
        </w:rPr>
        <w:t xml:space="preserve"> de la</w:t>
      </w:r>
      <w:r w:rsidRPr="002E0072">
        <w:rPr>
          <w:lang w:val="es-ES_tradnl"/>
        </w:rPr>
        <w:t xml:space="preserve"> PIRE.</w:t>
      </w:r>
    </w:p>
    <w:p w:rsidR="00CF7DE7" w:rsidRPr="002E0072" w:rsidRDefault="0033065C" w:rsidP="00E223A7">
      <w:pPr>
        <w:pStyle w:val="Heading1"/>
        <w:rPr>
          <w:lang w:val="es-ES_tradnl"/>
        </w:rPr>
      </w:pPr>
      <w:r w:rsidRPr="002E0072">
        <w:rPr>
          <w:lang w:val="es-ES_tradnl"/>
        </w:rPr>
        <w:t>5</w:t>
      </w:r>
      <w:r w:rsidR="00CF7DE7" w:rsidRPr="002E0072">
        <w:rPr>
          <w:lang w:val="es-ES_tradnl"/>
        </w:rPr>
        <w:tab/>
      </w:r>
      <w:r w:rsidR="00E223A7" w:rsidRPr="002E0072">
        <w:rPr>
          <w:lang w:val="es-ES_tradnl"/>
        </w:rPr>
        <w:t>Asuntos que deben seguir examinándose</w:t>
      </w:r>
    </w:p>
    <w:p w:rsidR="00601C10" w:rsidRPr="002E0072" w:rsidRDefault="0033065C" w:rsidP="00E223A7">
      <w:pPr>
        <w:pStyle w:val="Heading2"/>
        <w:rPr>
          <w:lang w:val="es-ES_tradnl"/>
        </w:rPr>
      </w:pPr>
      <w:r w:rsidRPr="002E0072">
        <w:rPr>
          <w:lang w:val="es-ES_tradnl"/>
        </w:rPr>
        <w:t>5</w:t>
      </w:r>
      <w:r w:rsidR="00CF7DE7" w:rsidRPr="002E0072">
        <w:rPr>
          <w:lang w:val="es-ES_tradnl"/>
        </w:rPr>
        <w:t>.</w:t>
      </w:r>
      <w:r w:rsidRPr="002E0072">
        <w:rPr>
          <w:lang w:val="es-ES_tradnl"/>
        </w:rPr>
        <w:t>1</w:t>
      </w:r>
      <w:r w:rsidR="00CF7DE7" w:rsidRPr="002E0072">
        <w:rPr>
          <w:lang w:val="es-ES_tradnl"/>
        </w:rPr>
        <w:tab/>
      </w:r>
      <w:r w:rsidR="002E0072" w:rsidRPr="002E0072">
        <w:rPr>
          <w:lang w:val="es-ES_tradnl"/>
        </w:rPr>
        <w:t>Tiempo de cálculo</w:t>
      </w:r>
    </w:p>
    <w:p w:rsidR="00E223A7" w:rsidRPr="002E0072" w:rsidRDefault="00E223A7" w:rsidP="00F82333">
      <w:pPr>
        <w:rPr>
          <w:lang w:val="es-ES_tradnl"/>
        </w:rPr>
      </w:pPr>
      <w:r w:rsidRPr="002E0072">
        <w:rPr>
          <w:lang w:val="es-ES_tradnl"/>
        </w:rPr>
        <w:t>Para las estaciones terrenas de gran tamaño con diámetros de antena superiores a 5 metros, el tiempo de cálculo puede superar varios días. Dado que el examen en virtud del Artículo 22 debe realizarse para todos los diámetros de antena, el tiempo total de cálculo puede prolongarse hasta una semana.</w:t>
      </w:r>
    </w:p>
    <w:p w:rsidR="00E223A7" w:rsidRPr="002E0072" w:rsidRDefault="00E223A7" w:rsidP="00C83A11">
      <w:pPr>
        <w:rPr>
          <w:lang w:val="es-ES_tradnl"/>
        </w:rPr>
      </w:pPr>
      <w:r w:rsidRPr="002E0072">
        <w:rPr>
          <w:lang w:val="es-ES_tradnl"/>
        </w:rPr>
        <w:t>Si consideramos las recientes notificaciones de sistemas de satélites del SFS no OSG con un gran número de satélites, de has</w:t>
      </w:r>
      <w:r w:rsidR="008E6622" w:rsidRPr="002E0072">
        <w:rPr>
          <w:lang w:val="es-ES_tradnl"/>
        </w:rPr>
        <w:t>t</w:t>
      </w:r>
      <w:r w:rsidRPr="002E0072">
        <w:rPr>
          <w:lang w:val="es-ES_tradnl"/>
        </w:rPr>
        <w:t>a varios miles, el tiempo de cálculo podrían aumentar considerablemente.</w:t>
      </w:r>
    </w:p>
    <w:p w:rsidR="00E223A7" w:rsidRPr="002E0072" w:rsidRDefault="00E223A7" w:rsidP="00F82333">
      <w:pPr>
        <w:rPr>
          <w:lang w:val="es-ES_tradnl"/>
        </w:rPr>
      </w:pPr>
      <w:r w:rsidRPr="002E0072">
        <w:rPr>
          <w:lang w:val="es-ES_tradnl"/>
        </w:rPr>
        <w:t>Actualmente, los desarrolladores de software están estudiando la forma de optimizar los algoritmos para reducir el tiempo de cálculo.</w:t>
      </w:r>
    </w:p>
    <w:p w:rsidR="00E223A7" w:rsidRPr="002E0072" w:rsidRDefault="00E223A7" w:rsidP="00E223A7">
      <w:pPr>
        <w:rPr>
          <w:lang w:val="es-ES_tradnl"/>
        </w:rPr>
      </w:pPr>
      <w:r w:rsidRPr="002E0072">
        <w:rPr>
          <w:lang w:val="es-ES_tradnl"/>
        </w:rPr>
        <w:t xml:space="preserve">La potencia de procesamiento es otro factor importante que estudia la Oficina, y existe la posibilidad de que se adquieran servidores más potentes o se recurra a la computación en la nube. </w:t>
      </w:r>
    </w:p>
    <w:p w:rsidR="00E223A7" w:rsidRPr="002E0072" w:rsidRDefault="00E223A7" w:rsidP="00AA3CE4">
      <w:pPr>
        <w:rPr>
          <w:lang w:val="es-ES_tradnl"/>
        </w:rPr>
      </w:pPr>
      <w:r w:rsidRPr="002E0072">
        <w:rPr>
          <w:lang w:val="es-ES_tradnl"/>
        </w:rPr>
        <w:t>Una solución para reducir de forma importante el tiempo de cálculo de la DFPE podría ser llevar a cabo la protección de las estaciones terrenas de gran tamaño con diámetros de antena superiores a 5</w:t>
      </w:r>
      <w:r w:rsidR="00AA3CE4" w:rsidRPr="002E0072">
        <w:rPr>
          <w:lang w:val="es-ES_tradnl"/>
        </w:rPr>
        <w:t> </w:t>
      </w:r>
      <w:r w:rsidRPr="002E0072">
        <w:rPr>
          <w:lang w:val="es-ES_tradnl"/>
        </w:rPr>
        <w:t>metros en la etapa de coordinación de dichas E</w:t>
      </w:r>
      <w:r w:rsidR="00FE7B7A">
        <w:rPr>
          <w:lang w:val="es-ES_tradnl"/>
        </w:rPr>
        <w:t>/</w:t>
      </w:r>
      <w:r w:rsidRPr="002E0072">
        <w:rPr>
          <w:lang w:val="es-ES_tradnl"/>
        </w:rPr>
        <w:t xml:space="preserve">S una vez conocidos sus emplazamientos específicos. </w:t>
      </w:r>
    </w:p>
    <w:p w:rsidR="000F4C99" w:rsidRPr="002E0072" w:rsidRDefault="0033065C" w:rsidP="00E223A7">
      <w:pPr>
        <w:pStyle w:val="Heading2"/>
        <w:rPr>
          <w:lang w:val="es-ES_tradnl"/>
        </w:rPr>
      </w:pPr>
      <w:r w:rsidRPr="002E0072">
        <w:rPr>
          <w:lang w:val="es-ES_tradnl"/>
        </w:rPr>
        <w:lastRenderedPageBreak/>
        <w:t>5</w:t>
      </w:r>
      <w:r w:rsidR="005A0F2C" w:rsidRPr="002E0072">
        <w:rPr>
          <w:lang w:val="es-ES_tradnl"/>
        </w:rPr>
        <w:t>.</w:t>
      </w:r>
      <w:r w:rsidRPr="002E0072">
        <w:rPr>
          <w:lang w:val="es-ES_tradnl"/>
        </w:rPr>
        <w:t>2</w:t>
      </w:r>
      <w:r w:rsidR="005A0F2C" w:rsidRPr="002E0072">
        <w:rPr>
          <w:lang w:val="es-ES_tradnl"/>
        </w:rPr>
        <w:tab/>
      </w:r>
      <w:r w:rsidR="00E223A7" w:rsidRPr="002E0072">
        <w:rPr>
          <w:lang w:val="es-ES_tradnl"/>
        </w:rPr>
        <w:t xml:space="preserve">Datos de entrada necesarios para la validación de la DFPE </w:t>
      </w:r>
    </w:p>
    <w:p w:rsidR="00E223A7" w:rsidRPr="002E0072" w:rsidRDefault="00E223A7" w:rsidP="00E223A7">
      <w:pPr>
        <w:rPr>
          <w:lang w:val="es-ES_tradnl"/>
        </w:rPr>
      </w:pPr>
      <w:r w:rsidRPr="002E0072">
        <w:rPr>
          <w:lang w:val="es-ES_tradnl"/>
        </w:rPr>
        <w:t xml:space="preserve">Al examinar las notificaciones de sistemas de satélites del SFS no OSG presentadas por las administraciones, la Oficina determinó </w:t>
      </w:r>
      <w:r w:rsidR="005B1835" w:rsidRPr="002E0072">
        <w:rPr>
          <w:lang w:val="es-ES_tradnl"/>
        </w:rPr>
        <w:t>que en muchos casos faltaba información del Apéndice 4 para completar el examen de la DFPE.</w:t>
      </w:r>
    </w:p>
    <w:p w:rsidR="00BC5FAD" w:rsidRPr="002E0072" w:rsidRDefault="005B1835" w:rsidP="00E24958">
      <w:pPr>
        <w:rPr>
          <w:lang w:val="es-ES_tradnl"/>
        </w:rPr>
      </w:pPr>
      <w:r w:rsidRPr="002E0072">
        <w:rPr>
          <w:lang w:val="es-ES_tradnl"/>
        </w:rPr>
        <w:t>En el cuadro siguiente se presenta una relación de los elementos que faltan o que se han definido incorrectamente:</w:t>
      </w:r>
    </w:p>
    <w:p w:rsidR="00BC5FAD" w:rsidRPr="002E0072" w:rsidRDefault="005B1835" w:rsidP="002E0072">
      <w:pPr>
        <w:pStyle w:val="TableNo"/>
        <w:rPr>
          <w:b/>
          <w:bCs/>
          <w:lang w:val="es-ES_tradnl"/>
        </w:rPr>
      </w:pPr>
      <w:r w:rsidRPr="002E0072">
        <w:rPr>
          <w:lang w:val="es-ES_tradnl"/>
        </w:rPr>
        <w:t>Cuadro</w:t>
      </w:r>
      <w:r w:rsidR="009C4445" w:rsidRPr="002E0072">
        <w:rPr>
          <w:lang w:val="es-ES_tradnl"/>
        </w:rPr>
        <w:t xml:space="preserve"> </w:t>
      </w:r>
      <w:r w:rsidR="00C83A11" w:rsidRPr="002E0072">
        <w:rPr>
          <w:lang w:val="es-ES_tradnl"/>
        </w:rPr>
        <w:t>2</w:t>
      </w:r>
      <w:r w:rsidR="00C83A11" w:rsidRPr="002E0072">
        <w:rPr>
          <w:lang w:val="es-ES_tradnl"/>
        </w:rPr>
        <w:br/>
      </w:r>
    </w:p>
    <w:tbl>
      <w:tblPr>
        <w:tblStyle w:val="TableGrid"/>
        <w:tblW w:w="0" w:type="auto"/>
        <w:tblLook w:val="04A0" w:firstRow="1" w:lastRow="0" w:firstColumn="1" w:lastColumn="0" w:noHBand="0" w:noVBand="1"/>
      </w:tblPr>
      <w:tblGrid>
        <w:gridCol w:w="1657"/>
        <w:gridCol w:w="4887"/>
        <w:gridCol w:w="3085"/>
      </w:tblGrid>
      <w:tr w:rsidR="00BF0EEC" w:rsidRPr="002E0072" w:rsidTr="00BE5ECE">
        <w:trPr>
          <w:tblHeader/>
        </w:trPr>
        <w:tc>
          <w:tcPr>
            <w:tcW w:w="1668" w:type="dxa"/>
            <w:vAlign w:val="center"/>
          </w:tcPr>
          <w:p w:rsidR="00BC5FAD" w:rsidRPr="002E0072" w:rsidRDefault="00BF0EEC" w:rsidP="002E0072">
            <w:pPr>
              <w:pStyle w:val="Tablehead"/>
              <w:rPr>
                <w:lang w:val="es-ES_tradnl"/>
              </w:rPr>
            </w:pPr>
            <w:r w:rsidRPr="002E0072">
              <w:rPr>
                <w:lang w:val="es-ES_tradnl"/>
              </w:rPr>
              <w:t>Datos del Apéndice 4</w:t>
            </w:r>
          </w:p>
        </w:tc>
        <w:tc>
          <w:tcPr>
            <w:tcW w:w="4961" w:type="dxa"/>
            <w:vAlign w:val="center"/>
          </w:tcPr>
          <w:p w:rsidR="00BC5FAD" w:rsidRPr="002E0072" w:rsidRDefault="00BC5FAD" w:rsidP="002E0072">
            <w:pPr>
              <w:pStyle w:val="Tablehead"/>
              <w:rPr>
                <w:lang w:val="es-ES_tradnl"/>
              </w:rPr>
            </w:pPr>
            <w:r w:rsidRPr="002E0072">
              <w:rPr>
                <w:lang w:val="es-ES_tradnl"/>
              </w:rPr>
              <w:t>Descrip</w:t>
            </w:r>
            <w:r w:rsidR="005B1835" w:rsidRPr="002E0072">
              <w:rPr>
                <w:lang w:val="es-ES_tradnl"/>
              </w:rPr>
              <w:t>ción</w:t>
            </w:r>
          </w:p>
        </w:tc>
        <w:tc>
          <w:tcPr>
            <w:tcW w:w="3118" w:type="dxa"/>
            <w:vAlign w:val="center"/>
          </w:tcPr>
          <w:p w:rsidR="00BC5FAD" w:rsidRPr="002E0072" w:rsidRDefault="005B1835" w:rsidP="002E0072">
            <w:pPr>
              <w:pStyle w:val="Tablehead"/>
              <w:rPr>
                <w:lang w:val="es-ES_tradnl"/>
              </w:rPr>
            </w:pPr>
            <w:r w:rsidRPr="002E0072">
              <w:rPr>
                <w:lang w:val="es-ES_tradnl"/>
              </w:rPr>
              <w:t>Observaciones</w:t>
            </w:r>
          </w:p>
        </w:tc>
      </w:tr>
      <w:tr w:rsidR="00BF0EEC" w:rsidRPr="00194DB6" w:rsidTr="00FC4D74">
        <w:tc>
          <w:tcPr>
            <w:tcW w:w="1668" w:type="dxa"/>
          </w:tcPr>
          <w:p w:rsidR="00BC5FAD" w:rsidRPr="00194DB6" w:rsidRDefault="00BC5FAD" w:rsidP="002E0072">
            <w:pPr>
              <w:pStyle w:val="TableText0"/>
              <w:rPr>
                <w:lang w:val="en-US"/>
              </w:rPr>
            </w:pPr>
            <w:r w:rsidRPr="00194DB6">
              <w:rPr>
                <w:lang w:val="en-US"/>
              </w:rPr>
              <w:t>A.4.b.6.a</w:t>
            </w:r>
          </w:p>
          <w:p w:rsidR="00BC5FAD" w:rsidRPr="00194DB6" w:rsidRDefault="00BC5FAD" w:rsidP="002E0072">
            <w:pPr>
              <w:pStyle w:val="TableText0"/>
              <w:rPr>
                <w:lang w:val="en-US"/>
              </w:rPr>
            </w:pPr>
            <w:r w:rsidRPr="00194DB6">
              <w:rPr>
                <w:lang w:val="en-US"/>
              </w:rPr>
              <w:t>A.4.b.6.a.1</w:t>
            </w:r>
          </w:p>
          <w:p w:rsidR="00BC5FAD" w:rsidRPr="00194DB6" w:rsidRDefault="00BC5FAD" w:rsidP="002E0072">
            <w:pPr>
              <w:pStyle w:val="TableText0"/>
              <w:rPr>
                <w:lang w:val="en-US"/>
              </w:rPr>
            </w:pPr>
            <w:r w:rsidRPr="00194DB6">
              <w:rPr>
                <w:lang w:val="en-US"/>
              </w:rPr>
              <w:t>A.4.b.6.a.2</w:t>
            </w:r>
          </w:p>
          <w:p w:rsidR="00BC5FAD" w:rsidRPr="00194DB6" w:rsidRDefault="00BC5FAD" w:rsidP="002E0072">
            <w:pPr>
              <w:pStyle w:val="TableText0"/>
              <w:rPr>
                <w:lang w:val="en-US"/>
              </w:rPr>
            </w:pPr>
            <w:r w:rsidRPr="00194DB6">
              <w:rPr>
                <w:lang w:val="en-US"/>
              </w:rPr>
              <w:t>A.4.b.6.a.3</w:t>
            </w:r>
          </w:p>
        </w:tc>
        <w:tc>
          <w:tcPr>
            <w:tcW w:w="4961" w:type="dxa"/>
          </w:tcPr>
          <w:p w:rsidR="00BC5FAD" w:rsidRPr="002E0072" w:rsidRDefault="00DE274F" w:rsidP="002E0072">
            <w:pPr>
              <w:pStyle w:val="TableText0"/>
              <w:rPr>
                <w:szCs w:val="24"/>
                <w:lang w:val="es-ES_tradnl"/>
              </w:rPr>
            </w:pPr>
            <w:r w:rsidRPr="002E0072">
              <w:rPr>
                <w:szCs w:val="24"/>
                <w:lang w:val="es-ES_tradnl"/>
              </w:rPr>
              <w:t>M</w:t>
            </w:r>
            <w:r w:rsidR="002F42B6" w:rsidRPr="002E0072">
              <w:rPr>
                <w:szCs w:val="24"/>
                <w:lang w:val="es-ES_tradnl"/>
              </w:rPr>
              <w:t>áximo número de satélites no geoestacionarios que transmiten con frecuencias superpuestas a una determinada ubicación</w:t>
            </w:r>
            <w:r w:rsidR="00BC5FAD" w:rsidRPr="002E0072">
              <w:rPr>
                <w:szCs w:val="24"/>
                <w:lang w:val="es-ES_tradnl"/>
              </w:rPr>
              <w:t>:</w:t>
            </w:r>
          </w:p>
          <w:p w:rsidR="00BC5FAD" w:rsidRPr="002E0072" w:rsidRDefault="002E0072" w:rsidP="002E0072">
            <w:pPr>
              <w:pStyle w:val="TableText0"/>
              <w:rPr>
                <w:lang w:val="es-ES_tradnl"/>
              </w:rPr>
            </w:pPr>
            <w:r w:rsidRPr="002E0072">
              <w:rPr>
                <w:lang w:val="es-ES_tradnl"/>
              </w:rPr>
              <w:t>–</w:t>
            </w:r>
            <w:r w:rsidRPr="002E0072">
              <w:rPr>
                <w:lang w:val="es-ES_tradnl"/>
              </w:rPr>
              <w:tab/>
            </w:r>
            <w:r w:rsidR="002F42B6" w:rsidRPr="002E0072">
              <w:rPr>
                <w:lang w:val="es-ES_tradnl"/>
              </w:rPr>
              <w:t>principio de la gama de latitudes asociada</w:t>
            </w:r>
          </w:p>
          <w:p w:rsidR="00BC5FAD" w:rsidRPr="002E0072" w:rsidRDefault="002E0072" w:rsidP="002E0072">
            <w:pPr>
              <w:pStyle w:val="TableText0"/>
              <w:rPr>
                <w:lang w:val="es-ES_tradnl"/>
              </w:rPr>
            </w:pPr>
            <w:r w:rsidRPr="002E0072">
              <w:rPr>
                <w:lang w:val="es-ES_tradnl"/>
              </w:rPr>
              <w:t>–</w:t>
            </w:r>
            <w:r w:rsidRPr="002E0072">
              <w:rPr>
                <w:lang w:val="es-ES_tradnl"/>
              </w:rPr>
              <w:tab/>
            </w:r>
            <w:r w:rsidR="002F42B6" w:rsidRPr="002E0072">
              <w:rPr>
                <w:lang w:val="es-ES_tradnl"/>
              </w:rPr>
              <w:t>final de la gama de latitudes asociada</w:t>
            </w:r>
          </w:p>
        </w:tc>
        <w:tc>
          <w:tcPr>
            <w:tcW w:w="3118" w:type="dxa"/>
          </w:tcPr>
          <w:p w:rsidR="00BC5FAD" w:rsidRPr="002E0072" w:rsidRDefault="005B1835" w:rsidP="002E0072">
            <w:pPr>
              <w:pStyle w:val="TableText0"/>
              <w:rPr>
                <w:lang w:val="es-ES_tradnl"/>
              </w:rPr>
            </w:pPr>
            <w:r w:rsidRPr="002E0072">
              <w:rPr>
                <w:lang w:val="es-ES_tradnl"/>
              </w:rPr>
              <w:t xml:space="preserve">Información que podría presentarse en un cuadro separado. Deben contemplarse </w:t>
            </w:r>
            <w:r w:rsidR="00104C66">
              <w:rPr>
                <w:lang w:val="es-ES_tradnl"/>
              </w:rPr>
              <w:t xml:space="preserve">todas las gamas de latitud (de </w:t>
            </w:r>
            <w:r w:rsidR="00104C66">
              <w:rPr>
                <w:lang w:val="es-ES_tradnl"/>
              </w:rPr>
              <w:noBreakHyphen/>
            </w:r>
            <w:r w:rsidRPr="002E0072">
              <w:rPr>
                <w:lang w:val="es-ES_tradnl"/>
              </w:rPr>
              <w:t>90 a 90).</w:t>
            </w:r>
          </w:p>
        </w:tc>
      </w:tr>
      <w:tr w:rsidR="00BF0EEC" w:rsidRPr="00194DB6" w:rsidTr="00FC4D74">
        <w:tc>
          <w:tcPr>
            <w:tcW w:w="1668" w:type="dxa"/>
          </w:tcPr>
          <w:p w:rsidR="00BC5FAD" w:rsidRPr="002E0072" w:rsidRDefault="00BC5FAD" w:rsidP="002E0072">
            <w:pPr>
              <w:pStyle w:val="TableText0"/>
              <w:rPr>
                <w:lang w:val="es-ES_tradnl"/>
              </w:rPr>
            </w:pPr>
            <w:r w:rsidRPr="002E0072">
              <w:rPr>
                <w:lang w:val="es-ES_tradnl"/>
              </w:rPr>
              <w:t>A.4.b.7</w:t>
            </w:r>
            <w:r w:rsidR="00973A7F" w:rsidRPr="002E0072">
              <w:rPr>
                <w:lang w:val="es-ES_tradnl"/>
              </w:rPr>
              <w:t>.b</w:t>
            </w:r>
          </w:p>
        </w:tc>
        <w:tc>
          <w:tcPr>
            <w:tcW w:w="4961" w:type="dxa"/>
          </w:tcPr>
          <w:p w:rsidR="00BC5FAD" w:rsidRPr="002E0072" w:rsidRDefault="00DE274F" w:rsidP="002E0072">
            <w:pPr>
              <w:pStyle w:val="TableText0"/>
              <w:rPr>
                <w:lang w:val="es-ES_tradnl"/>
              </w:rPr>
            </w:pPr>
            <w:r w:rsidRPr="002E0072">
              <w:rPr>
                <w:lang w:val="es-ES_tradnl"/>
              </w:rPr>
              <w:t>Número medio de estaciones terrenas asociadas con frecuencias superpuestas por kilómetro cuadrado dentro de una célula</w:t>
            </w:r>
          </w:p>
        </w:tc>
        <w:tc>
          <w:tcPr>
            <w:tcW w:w="3118" w:type="dxa"/>
          </w:tcPr>
          <w:p w:rsidR="00973A7F" w:rsidRPr="002E0072" w:rsidRDefault="005B1835" w:rsidP="002E0072">
            <w:pPr>
              <w:pStyle w:val="TableText0"/>
              <w:rPr>
                <w:lang w:val="es-ES_tradnl"/>
              </w:rPr>
            </w:pPr>
            <w:r w:rsidRPr="002E0072">
              <w:rPr>
                <w:lang w:val="es-ES_tradnl"/>
              </w:rPr>
              <w:t>En el caso de que se notifique, se suele definir como un número entero, lo que normalmente no debe ocurrir.</w:t>
            </w:r>
          </w:p>
          <w:p w:rsidR="005B1835" w:rsidRPr="002E0072" w:rsidRDefault="005B1835" w:rsidP="002E0072">
            <w:pPr>
              <w:pStyle w:val="TableText0"/>
              <w:rPr>
                <w:lang w:val="es-ES_tradnl"/>
              </w:rPr>
            </w:pPr>
            <w:r w:rsidRPr="002E0072">
              <w:rPr>
                <w:lang w:val="es-ES_tradnl"/>
              </w:rPr>
              <w:t xml:space="preserve">Véase la sección 5.2.5 de la Rec. </w:t>
            </w:r>
            <w:r w:rsidR="00AA3CE4" w:rsidRPr="002E0072">
              <w:rPr>
                <w:lang w:val="es-ES_tradnl"/>
              </w:rPr>
              <w:t>UIT-R S.</w:t>
            </w:r>
            <w:r w:rsidRPr="002E0072">
              <w:rPr>
                <w:lang w:val="es-ES_tradnl"/>
              </w:rPr>
              <w:t>1503-2 sobre orientaciones para la definición.</w:t>
            </w:r>
          </w:p>
        </w:tc>
      </w:tr>
      <w:tr w:rsidR="00BF0EEC" w:rsidRPr="00194DB6" w:rsidTr="00FC4D74">
        <w:tc>
          <w:tcPr>
            <w:tcW w:w="1668" w:type="dxa"/>
          </w:tcPr>
          <w:p w:rsidR="00BC5FAD" w:rsidRPr="002E0072" w:rsidRDefault="00BC5FAD" w:rsidP="002E0072">
            <w:pPr>
              <w:pStyle w:val="TableText0"/>
              <w:rPr>
                <w:lang w:val="es-ES_tradnl"/>
              </w:rPr>
            </w:pPr>
            <w:r w:rsidRPr="002E0072">
              <w:rPr>
                <w:lang w:val="es-ES_tradnl"/>
              </w:rPr>
              <w:t>A.4.b.7.c</w:t>
            </w:r>
          </w:p>
        </w:tc>
        <w:tc>
          <w:tcPr>
            <w:tcW w:w="4961" w:type="dxa"/>
          </w:tcPr>
          <w:p w:rsidR="00BC5FAD" w:rsidRPr="002E0072" w:rsidRDefault="00DE274F" w:rsidP="002E0072">
            <w:pPr>
              <w:pStyle w:val="TableText0"/>
              <w:rPr>
                <w:lang w:val="es-ES_tradnl"/>
              </w:rPr>
            </w:pPr>
            <w:r w:rsidRPr="002E0072">
              <w:rPr>
                <w:lang w:val="es-ES_tradnl"/>
              </w:rPr>
              <w:t>Distancia promedio, en kilómetros, entre células cofrecuencia</w:t>
            </w:r>
          </w:p>
        </w:tc>
        <w:tc>
          <w:tcPr>
            <w:tcW w:w="3118" w:type="dxa"/>
          </w:tcPr>
          <w:p w:rsidR="00BC5FAD" w:rsidRPr="002E0072" w:rsidRDefault="005B1835" w:rsidP="002E0072">
            <w:pPr>
              <w:pStyle w:val="TableText0"/>
              <w:rPr>
                <w:lang w:val="es-ES_tradnl"/>
              </w:rPr>
            </w:pPr>
            <w:r w:rsidRPr="002E0072">
              <w:rPr>
                <w:lang w:val="es-ES_tradnl"/>
              </w:rPr>
              <w:t xml:space="preserve">Véase la sección 5.2.5 de la Rec. </w:t>
            </w:r>
            <w:r w:rsidR="00AA3CE4" w:rsidRPr="002E0072">
              <w:rPr>
                <w:lang w:val="es-ES_tradnl"/>
              </w:rPr>
              <w:t>UIT-R S.</w:t>
            </w:r>
            <w:r w:rsidRPr="002E0072">
              <w:rPr>
                <w:lang w:val="es-ES_tradnl"/>
              </w:rPr>
              <w:t>1503-2 sobre orientaciones para la definición</w:t>
            </w:r>
            <w:r w:rsidR="00973A7F" w:rsidRPr="002E0072">
              <w:rPr>
                <w:lang w:val="es-ES_tradnl"/>
              </w:rPr>
              <w:t>.</w:t>
            </w:r>
          </w:p>
        </w:tc>
      </w:tr>
      <w:tr w:rsidR="00BF0EEC" w:rsidRPr="00194DB6" w:rsidTr="00FC4D74">
        <w:tc>
          <w:tcPr>
            <w:tcW w:w="1668" w:type="dxa"/>
          </w:tcPr>
          <w:p w:rsidR="00973A7F" w:rsidRPr="002E0072" w:rsidRDefault="00973A7F" w:rsidP="002E0072">
            <w:pPr>
              <w:pStyle w:val="TableText0"/>
              <w:rPr>
                <w:lang w:val="es-ES_tradnl"/>
              </w:rPr>
            </w:pPr>
            <w:r w:rsidRPr="002E0072">
              <w:rPr>
                <w:lang w:val="es-ES_tradnl"/>
              </w:rPr>
              <w:t>A.4.b.7.d.1</w:t>
            </w:r>
          </w:p>
        </w:tc>
        <w:tc>
          <w:tcPr>
            <w:tcW w:w="4961" w:type="dxa"/>
          </w:tcPr>
          <w:p w:rsidR="00DE274F" w:rsidRPr="002E0072" w:rsidRDefault="00DE274F" w:rsidP="002E0072">
            <w:pPr>
              <w:pStyle w:val="TableText0"/>
              <w:rPr>
                <w:lang w:val="es-ES_tradnl"/>
              </w:rPr>
            </w:pPr>
            <w:r w:rsidRPr="002E0072">
              <w:rPr>
                <w:lang w:val="es-ES_tradnl"/>
              </w:rPr>
              <w:t xml:space="preserve">Bandera que indica el tipo de zona: si el ángulo de la zona de exclusión es el ángulo alfa [Y] o el ángulo X [N] </w:t>
            </w:r>
          </w:p>
          <w:p w:rsidR="00DE274F" w:rsidRPr="002E0072" w:rsidRDefault="00DE274F" w:rsidP="002E0072">
            <w:pPr>
              <w:pStyle w:val="TableText0"/>
              <w:rPr>
                <w:lang w:val="es-ES_tradnl"/>
              </w:rPr>
            </w:pPr>
          </w:p>
        </w:tc>
        <w:tc>
          <w:tcPr>
            <w:tcW w:w="3118" w:type="dxa"/>
          </w:tcPr>
          <w:p w:rsidR="005B1835" w:rsidRPr="002E0072" w:rsidRDefault="005B1835" w:rsidP="002E0072">
            <w:pPr>
              <w:pStyle w:val="TableText0"/>
              <w:rPr>
                <w:lang w:val="es-ES_tradnl"/>
              </w:rPr>
            </w:pPr>
            <w:r w:rsidRPr="002E0072">
              <w:rPr>
                <w:lang w:val="es-ES_tradnl"/>
              </w:rPr>
              <w:t>La descripción del Apéndice</w:t>
            </w:r>
            <w:r w:rsidR="00471EDE" w:rsidRPr="002E0072">
              <w:rPr>
                <w:lang w:val="es-ES_tradnl"/>
              </w:rPr>
              <w:t> </w:t>
            </w:r>
            <w:r w:rsidRPr="002E0072">
              <w:rPr>
                <w:lang w:val="es-ES_tradnl"/>
              </w:rPr>
              <w:t>4 da a entender que podría haber otro método de</w:t>
            </w:r>
            <w:r w:rsidR="002E0072" w:rsidRPr="002E0072">
              <w:rPr>
                <w:lang w:val="es-ES_tradnl"/>
              </w:rPr>
              <w:t xml:space="preserve"> establecer la zona de exclusión</w:t>
            </w:r>
            <w:r w:rsidRPr="002E0072">
              <w:rPr>
                <w:lang w:val="es-ES_tradnl"/>
              </w:rPr>
              <w:t>. Sin embargo, la Rec. UIT-R S.1503-2 no contiene ninguna</w:t>
            </w:r>
            <w:r w:rsidR="00471EDE" w:rsidRPr="002E0072">
              <w:rPr>
                <w:lang w:val="es-ES_tradnl"/>
              </w:rPr>
              <w:t xml:space="preserve"> </w:t>
            </w:r>
            <w:r w:rsidRPr="002E0072">
              <w:rPr>
                <w:lang w:val="es-ES_tradnl"/>
              </w:rPr>
              <w:t>metodología de implementación de otros métodos. Por consiguiente, se propone la utilización de ángulo alfa/X = 0.</w:t>
            </w:r>
          </w:p>
        </w:tc>
      </w:tr>
      <w:tr w:rsidR="00BF0EEC" w:rsidRPr="002E0072" w:rsidTr="00FC4D74">
        <w:tc>
          <w:tcPr>
            <w:tcW w:w="1668" w:type="dxa"/>
          </w:tcPr>
          <w:p w:rsidR="00973A7F" w:rsidRPr="002E0072" w:rsidRDefault="00973A7F" w:rsidP="002E0072">
            <w:pPr>
              <w:pStyle w:val="TableText0"/>
              <w:rPr>
                <w:lang w:val="es-ES_tradnl"/>
              </w:rPr>
            </w:pPr>
            <w:r w:rsidRPr="002E0072">
              <w:rPr>
                <w:lang w:val="es-ES_tradnl"/>
              </w:rPr>
              <w:t>A.4.b.7.d.2</w:t>
            </w:r>
          </w:p>
        </w:tc>
        <w:tc>
          <w:tcPr>
            <w:tcW w:w="4961" w:type="dxa"/>
          </w:tcPr>
          <w:p w:rsidR="00973A7F" w:rsidRPr="002E0072" w:rsidRDefault="00DE274F" w:rsidP="002E0072">
            <w:pPr>
              <w:pStyle w:val="TableText0"/>
              <w:rPr>
                <w:lang w:val="es-ES_tradnl"/>
              </w:rPr>
            </w:pPr>
            <w:r w:rsidRPr="002E0072">
              <w:rPr>
                <w:lang w:val="es-ES_tradnl"/>
              </w:rPr>
              <w:t>Anchura de la zona de exclusión en grados</w:t>
            </w:r>
          </w:p>
        </w:tc>
        <w:tc>
          <w:tcPr>
            <w:tcW w:w="3118" w:type="dxa"/>
          </w:tcPr>
          <w:p w:rsidR="00973A7F" w:rsidRPr="002E0072" w:rsidRDefault="005B1835" w:rsidP="002E0072">
            <w:pPr>
              <w:pStyle w:val="TableText0"/>
              <w:rPr>
                <w:lang w:val="es-ES_tradnl"/>
              </w:rPr>
            </w:pPr>
            <w:r w:rsidRPr="002E0072">
              <w:rPr>
                <w:lang w:val="es-ES_tradnl"/>
              </w:rPr>
              <w:t xml:space="preserve">Véase </w:t>
            </w:r>
            <w:r w:rsidR="00973A7F" w:rsidRPr="002E0072">
              <w:rPr>
                <w:lang w:val="es-ES_tradnl"/>
              </w:rPr>
              <w:t>A.4.b.7.d.1</w:t>
            </w:r>
          </w:p>
        </w:tc>
      </w:tr>
      <w:tr w:rsidR="00BF0EEC" w:rsidRPr="00194DB6" w:rsidTr="00FC4D74">
        <w:tc>
          <w:tcPr>
            <w:tcW w:w="1668" w:type="dxa"/>
          </w:tcPr>
          <w:p w:rsidR="00BC5FAD" w:rsidRPr="002E0072" w:rsidRDefault="00BC5FAD" w:rsidP="002E0072">
            <w:pPr>
              <w:pStyle w:val="TableText0"/>
              <w:rPr>
                <w:lang w:val="es-ES_tradnl"/>
              </w:rPr>
            </w:pPr>
            <w:r w:rsidRPr="002E0072">
              <w:rPr>
                <w:lang w:val="es-ES_tradnl"/>
              </w:rPr>
              <w:t>A.14.a</w:t>
            </w:r>
          </w:p>
        </w:tc>
        <w:tc>
          <w:tcPr>
            <w:tcW w:w="4961" w:type="dxa"/>
          </w:tcPr>
          <w:p w:rsidR="00BC5FAD" w:rsidRPr="002E0072" w:rsidRDefault="00DE274F" w:rsidP="002E0072">
            <w:pPr>
              <w:pStyle w:val="TableText0"/>
              <w:rPr>
                <w:lang w:val="es-ES_tradnl"/>
              </w:rPr>
            </w:pPr>
            <w:r w:rsidRPr="002E0072">
              <w:rPr>
                <w:lang w:val="es-ES_tradnl"/>
              </w:rPr>
              <w:t>Máscaras de P.I.R.E. de la estación espacial no geoestacionaria</w:t>
            </w:r>
          </w:p>
        </w:tc>
        <w:tc>
          <w:tcPr>
            <w:tcW w:w="3118" w:type="dxa"/>
          </w:tcPr>
          <w:p w:rsidR="00BC5FAD" w:rsidRPr="002E0072" w:rsidRDefault="00D90FC3" w:rsidP="002E0072">
            <w:pPr>
              <w:pStyle w:val="TableText0"/>
              <w:rPr>
                <w:lang w:val="es-ES_tradnl"/>
              </w:rPr>
            </w:pPr>
            <w:r w:rsidRPr="002E0072">
              <w:rPr>
                <w:lang w:val="es-ES_tradnl"/>
              </w:rPr>
              <w:t>Necesario para los haces de transmisión.</w:t>
            </w:r>
          </w:p>
          <w:p w:rsidR="00BC5FAD" w:rsidRPr="002E0072" w:rsidRDefault="00BC5FAD" w:rsidP="002E0072">
            <w:pPr>
              <w:pStyle w:val="TableText0"/>
              <w:rPr>
                <w:lang w:val="es-ES_tradnl"/>
              </w:rPr>
            </w:pPr>
          </w:p>
        </w:tc>
      </w:tr>
      <w:tr w:rsidR="00BF0EEC" w:rsidRPr="007E4BFD" w:rsidTr="00FC4D74">
        <w:tc>
          <w:tcPr>
            <w:tcW w:w="1668" w:type="dxa"/>
          </w:tcPr>
          <w:p w:rsidR="00BC5FAD" w:rsidRPr="002E0072" w:rsidRDefault="00BC5FAD" w:rsidP="002E0072">
            <w:pPr>
              <w:pStyle w:val="TableText0"/>
              <w:rPr>
                <w:lang w:val="es-ES_tradnl"/>
              </w:rPr>
            </w:pPr>
            <w:r w:rsidRPr="002E0072">
              <w:rPr>
                <w:lang w:val="es-ES_tradnl"/>
              </w:rPr>
              <w:t>A.14.b</w:t>
            </w:r>
          </w:p>
        </w:tc>
        <w:tc>
          <w:tcPr>
            <w:tcW w:w="4961" w:type="dxa"/>
          </w:tcPr>
          <w:p w:rsidR="00DE274F" w:rsidRPr="002E0072" w:rsidRDefault="00DE274F" w:rsidP="002E0072">
            <w:pPr>
              <w:pStyle w:val="TableText0"/>
              <w:rPr>
                <w:lang w:val="es-ES_tradnl"/>
              </w:rPr>
            </w:pPr>
            <w:r w:rsidRPr="002E0072">
              <w:rPr>
                <w:lang w:val="es-ES_tradnl"/>
              </w:rPr>
              <w:t>Máscaras de P.I.R.E de las estaciones terrenas</w:t>
            </w:r>
          </w:p>
          <w:p w:rsidR="00BC5FAD" w:rsidRPr="002E0072" w:rsidRDefault="00BC5FAD" w:rsidP="002E0072">
            <w:pPr>
              <w:pStyle w:val="TableText0"/>
              <w:rPr>
                <w:lang w:val="es-ES_tradnl"/>
              </w:rPr>
            </w:pPr>
          </w:p>
        </w:tc>
        <w:tc>
          <w:tcPr>
            <w:tcW w:w="3118" w:type="dxa"/>
          </w:tcPr>
          <w:p w:rsidR="00BC5FAD" w:rsidRPr="002E0072" w:rsidRDefault="00D90FC3" w:rsidP="002E0072">
            <w:pPr>
              <w:pStyle w:val="TableText0"/>
              <w:rPr>
                <w:lang w:val="es-ES_tradnl"/>
              </w:rPr>
            </w:pPr>
            <w:r w:rsidRPr="002E0072">
              <w:rPr>
                <w:lang w:val="es-ES_tradnl"/>
              </w:rPr>
              <w:t>Necesarias para las estaciones terrenas en los haces de recepción.</w:t>
            </w:r>
          </w:p>
        </w:tc>
      </w:tr>
      <w:tr w:rsidR="00BF0EEC" w:rsidRPr="007E4BFD" w:rsidTr="00FC4D74">
        <w:tc>
          <w:tcPr>
            <w:tcW w:w="1668" w:type="dxa"/>
          </w:tcPr>
          <w:p w:rsidR="00BC5FAD" w:rsidRPr="002E0072" w:rsidRDefault="00BC5FAD" w:rsidP="002E0072">
            <w:pPr>
              <w:pStyle w:val="TableText0"/>
              <w:rPr>
                <w:lang w:val="es-ES_tradnl"/>
              </w:rPr>
            </w:pPr>
            <w:r w:rsidRPr="002E0072">
              <w:rPr>
                <w:lang w:val="es-ES_tradnl"/>
              </w:rPr>
              <w:t>A.14.c</w:t>
            </w:r>
          </w:p>
        </w:tc>
        <w:tc>
          <w:tcPr>
            <w:tcW w:w="4961" w:type="dxa"/>
          </w:tcPr>
          <w:p w:rsidR="00DE274F" w:rsidRPr="002E0072" w:rsidRDefault="00DE274F" w:rsidP="002E0072">
            <w:pPr>
              <w:pStyle w:val="TableText0"/>
              <w:rPr>
                <w:lang w:val="es-ES_tradnl"/>
              </w:rPr>
            </w:pPr>
            <w:r w:rsidRPr="002E0072">
              <w:rPr>
                <w:lang w:val="es-ES_tradnl"/>
              </w:rPr>
              <w:t>Máscara de DFP producida por la estación espacial no geoestacionaria</w:t>
            </w:r>
          </w:p>
        </w:tc>
        <w:tc>
          <w:tcPr>
            <w:tcW w:w="3118" w:type="dxa"/>
          </w:tcPr>
          <w:p w:rsidR="00BC5FAD" w:rsidRPr="002E0072" w:rsidRDefault="00D90FC3" w:rsidP="002E0072">
            <w:pPr>
              <w:pStyle w:val="TableText0"/>
              <w:rPr>
                <w:lang w:val="es-ES_tradnl"/>
              </w:rPr>
            </w:pPr>
            <w:r w:rsidRPr="002E0072">
              <w:rPr>
                <w:lang w:val="es-ES_tradnl"/>
              </w:rPr>
              <w:t>Necesaria para las estaciones terrenas en los haces de recepción.</w:t>
            </w:r>
          </w:p>
        </w:tc>
      </w:tr>
      <w:tr w:rsidR="00BF0EEC" w:rsidRPr="007E4BFD" w:rsidTr="00FC4D74">
        <w:tc>
          <w:tcPr>
            <w:tcW w:w="1668" w:type="dxa"/>
          </w:tcPr>
          <w:p w:rsidR="00BC5FAD" w:rsidRPr="002E0072" w:rsidRDefault="00BC5FAD" w:rsidP="002E0072">
            <w:pPr>
              <w:pStyle w:val="TableText0"/>
              <w:rPr>
                <w:lang w:val="es-ES_tradnl"/>
              </w:rPr>
            </w:pPr>
            <w:r w:rsidRPr="002E0072">
              <w:rPr>
                <w:lang w:val="es-ES_tradnl"/>
              </w:rPr>
              <w:t>A.14.b.4</w:t>
            </w:r>
          </w:p>
        </w:tc>
        <w:tc>
          <w:tcPr>
            <w:tcW w:w="4961" w:type="dxa"/>
          </w:tcPr>
          <w:p w:rsidR="00DE274F" w:rsidRPr="002E0072" w:rsidRDefault="00DE274F" w:rsidP="002E0072">
            <w:pPr>
              <w:pStyle w:val="TableText0"/>
              <w:rPr>
                <w:lang w:val="es-ES_tradnl"/>
              </w:rPr>
            </w:pPr>
            <w:r w:rsidRPr="002E0072">
              <w:rPr>
                <w:lang w:val="es-ES_tradnl"/>
              </w:rPr>
              <w:t>Mínimo ángulo de elevación en el que una estación terrena asociada puede transmitir hacia un satélite no geoestacionario</w:t>
            </w:r>
          </w:p>
        </w:tc>
        <w:tc>
          <w:tcPr>
            <w:tcW w:w="3118" w:type="dxa"/>
          </w:tcPr>
          <w:p w:rsidR="00BC5FAD" w:rsidRPr="002E0072" w:rsidRDefault="00D90FC3" w:rsidP="002E0072">
            <w:pPr>
              <w:pStyle w:val="TableText0"/>
              <w:rPr>
                <w:lang w:val="es-ES_tradnl"/>
              </w:rPr>
            </w:pPr>
            <w:r w:rsidRPr="002E0072">
              <w:rPr>
                <w:lang w:val="es-ES_tradnl"/>
              </w:rPr>
              <w:t>Necesario para las estaciones terrenas en los haces de recepción.</w:t>
            </w:r>
          </w:p>
        </w:tc>
      </w:tr>
      <w:tr w:rsidR="00BF0EEC" w:rsidRPr="007E4BFD" w:rsidTr="00FC4D74">
        <w:tc>
          <w:tcPr>
            <w:tcW w:w="1668" w:type="dxa"/>
          </w:tcPr>
          <w:p w:rsidR="00BC5FAD" w:rsidRPr="002E0072" w:rsidRDefault="00BC5FAD" w:rsidP="002E0072">
            <w:pPr>
              <w:pStyle w:val="TableText0"/>
              <w:rPr>
                <w:lang w:val="es-ES_tradnl"/>
              </w:rPr>
            </w:pPr>
            <w:r w:rsidRPr="002E0072">
              <w:rPr>
                <w:lang w:val="es-ES_tradnl"/>
              </w:rPr>
              <w:lastRenderedPageBreak/>
              <w:t>A.14.b.5</w:t>
            </w:r>
          </w:p>
        </w:tc>
        <w:tc>
          <w:tcPr>
            <w:tcW w:w="4961" w:type="dxa"/>
          </w:tcPr>
          <w:p w:rsidR="00BC5FAD" w:rsidRPr="002E0072" w:rsidRDefault="00DE274F" w:rsidP="002E0072">
            <w:pPr>
              <w:pStyle w:val="TableText0"/>
              <w:rPr>
                <w:lang w:val="es-ES_tradnl"/>
              </w:rPr>
            </w:pPr>
            <w:r w:rsidRPr="002E0072">
              <w:rPr>
                <w:color w:val="000000"/>
                <w:szCs w:val="24"/>
                <w:lang w:val="es-ES_tradnl"/>
              </w:rPr>
              <w:t>Mínimo ángulo de separación entre el arco de la órbita de satélites geoestacionarios y el eje principal de la estación terrena asociada en el que puede transmitir hacia un satélite no geoestacionario</w:t>
            </w:r>
          </w:p>
        </w:tc>
        <w:tc>
          <w:tcPr>
            <w:tcW w:w="3118" w:type="dxa"/>
          </w:tcPr>
          <w:p w:rsidR="00BC5FAD" w:rsidRPr="002E0072" w:rsidRDefault="00D90FC3" w:rsidP="002E0072">
            <w:pPr>
              <w:pStyle w:val="TableText0"/>
              <w:rPr>
                <w:lang w:val="es-ES_tradnl"/>
              </w:rPr>
            </w:pPr>
            <w:r w:rsidRPr="002E0072">
              <w:rPr>
                <w:lang w:val="es-ES_tradnl"/>
              </w:rPr>
              <w:t>Necesario para las estaciones terrenas en los haces de recepción</w:t>
            </w:r>
            <w:r w:rsidR="001F05B5" w:rsidRPr="002E0072">
              <w:rPr>
                <w:lang w:val="es-ES_tradnl"/>
              </w:rPr>
              <w:t>.</w:t>
            </w:r>
          </w:p>
        </w:tc>
      </w:tr>
    </w:tbl>
    <w:p w:rsidR="00D90FC3" w:rsidRPr="002E0072" w:rsidRDefault="007C4AD4" w:rsidP="008E6622">
      <w:pPr>
        <w:rPr>
          <w:lang w:val="es-ES_tradnl"/>
        </w:rPr>
      </w:pPr>
      <w:r w:rsidRPr="002E0072">
        <w:rPr>
          <w:lang w:val="es-ES_tradnl"/>
        </w:rPr>
        <w:t>Deben especificarse todos los campos</w:t>
      </w:r>
      <w:r w:rsidR="008E6622" w:rsidRPr="002E0072">
        <w:rPr>
          <w:lang w:val="es-ES_tradnl"/>
        </w:rPr>
        <w:t>. E</w:t>
      </w:r>
      <w:r w:rsidRPr="002E0072">
        <w:rPr>
          <w:lang w:val="es-ES_tradnl"/>
        </w:rPr>
        <w:t xml:space="preserve">n particular, el ángulo de elevación mínimo y el tamaño de la zona de exclusión son necesarios para el cálculo de la WCG y de la DFPE, siendo cero un valor válido para ambos. Obsérvese que el ángulo de elevación es el ángulo </w:t>
      </w:r>
      <w:r w:rsidR="001A38EA" w:rsidRPr="002E0072">
        <w:rPr>
          <w:lang w:val="es-ES_tradnl"/>
        </w:rPr>
        <w:t xml:space="preserve">mínimo </w:t>
      </w:r>
      <w:r w:rsidR="00304D1F" w:rsidRPr="002E0072">
        <w:rPr>
          <w:lang w:val="es-ES_tradnl"/>
        </w:rPr>
        <w:t xml:space="preserve">en el que puede existir </w:t>
      </w:r>
      <w:r w:rsidRPr="002E0072">
        <w:rPr>
          <w:lang w:val="es-ES_tradnl"/>
        </w:rPr>
        <w:t>comunicación activa entre un satélite y una ES de una constelación de satélites del SFS no OSG. Se calcula en la ES y si</w:t>
      </w:r>
      <w:r w:rsidR="00304D1F" w:rsidRPr="002E0072">
        <w:rPr>
          <w:lang w:val="es-ES_tradnl"/>
        </w:rPr>
        <w:t xml:space="preserve"> tanto el enlace ascendente como</w:t>
      </w:r>
      <w:r w:rsidRPr="002E0072">
        <w:rPr>
          <w:lang w:val="es-ES_tradnl"/>
        </w:rPr>
        <w:t xml:space="preserve"> el enlace descendente están en bandas para las que se han definido límites de DPFE en el Artículo 22, el ángulo de elevación debe coincidir en el sentido de </w:t>
      </w:r>
      <w:r w:rsidR="00304D1F" w:rsidRPr="002E0072">
        <w:rPr>
          <w:lang w:val="es-ES_tradnl"/>
        </w:rPr>
        <w:t xml:space="preserve">la </w:t>
      </w:r>
      <w:r w:rsidRPr="002E0072">
        <w:rPr>
          <w:lang w:val="es-ES_tradnl"/>
        </w:rPr>
        <w:t xml:space="preserve">DFPE (descendente) y de </w:t>
      </w:r>
      <w:r w:rsidR="00304D1F" w:rsidRPr="002E0072">
        <w:rPr>
          <w:lang w:val="es-ES_tradnl"/>
        </w:rPr>
        <w:t xml:space="preserve">la </w:t>
      </w:r>
      <w:r w:rsidRPr="002E0072">
        <w:rPr>
          <w:lang w:val="es-ES_tradnl"/>
        </w:rPr>
        <w:t>DFPE (ascendente).</w:t>
      </w:r>
    </w:p>
    <w:p w:rsidR="005A0F2C" w:rsidRPr="002E0072" w:rsidRDefault="0033065C" w:rsidP="00304D1F">
      <w:pPr>
        <w:pStyle w:val="Heading2"/>
        <w:rPr>
          <w:lang w:val="es-ES_tradnl"/>
        </w:rPr>
      </w:pPr>
      <w:r w:rsidRPr="002E0072">
        <w:rPr>
          <w:lang w:val="es-ES_tradnl"/>
        </w:rPr>
        <w:t>5</w:t>
      </w:r>
      <w:r w:rsidR="005A0F2C" w:rsidRPr="002E0072">
        <w:rPr>
          <w:lang w:val="es-ES_tradnl"/>
        </w:rPr>
        <w:t>.</w:t>
      </w:r>
      <w:r w:rsidRPr="002E0072">
        <w:rPr>
          <w:lang w:val="es-ES_tradnl"/>
        </w:rPr>
        <w:t>3</w:t>
      </w:r>
      <w:r w:rsidR="004821D0">
        <w:rPr>
          <w:lang w:val="es-ES_tradnl"/>
        </w:rPr>
        <w:tab/>
        <w:t>Documentación</w:t>
      </w:r>
    </w:p>
    <w:p w:rsidR="00304D1F" w:rsidRPr="002E0072" w:rsidRDefault="00304D1F" w:rsidP="00304D1F">
      <w:pPr>
        <w:rPr>
          <w:lang w:val="es-ES_tradnl"/>
        </w:rPr>
      </w:pPr>
      <w:r w:rsidRPr="002E0072">
        <w:rPr>
          <w:lang w:val="es-ES_tradnl"/>
        </w:rPr>
        <w:t>Durante el desarrollo del software de validación de la DFPE, sus autores identificaron otros cambios que podrían ser necesarios para la Recomendación UIT-R S.1503-2. Estos cambios consisten normalmente en aclaraciones o están relacionados con la mejora del rendimiento y la coherencia entre el algoritmo implementado en las herramientas informáticas y el algoritmo descrito en la Rec. UIT</w:t>
      </w:r>
      <w:r w:rsidRPr="002E0072">
        <w:rPr>
          <w:lang w:val="es-ES_tradnl"/>
        </w:rPr>
        <w:noBreakHyphen/>
        <w:t>R S.1503-2.</w:t>
      </w:r>
    </w:p>
    <w:p w:rsidR="000F4C99" w:rsidRPr="002E0072" w:rsidRDefault="00304D1F" w:rsidP="0051530B">
      <w:pPr>
        <w:rPr>
          <w:lang w:val="es-ES_tradnl"/>
        </w:rPr>
      </w:pPr>
      <w:r w:rsidRPr="002E0072">
        <w:rPr>
          <w:lang w:val="es-ES_tradnl"/>
        </w:rPr>
        <w:t>A continuación se adjuntan las modificaciones mencionadas con carácter informático:</w:t>
      </w:r>
    </w:p>
    <w:bookmarkStart w:id="3" w:name="_MON_1506931441"/>
    <w:bookmarkEnd w:id="3"/>
    <w:p w:rsidR="000F4C99" w:rsidRPr="002E0072" w:rsidRDefault="000F4C99" w:rsidP="000F4C99">
      <w:pPr>
        <w:jc w:val="center"/>
        <w:rPr>
          <w:lang w:val="es-ES_tradnl"/>
        </w:rPr>
      </w:pPr>
      <w:r w:rsidRPr="002E0072">
        <w:rPr>
          <w:lang w:val="es-ES_tradnl"/>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4" o:title=""/>
          </v:shape>
          <o:OLEObject Type="Embed" ProgID="Word.Document.12" ShapeID="_x0000_i1025" DrawAspect="Icon" ObjectID="_1507760689" r:id="rId15">
            <o:FieldCodes>\s</o:FieldCodes>
          </o:OLEObject>
        </w:object>
      </w:r>
    </w:p>
    <w:p w:rsidR="00304D1F" w:rsidRPr="002E0072" w:rsidRDefault="00304D1F" w:rsidP="004821D0">
      <w:pPr>
        <w:rPr>
          <w:lang w:val="es-ES_tradnl"/>
        </w:rPr>
      </w:pPr>
      <w:r w:rsidRPr="002E0072">
        <w:rPr>
          <w:lang w:val="es-ES_tradnl"/>
        </w:rPr>
        <w:t>Obsérvese que la actualización de la Recomendación UIT-R BO.1443-3 desde la versión 2 fue de carácter editorial y no repercute en el cálculo de la DFPE.</w:t>
      </w:r>
    </w:p>
    <w:p w:rsidR="00F82C4B" w:rsidRPr="002E0072" w:rsidRDefault="0033065C" w:rsidP="002E0072">
      <w:pPr>
        <w:pStyle w:val="Heading1"/>
        <w:rPr>
          <w:lang w:val="es-ES_tradnl"/>
        </w:rPr>
      </w:pPr>
      <w:r w:rsidRPr="002E0072">
        <w:rPr>
          <w:lang w:val="es-ES_tradnl"/>
        </w:rPr>
        <w:t>6</w:t>
      </w:r>
      <w:r w:rsidR="00304D1F" w:rsidRPr="002E0072">
        <w:rPr>
          <w:lang w:val="es-ES_tradnl"/>
        </w:rPr>
        <w:tab/>
        <w:t xml:space="preserve">Fecha objetivo de entrega del software de validación de la DFPE de conformidad con la </w:t>
      </w:r>
      <w:r w:rsidR="00DE43AD" w:rsidRPr="002E0072">
        <w:rPr>
          <w:lang w:val="es-ES_tradnl"/>
        </w:rPr>
        <w:t>Recom</w:t>
      </w:r>
      <w:r w:rsidR="00304D1F" w:rsidRPr="002E0072">
        <w:rPr>
          <w:lang w:val="es-ES_tradnl"/>
        </w:rPr>
        <w:t xml:space="preserve">endación UIT-R </w:t>
      </w:r>
      <w:r w:rsidR="006D5B68">
        <w:rPr>
          <w:lang w:val="es-ES_tradnl"/>
        </w:rPr>
        <w:t>S.</w:t>
      </w:r>
      <w:r w:rsidR="00DE43AD" w:rsidRPr="002E0072">
        <w:rPr>
          <w:lang w:val="es-ES_tradnl"/>
        </w:rPr>
        <w:t>1503-2</w:t>
      </w:r>
    </w:p>
    <w:p w:rsidR="00530C29" w:rsidRPr="002E0072" w:rsidRDefault="00530C29" w:rsidP="00530C29">
      <w:pPr>
        <w:pStyle w:val="BodyText"/>
        <w:rPr>
          <w:lang w:val="es-ES_tradnl"/>
        </w:rPr>
      </w:pPr>
    </w:p>
    <w:tbl>
      <w:tblPr>
        <w:tblStyle w:val="TableGrid"/>
        <w:tblW w:w="9634" w:type="dxa"/>
        <w:tblLook w:val="04A0" w:firstRow="1" w:lastRow="0" w:firstColumn="1" w:lastColumn="0" w:noHBand="0" w:noVBand="1"/>
      </w:tblPr>
      <w:tblGrid>
        <w:gridCol w:w="5665"/>
        <w:gridCol w:w="3969"/>
      </w:tblGrid>
      <w:tr w:rsidR="00530C29" w:rsidRPr="002E0072" w:rsidTr="00530C29">
        <w:tc>
          <w:tcPr>
            <w:tcW w:w="5665" w:type="dxa"/>
          </w:tcPr>
          <w:p w:rsidR="00530C29" w:rsidRPr="002E0072" w:rsidRDefault="00530C29" w:rsidP="002E0072">
            <w:pPr>
              <w:pStyle w:val="Tablehead"/>
              <w:rPr>
                <w:lang w:val="es-ES_tradnl"/>
              </w:rPr>
            </w:pPr>
            <w:r w:rsidRPr="002E0072">
              <w:rPr>
                <w:lang w:val="es-ES_tradnl"/>
              </w:rPr>
              <w:t>Descrip</w:t>
            </w:r>
            <w:r w:rsidR="00304D1F" w:rsidRPr="002E0072">
              <w:rPr>
                <w:lang w:val="es-ES_tradnl"/>
              </w:rPr>
              <w:t>ció</w:t>
            </w:r>
            <w:r w:rsidRPr="002E0072">
              <w:rPr>
                <w:lang w:val="es-ES_tradnl"/>
              </w:rPr>
              <w:t>n</w:t>
            </w:r>
          </w:p>
        </w:tc>
        <w:tc>
          <w:tcPr>
            <w:tcW w:w="3969" w:type="dxa"/>
          </w:tcPr>
          <w:p w:rsidR="00530C29" w:rsidRPr="002E0072" w:rsidRDefault="00304D1F" w:rsidP="002E0072">
            <w:pPr>
              <w:pStyle w:val="Tablehead"/>
              <w:rPr>
                <w:lang w:val="es-ES_tradnl"/>
              </w:rPr>
            </w:pPr>
            <w:r w:rsidRPr="002E0072">
              <w:rPr>
                <w:lang w:val="es-ES_tradnl"/>
              </w:rPr>
              <w:t>Fecha de terminación/entrega</w:t>
            </w:r>
          </w:p>
        </w:tc>
      </w:tr>
      <w:tr w:rsidR="00530C29" w:rsidRPr="002E0072" w:rsidTr="00530C29">
        <w:tc>
          <w:tcPr>
            <w:tcW w:w="5665" w:type="dxa"/>
          </w:tcPr>
          <w:p w:rsidR="00530C29" w:rsidRPr="002E0072" w:rsidRDefault="00DD5766" w:rsidP="002E0072">
            <w:pPr>
              <w:pStyle w:val="TableText0"/>
              <w:rPr>
                <w:lang w:val="es-ES_tradnl"/>
              </w:rPr>
            </w:pPr>
            <w:r w:rsidRPr="002E0072">
              <w:rPr>
                <w:b/>
                <w:lang w:val="es-ES_tradnl"/>
              </w:rPr>
              <w:t>•</w:t>
            </w:r>
            <w:r w:rsidRPr="002E0072">
              <w:rPr>
                <w:b/>
                <w:lang w:val="es-ES_tradnl"/>
              </w:rPr>
              <w:tab/>
            </w:r>
            <w:r w:rsidR="00530C29" w:rsidRPr="002E0072">
              <w:rPr>
                <w:lang w:val="es-ES_tradnl"/>
              </w:rPr>
              <w:t>De</w:t>
            </w:r>
            <w:r w:rsidR="00302FB7" w:rsidRPr="002E0072">
              <w:rPr>
                <w:lang w:val="es-ES_tradnl"/>
              </w:rPr>
              <w:t>sarrollo de una nueva versión del software de la</w:t>
            </w:r>
            <w:r w:rsidR="00C66DE1" w:rsidRPr="002E0072">
              <w:rPr>
                <w:lang w:val="es-ES_tradnl"/>
              </w:rPr>
              <w:t xml:space="preserve"> DFPE tomando como base la Rec. </w:t>
            </w:r>
            <w:r w:rsidR="00302FB7" w:rsidRPr="002E0072">
              <w:rPr>
                <w:lang w:val="es-ES_tradnl"/>
              </w:rPr>
              <w:t>UIT-R</w:t>
            </w:r>
            <w:r w:rsidR="00530C29" w:rsidRPr="002E0072">
              <w:rPr>
                <w:lang w:val="es-ES_tradnl"/>
              </w:rPr>
              <w:t xml:space="preserve"> S.1503-2</w:t>
            </w:r>
          </w:p>
          <w:p w:rsidR="00530C29" w:rsidRPr="002E0072" w:rsidRDefault="002E0072" w:rsidP="002E0072">
            <w:pPr>
              <w:pStyle w:val="TableText0"/>
              <w:rPr>
                <w:lang w:val="es-ES_tradnl"/>
              </w:rPr>
            </w:pPr>
            <w:r w:rsidRPr="002E0072">
              <w:rPr>
                <w:b/>
                <w:lang w:val="es-ES_tradnl"/>
              </w:rPr>
              <w:t>•</w:t>
            </w:r>
            <w:r w:rsidRPr="002E0072">
              <w:rPr>
                <w:b/>
                <w:lang w:val="es-ES_tradnl"/>
              </w:rPr>
              <w:tab/>
            </w:r>
            <w:r w:rsidR="00302FB7" w:rsidRPr="002E0072">
              <w:rPr>
                <w:lang w:val="es-ES_tradnl"/>
              </w:rPr>
              <w:t xml:space="preserve">Entrega de la versión de prueba a la BR </w:t>
            </w:r>
          </w:p>
        </w:tc>
        <w:tc>
          <w:tcPr>
            <w:tcW w:w="3969" w:type="dxa"/>
          </w:tcPr>
          <w:p w:rsidR="00530C29" w:rsidRPr="002E0072" w:rsidRDefault="00530C29" w:rsidP="002E0072">
            <w:pPr>
              <w:pStyle w:val="TableText0"/>
              <w:rPr>
                <w:lang w:val="es-ES_tradnl"/>
              </w:rPr>
            </w:pPr>
            <w:r w:rsidRPr="002E0072">
              <w:rPr>
                <w:lang w:val="es-ES_tradnl"/>
              </w:rPr>
              <w:t>06.11.2015</w:t>
            </w:r>
          </w:p>
          <w:p w:rsidR="00530C29" w:rsidRPr="002E0072" w:rsidRDefault="00530C29" w:rsidP="002E0072">
            <w:pPr>
              <w:pStyle w:val="TableText0"/>
              <w:rPr>
                <w:lang w:val="es-ES_tradnl"/>
              </w:rPr>
            </w:pPr>
          </w:p>
          <w:p w:rsidR="00530C29" w:rsidRPr="002E0072" w:rsidRDefault="00530C29" w:rsidP="002E0072">
            <w:pPr>
              <w:pStyle w:val="TableText0"/>
              <w:rPr>
                <w:lang w:val="es-ES_tradnl"/>
              </w:rPr>
            </w:pPr>
            <w:r w:rsidRPr="002E0072">
              <w:rPr>
                <w:lang w:val="es-ES_tradnl"/>
              </w:rPr>
              <w:t>01.12.20</w:t>
            </w:r>
            <w:r w:rsidR="003E20AA" w:rsidRPr="002E0072">
              <w:rPr>
                <w:lang w:val="es-ES_tradnl"/>
              </w:rPr>
              <w:t>1</w:t>
            </w:r>
            <w:r w:rsidRPr="002E0072">
              <w:rPr>
                <w:lang w:val="es-ES_tradnl"/>
              </w:rPr>
              <w:t>5</w:t>
            </w:r>
          </w:p>
        </w:tc>
      </w:tr>
      <w:tr w:rsidR="00530C29" w:rsidRPr="002E0072" w:rsidTr="00530C29">
        <w:tc>
          <w:tcPr>
            <w:tcW w:w="5665" w:type="dxa"/>
          </w:tcPr>
          <w:p w:rsidR="00530C29" w:rsidRPr="002E0072" w:rsidRDefault="002E0072" w:rsidP="002E0072">
            <w:pPr>
              <w:pStyle w:val="TableText0"/>
              <w:rPr>
                <w:lang w:val="es-ES_tradnl"/>
              </w:rPr>
            </w:pPr>
            <w:r w:rsidRPr="002E0072">
              <w:rPr>
                <w:b/>
                <w:lang w:val="es-ES_tradnl"/>
              </w:rPr>
              <w:t>•</w:t>
            </w:r>
            <w:r w:rsidRPr="002E0072">
              <w:rPr>
                <w:b/>
                <w:lang w:val="es-ES_tradnl"/>
              </w:rPr>
              <w:tab/>
            </w:r>
            <w:r w:rsidR="00302FB7" w:rsidRPr="002E0072">
              <w:rPr>
                <w:lang w:val="es-ES_tradnl"/>
              </w:rPr>
              <w:t xml:space="preserve">Pruebas internas del software </w:t>
            </w:r>
          </w:p>
          <w:p w:rsidR="00530C29" w:rsidRPr="002E0072" w:rsidRDefault="002E0072" w:rsidP="002E0072">
            <w:pPr>
              <w:pStyle w:val="TableText0"/>
              <w:rPr>
                <w:lang w:val="es-ES_tradnl"/>
              </w:rPr>
            </w:pPr>
            <w:r w:rsidRPr="002E0072">
              <w:rPr>
                <w:b/>
                <w:lang w:val="es-ES_tradnl"/>
              </w:rPr>
              <w:t>•</w:t>
            </w:r>
            <w:r w:rsidRPr="002E0072">
              <w:rPr>
                <w:b/>
                <w:lang w:val="es-ES_tradnl"/>
              </w:rPr>
              <w:tab/>
            </w:r>
            <w:r w:rsidR="00302FB7" w:rsidRPr="002E0072">
              <w:rPr>
                <w:lang w:val="es-ES_tradnl"/>
              </w:rPr>
              <w:t>Pruebas externas del software</w:t>
            </w:r>
          </w:p>
        </w:tc>
        <w:tc>
          <w:tcPr>
            <w:tcW w:w="3969" w:type="dxa"/>
          </w:tcPr>
          <w:p w:rsidR="00530C29" w:rsidRPr="002E0072" w:rsidRDefault="00530C29" w:rsidP="002E0072">
            <w:pPr>
              <w:pStyle w:val="TableText0"/>
              <w:rPr>
                <w:lang w:val="es-ES_tradnl"/>
              </w:rPr>
            </w:pPr>
            <w:r w:rsidRPr="002E0072">
              <w:rPr>
                <w:lang w:val="es-ES_tradnl"/>
              </w:rPr>
              <w:t>31.11.2015</w:t>
            </w:r>
          </w:p>
          <w:p w:rsidR="00530C29" w:rsidRPr="002E0072" w:rsidRDefault="00530C29" w:rsidP="002E0072">
            <w:pPr>
              <w:pStyle w:val="TableText0"/>
              <w:rPr>
                <w:lang w:val="es-ES_tradnl"/>
              </w:rPr>
            </w:pPr>
            <w:r w:rsidRPr="002E0072">
              <w:rPr>
                <w:lang w:val="es-ES_tradnl"/>
              </w:rPr>
              <w:t>01.02.2016</w:t>
            </w:r>
          </w:p>
        </w:tc>
      </w:tr>
      <w:tr w:rsidR="00530C29" w:rsidRPr="002E0072" w:rsidTr="00530C29">
        <w:tc>
          <w:tcPr>
            <w:tcW w:w="5665" w:type="dxa"/>
          </w:tcPr>
          <w:p w:rsidR="00530C29" w:rsidRPr="002E0072" w:rsidRDefault="002E0072" w:rsidP="002E0072">
            <w:pPr>
              <w:pStyle w:val="TableText0"/>
              <w:rPr>
                <w:lang w:val="es-ES_tradnl"/>
              </w:rPr>
            </w:pPr>
            <w:r w:rsidRPr="002E0072">
              <w:rPr>
                <w:b/>
                <w:lang w:val="es-ES_tradnl"/>
              </w:rPr>
              <w:t>•</w:t>
            </w:r>
            <w:r w:rsidRPr="002E0072">
              <w:rPr>
                <w:b/>
                <w:lang w:val="es-ES_tradnl"/>
              </w:rPr>
              <w:tab/>
            </w:r>
            <w:r w:rsidR="00302FB7" w:rsidRPr="002E0072">
              <w:rPr>
                <w:lang w:val="es-ES_tradnl"/>
              </w:rPr>
              <w:t xml:space="preserve">Evaluación final del </w:t>
            </w:r>
            <w:r w:rsidR="00530C29" w:rsidRPr="002E0072">
              <w:rPr>
                <w:lang w:val="es-ES_tradnl"/>
              </w:rPr>
              <w:t>software</w:t>
            </w:r>
            <w:r w:rsidR="006A44B4" w:rsidRPr="002E0072">
              <w:rPr>
                <w:lang w:val="es-ES_tradnl"/>
              </w:rPr>
              <w:t xml:space="preserve"> y doc</w:t>
            </w:r>
            <w:r w:rsidR="00302FB7" w:rsidRPr="002E0072">
              <w:rPr>
                <w:lang w:val="es-ES_tradnl"/>
              </w:rPr>
              <w:t>umentación de las posibles discrepancias con respecto a la Rec.</w:t>
            </w:r>
            <w:r w:rsidR="006A44B4" w:rsidRPr="002E0072">
              <w:rPr>
                <w:lang w:val="es-ES_tradnl"/>
              </w:rPr>
              <w:t> </w:t>
            </w:r>
            <w:r w:rsidR="00302FB7" w:rsidRPr="002E0072">
              <w:rPr>
                <w:lang w:val="es-ES_tradnl"/>
              </w:rPr>
              <w:t xml:space="preserve">UIT-R </w:t>
            </w:r>
            <w:r w:rsidR="00530C29" w:rsidRPr="002E0072">
              <w:rPr>
                <w:lang w:val="es-ES_tradnl"/>
              </w:rPr>
              <w:t xml:space="preserve">S.1503-2 </w:t>
            </w:r>
            <w:r w:rsidR="00302FB7" w:rsidRPr="002E0072">
              <w:rPr>
                <w:lang w:val="es-ES_tradnl"/>
              </w:rPr>
              <w:t xml:space="preserve">y entrega de la versión de producción a la </w:t>
            </w:r>
            <w:r w:rsidR="00530C29" w:rsidRPr="002E0072">
              <w:rPr>
                <w:lang w:val="es-ES_tradnl"/>
              </w:rPr>
              <w:t>BR</w:t>
            </w:r>
          </w:p>
        </w:tc>
        <w:tc>
          <w:tcPr>
            <w:tcW w:w="3969" w:type="dxa"/>
          </w:tcPr>
          <w:p w:rsidR="00530C29" w:rsidRPr="002E0072" w:rsidRDefault="00530C29" w:rsidP="002E0072">
            <w:pPr>
              <w:pStyle w:val="TableText0"/>
              <w:rPr>
                <w:lang w:val="es-ES_tradnl"/>
              </w:rPr>
            </w:pPr>
            <w:r w:rsidRPr="002E0072">
              <w:rPr>
                <w:lang w:val="es-ES_tradnl"/>
              </w:rPr>
              <w:t>01.04.2016</w:t>
            </w:r>
          </w:p>
        </w:tc>
      </w:tr>
      <w:tr w:rsidR="00530C29" w:rsidRPr="002E0072" w:rsidTr="00530C29">
        <w:tc>
          <w:tcPr>
            <w:tcW w:w="5665" w:type="dxa"/>
          </w:tcPr>
          <w:p w:rsidR="00530C29" w:rsidRPr="002E0072" w:rsidRDefault="002E0072" w:rsidP="002E0072">
            <w:pPr>
              <w:pStyle w:val="TableText0"/>
              <w:rPr>
                <w:lang w:val="es-ES_tradnl"/>
              </w:rPr>
            </w:pPr>
            <w:r w:rsidRPr="002E0072">
              <w:rPr>
                <w:b/>
                <w:lang w:val="es-ES_tradnl"/>
              </w:rPr>
              <w:t>•</w:t>
            </w:r>
            <w:r w:rsidRPr="002E0072">
              <w:rPr>
                <w:b/>
                <w:lang w:val="es-ES_tradnl"/>
              </w:rPr>
              <w:tab/>
            </w:r>
            <w:r w:rsidR="00302FB7" w:rsidRPr="002E0072">
              <w:rPr>
                <w:lang w:val="es-ES_tradnl"/>
              </w:rPr>
              <w:t>Distribución del s</w:t>
            </w:r>
            <w:r w:rsidR="00530C29" w:rsidRPr="002E0072">
              <w:rPr>
                <w:lang w:val="es-ES_tradnl"/>
              </w:rPr>
              <w:t xml:space="preserve">oftware </w:t>
            </w:r>
            <w:r w:rsidR="00302FB7" w:rsidRPr="002E0072">
              <w:rPr>
                <w:lang w:val="es-ES_tradnl"/>
              </w:rPr>
              <w:t xml:space="preserve">a las </w:t>
            </w:r>
            <w:r w:rsidR="00530C29" w:rsidRPr="002E0072">
              <w:rPr>
                <w:lang w:val="es-ES_tradnl"/>
              </w:rPr>
              <w:t>Administra</w:t>
            </w:r>
            <w:r w:rsidR="00302FB7" w:rsidRPr="002E0072">
              <w:rPr>
                <w:lang w:val="es-ES_tradnl"/>
              </w:rPr>
              <w:t>cione</w:t>
            </w:r>
            <w:r w:rsidR="00530C29" w:rsidRPr="002E0072">
              <w:rPr>
                <w:lang w:val="es-ES_tradnl"/>
              </w:rPr>
              <w:t>s</w:t>
            </w:r>
          </w:p>
        </w:tc>
        <w:tc>
          <w:tcPr>
            <w:tcW w:w="3969" w:type="dxa"/>
          </w:tcPr>
          <w:p w:rsidR="00530C29" w:rsidRPr="002E0072" w:rsidRDefault="00530C29" w:rsidP="002E0072">
            <w:pPr>
              <w:pStyle w:val="TableText0"/>
              <w:rPr>
                <w:lang w:val="es-ES_tradnl"/>
              </w:rPr>
            </w:pPr>
            <w:r w:rsidRPr="002E0072">
              <w:rPr>
                <w:lang w:val="es-ES_tradnl"/>
              </w:rPr>
              <w:t>01.06.2016</w:t>
            </w:r>
          </w:p>
        </w:tc>
      </w:tr>
    </w:tbl>
    <w:p w:rsidR="005A0F2C" w:rsidRPr="002E0072" w:rsidRDefault="0033065C" w:rsidP="002E0072">
      <w:pPr>
        <w:pStyle w:val="Heading1"/>
        <w:rPr>
          <w:lang w:val="es-ES_tradnl"/>
        </w:rPr>
      </w:pPr>
      <w:r w:rsidRPr="002E0072">
        <w:rPr>
          <w:lang w:val="es-ES_tradnl"/>
        </w:rPr>
        <w:t>7</w:t>
      </w:r>
      <w:r w:rsidR="000F4C99" w:rsidRPr="002E0072">
        <w:rPr>
          <w:lang w:val="es-ES_tradnl"/>
        </w:rPr>
        <w:tab/>
        <w:t>Conclusi</w:t>
      </w:r>
      <w:r w:rsidR="00302FB7" w:rsidRPr="002E0072">
        <w:rPr>
          <w:lang w:val="es-ES_tradnl"/>
        </w:rPr>
        <w:t>ó</w:t>
      </w:r>
      <w:r w:rsidR="000F4C99" w:rsidRPr="002E0072">
        <w:rPr>
          <w:lang w:val="es-ES_tradnl"/>
        </w:rPr>
        <w:t>n</w:t>
      </w:r>
    </w:p>
    <w:p w:rsidR="00302FB7" w:rsidRPr="002E0072" w:rsidRDefault="00302FB7" w:rsidP="00AE2734">
      <w:pPr>
        <w:rPr>
          <w:lang w:val="es-ES_tradnl"/>
        </w:rPr>
      </w:pPr>
      <w:r w:rsidRPr="002E0072">
        <w:rPr>
          <w:lang w:val="es-ES_tradnl"/>
        </w:rPr>
        <w:t>La Oficina cree que la información adicional que contiene el presente documento contribuirá a los trabajos de la Conferencia relativos a la Resolución 85 (CMR-0</w:t>
      </w:r>
      <w:bookmarkStart w:id="4" w:name="_GoBack"/>
      <w:bookmarkEnd w:id="4"/>
      <w:r w:rsidRPr="002E0072">
        <w:rPr>
          <w:lang w:val="es-ES_tradnl"/>
        </w:rPr>
        <w:t>3) así como al examen del problema general de la compartición de frecuencia OSG/no OSG.</w:t>
      </w:r>
    </w:p>
    <w:p w:rsidR="00367530" w:rsidRPr="002E0072" w:rsidRDefault="00367530" w:rsidP="00CC2B29">
      <w:pPr>
        <w:spacing w:before="0"/>
        <w:jc w:val="center"/>
        <w:rPr>
          <w:lang w:val="es-ES_tradnl"/>
        </w:rPr>
      </w:pPr>
      <w:r w:rsidRPr="002E0072">
        <w:rPr>
          <w:lang w:val="es-ES_tradnl"/>
        </w:rPr>
        <w:t>____________</w:t>
      </w:r>
    </w:p>
    <w:sectPr w:rsidR="00367530" w:rsidRPr="002E0072" w:rsidSect="00FA2916">
      <w:headerReference w:type="default" r:id="rId16"/>
      <w:footerReference w:type="even" r:id="rId17"/>
      <w:footerReference w:type="default" r:id="rId18"/>
      <w:footerReference w:type="first" r:id="rId19"/>
      <w:pgSz w:w="11907" w:h="16840" w:code="9"/>
      <w:pgMar w:top="1418" w:right="1134" w:bottom="851"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D74" w:rsidRDefault="00FC4D74">
      <w:r>
        <w:separator/>
      </w:r>
    </w:p>
  </w:endnote>
  <w:endnote w:type="continuationSeparator" w:id="0">
    <w:p w:rsidR="00FC4D74" w:rsidRDefault="00FC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74" w:rsidRDefault="00FC4D74">
    <w:pPr>
      <w:framePr w:wrap="around" w:vAnchor="text" w:hAnchor="margin" w:xAlign="right" w:y="1"/>
    </w:pPr>
    <w:r>
      <w:fldChar w:fldCharType="begin"/>
    </w:r>
    <w:r>
      <w:instrText xml:space="preserve">PAGE  </w:instrText>
    </w:r>
    <w:r>
      <w:fldChar w:fldCharType="end"/>
    </w:r>
  </w:p>
  <w:p w:rsidR="00FC4D74" w:rsidRPr="0041348E" w:rsidRDefault="00FC4D74">
    <w:pPr>
      <w:ind w:right="360"/>
      <w:rPr>
        <w:lang w:val="en-US"/>
      </w:rPr>
    </w:pPr>
    <w:r>
      <w:fldChar w:fldCharType="begin"/>
    </w:r>
    <w:r w:rsidRPr="0041348E">
      <w:rPr>
        <w:lang w:val="en-US"/>
      </w:rPr>
      <w:instrText xml:space="preserve"> FILENAME \p  \* MERGEFORMAT </w:instrText>
    </w:r>
    <w:r>
      <w:fldChar w:fldCharType="separate"/>
    </w:r>
    <w:r w:rsidR="00250F03">
      <w:rPr>
        <w:noProof/>
        <w:lang w:val="en-US"/>
      </w:rPr>
      <w:t>P:\ESP\ITU-R\CONF-R\CMR15\000\004ADD01ADD02S.docx</w:t>
    </w:r>
    <w:r>
      <w:fldChar w:fldCharType="end"/>
    </w:r>
    <w:r w:rsidRPr="0041348E">
      <w:rPr>
        <w:lang w:val="en-US"/>
      </w:rPr>
      <w:tab/>
    </w:r>
    <w:r>
      <w:fldChar w:fldCharType="begin"/>
    </w:r>
    <w:r>
      <w:instrText xml:space="preserve"> SAVEDATE \@ DD.MM.YY </w:instrText>
    </w:r>
    <w:r>
      <w:fldChar w:fldCharType="separate"/>
    </w:r>
    <w:r w:rsidR="00250F03">
      <w:rPr>
        <w:noProof/>
      </w:rPr>
      <w:t>31.10.15</w:t>
    </w:r>
    <w:r>
      <w:fldChar w:fldCharType="end"/>
    </w:r>
    <w:r w:rsidRPr="0041348E">
      <w:rPr>
        <w:lang w:val="en-US"/>
      </w:rPr>
      <w:tab/>
    </w:r>
    <w:r>
      <w:fldChar w:fldCharType="begin"/>
    </w:r>
    <w:r>
      <w:instrText xml:space="preserve"> PRINTDATE \@ DD.MM.YY </w:instrText>
    </w:r>
    <w:r>
      <w:fldChar w:fldCharType="separate"/>
    </w:r>
    <w:r w:rsidR="00250F03">
      <w:rPr>
        <w:noProof/>
      </w:rPr>
      <w:t>31.10.15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E13" w:rsidRPr="007D1E13" w:rsidRDefault="007D1E13" w:rsidP="007D1E13">
    <w:pPr>
      <w:pStyle w:val="Footer"/>
    </w:pPr>
    <w:fldSimple w:instr=" FILENAME \p  \* MERGEFORMAT ">
      <w:r w:rsidR="00250F03">
        <w:t>P:\ESP\ITU-R\CONF-R\CMR15\000\004ADD01ADD02S.docx</w:t>
      </w:r>
    </w:fldSimple>
    <w:r>
      <w:t xml:space="preserve"> </w:t>
    </w:r>
    <w:r>
      <w:rPr>
        <w:lang w:val="es-ES_tradnl"/>
      </w:rPr>
      <w:t>(389463)</w:t>
    </w:r>
    <w:r>
      <w:tab/>
    </w:r>
    <w:r>
      <w:fldChar w:fldCharType="begin"/>
    </w:r>
    <w:r>
      <w:instrText xml:space="preserve"> SAVEDATE \@ DD.MM.YY </w:instrText>
    </w:r>
    <w:r>
      <w:fldChar w:fldCharType="separate"/>
    </w:r>
    <w:r w:rsidR="00250F03">
      <w:t>31.10.15</w:t>
    </w:r>
    <w:r>
      <w:fldChar w:fldCharType="end"/>
    </w:r>
    <w:r>
      <w:tab/>
    </w:r>
    <w:r>
      <w:fldChar w:fldCharType="begin"/>
    </w:r>
    <w:r>
      <w:instrText xml:space="preserve"> PRINTDATE \@ DD.MM.YY </w:instrText>
    </w:r>
    <w:r>
      <w:fldChar w:fldCharType="separate"/>
    </w:r>
    <w:r w:rsidR="00250F03">
      <w:t>31.10.15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74" w:rsidRDefault="00CC2B29" w:rsidP="007D1E13">
    <w:pPr>
      <w:pStyle w:val="Footer"/>
    </w:pPr>
    <w:r>
      <w:fldChar w:fldCharType="begin"/>
    </w:r>
    <w:r>
      <w:instrText xml:space="preserve"> FILENAME \p  \* MERGEFORMAT </w:instrText>
    </w:r>
    <w:r>
      <w:fldChar w:fldCharType="separate"/>
    </w:r>
    <w:r w:rsidR="00250F03">
      <w:t>P:\ESP\ITU-R\CONF-R\CMR15\000\004ADD01ADD02S.docx</w:t>
    </w:r>
    <w:r>
      <w:fldChar w:fldCharType="end"/>
    </w:r>
    <w:r w:rsidR="007D1E13">
      <w:t xml:space="preserve"> </w:t>
    </w:r>
    <w:r w:rsidR="007D1E13">
      <w:rPr>
        <w:lang w:val="es-ES_tradnl"/>
      </w:rPr>
      <w:t>(389463)</w:t>
    </w:r>
    <w:r w:rsidR="007D1E13">
      <w:tab/>
    </w:r>
    <w:r w:rsidR="007D1E13">
      <w:fldChar w:fldCharType="begin"/>
    </w:r>
    <w:r w:rsidR="007D1E13">
      <w:instrText xml:space="preserve"> SAVEDATE \@ DD.MM.YY </w:instrText>
    </w:r>
    <w:r w:rsidR="007D1E13">
      <w:fldChar w:fldCharType="separate"/>
    </w:r>
    <w:r w:rsidR="00250F03">
      <w:t>31.10.15</w:t>
    </w:r>
    <w:r w:rsidR="007D1E13">
      <w:fldChar w:fldCharType="end"/>
    </w:r>
    <w:r w:rsidR="007D1E13">
      <w:tab/>
    </w:r>
    <w:r w:rsidR="007D1E13">
      <w:fldChar w:fldCharType="begin"/>
    </w:r>
    <w:r w:rsidR="007D1E13">
      <w:instrText xml:space="preserve"> PRINTDATE \@ DD.MM.YY </w:instrText>
    </w:r>
    <w:r w:rsidR="007D1E13">
      <w:fldChar w:fldCharType="separate"/>
    </w:r>
    <w:r w:rsidR="00250F03">
      <w:t>31.10.15</w:t>
    </w:r>
    <w:r w:rsidR="007D1E1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D74" w:rsidRDefault="00FC4D74">
      <w:r>
        <w:rPr>
          <w:b/>
        </w:rPr>
        <w:t>_______________</w:t>
      </w:r>
    </w:p>
  </w:footnote>
  <w:footnote w:type="continuationSeparator" w:id="0">
    <w:p w:rsidR="00FC4D74" w:rsidRDefault="00FC4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E13" w:rsidRDefault="00FC4D74" w:rsidP="007D1E13">
    <w:pPr>
      <w:pStyle w:val="Header"/>
    </w:pPr>
    <w:r>
      <w:fldChar w:fldCharType="begin"/>
    </w:r>
    <w:r>
      <w:instrText xml:space="preserve"> PAGE  \* MERGEFORMAT </w:instrText>
    </w:r>
    <w:r>
      <w:fldChar w:fldCharType="separate"/>
    </w:r>
    <w:r w:rsidR="00CC2B29">
      <w:rPr>
        <w:noProof/>
      </w:rPr>
      <w:t>6</w:t>
    </w:r>
    <w:r>
      <w:fldChar w:fldCharType="end"/>
    </w:r>
  </w:p>
  <w:p w:rsidR="00FC4D74" w:rsidRPr="00CD4F7C" w:rsidRDefault="007D1E13" w:rsidP="007D1E13">
    <w:pPr>
      <w:pStyle w:val="Header"/>
    </w:pPr>
    <w:r>
      <w:t>CMR-15/4(Add.1)(Add.2)-S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39A55BB"/>
    <w:multiLevelType w:val="hybridMultilevel"/>
    <w:tmpl w:val="50D2FDAA"/>
    <w:lvl w:ilvl="0" w:tplc="04090001">
      <w:start w:val="1"/>
      <w:numFmt w:val="bullet"/>
      <w:lvlText w:val=""/>
      <w:lvlJc w:val="left"/>
      <w:pPr>
        <w:ind w:left="720" w:hanging="360"/>
      </w:pPr>
      <w:rPr>
        <w:rFonts w:ascii="Symbol" w:hAnsi="Symbol" w:hint="default"/>
      </w:rPr>
    </w:lvl>
    <w:lvl w:ilvl="1" w:tplc="A600CB22">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01577"/>
    <w:multiLevelType w:val="hybridMultilevel"/>
    <w:tmpl w:val="5F966D4C"/>
    <w:lvl w:ilvl="0" w:tplc="01D254E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2DA9"/>
    <w:multiLevelType w:val="hybridMultilevel"/>
    <w:tmpl w:val="D73A7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3F612E"/>
    <w:multiLevelType w:val="hybridMultilevel"/>
    <w:tmpl w:val="04101AEE"/>
    <w:lvl w:ilvl="0" w:tplc="BA4EBAF0">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723DD9"/>
    <w:multiLevelType w:val="hybridMultilevel"/>
    <w:tmpl w:val="C1D49032"/>
    <w:lvl w:ilvl="0" w:tplc="2DB0457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23877"/>
    <w:multiLevelType w:val="multilevel"/>
    <w:tmpl w:val="ED1AC4C0"/>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5D02EF"/>
    <w:multiLevelType w:val="hybridMultilevel"/>
    <w:tmpl w:val="6C0A159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2347198D"/>
    <w:multiLevelType w:val="hybridMultilevel"/>
    <w:tmpl w:val="354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B063C"/>
    <w:multiLevelType w:val="hybridMultilevel"/>
    <w:tmpl w:val="C2A4C75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3" w15:restartNumberingAfterBreak="0">
    <w:nsid w:val="2CF86868"/>
    <w:multiLevelType w:val="hybridMultilevel"/>
    <w:tmpl w:val="3BC8CC62"/>
    <w:lvl w:ilvl="0" w:tplc="2F90371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33149"/>
    <w:multiLevelType w:val="hybridMultilevel"/>
    <w:tmpl w:val="D4823E9E"/>
    <w:lvl w:ilvl="0" w:tplc="9D20533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9D309F"/>
    <w:multiLevelType w:val="hybridMultilevel"/>
    <w:tmpl w:val="4AD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4210D"/>
    <w:multiLevelType w:val="hybridMultilevel"/>
    <w:tmpl w:val="4F14113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39E11D21"/>
    <w:multiLevelType w:val="hybridMultilevel"/>
    <w:tmpl w:val="799822C8"/>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B2688"/>
    <w:multiLevelType w:val="hybridMultilevel"/>
    <w:tmpl w:val="15AE0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859B4"/>
    <w:multiLevelType w:val="multilevel"/>
    <w:tmpl w:val="2C064D62"/>
    <w:lvl w:ilvl="0">
      <w:start w:val="1"/>
      <w:numFmt w:val="decimal"/>
      <w:lvlText w:val="%1"/>
      <w:lvlJc w:val="left"/>
      <w:pPr>
        <w:ind w:left="1500" w:hanging="1140"/>
      </w:pPr>
      <w:rPr>
        <w:rFonts w:hint="default"/>
      </w:rPr>
    </w:lvl>
    <w:lvl w:ilvl="1">
      <w:start w:val="1"/>
      <w:numFmt w:val="decimal"/>
      <w:isLgl/>
      <w:lvlText w:val="%1.%2"/>
      <w:lvlJc w:val="left"/>
      <w:pPr>
        <w:ind w:left="1850" w:hanging="1140"/>
      </w:pPr>
      <w:rPr>
        <w:rFonts w:hint="default"/>
        <w:b/>
      </w:rPr>
    </w:lvl>
    <w:lvl w:ilvl="2">
      <w:start w:val="1"/>
      <w:numFmt w:val="decimal"/>
      <w:isLgl/>
      <w:lvlText w:val="%1.%2.%3"/>
      <w:lvlJc w:val="left"/>
      <w:pPr>
        <w:ind w:left="1500" w:hanging="1140"/>
      </w:pPr>
      <w:rPr>
        <w:rFonts w:hint="default"/>
        <w:b/>
      </w:rPr>
    </w:lvl>
    <w:lvl w:ilvl="3">
      <w:start w:val="1"/>
      <w:numFmt w:val="decimal"/>
      <w:isLgl/>
      <w:lvlText w:val="%1.%2.%3.%4"/>
      <w:lvlJc w:val="left"/>
      <w:pPr>
        <w:ind w:left="1500" w:hanging="1140"/>
      </w:pPr>
      <w:rPr>
        <w:rFonts w:hint="default"/>
        <w:b/>
      </w:rPr>
    </w:lvl>
    <w:lvl w:ilvl="4">
      <w:start w:val="1"/>
      <w:numFmt w:val="decimal"/>
      <w:isLgl/>
      <w:lvlText w:val="%1.%2.%3.%4.%5"/>
      <w:lvlJc w:val="left"/>
      <w:pPr>
        <w:ind w:left="1500" w:hanging="1140"/>
      </w:pPr>
      <w:rPr>
        <w:rFonts w:hint="default"/>
        <w:b/>
      </w:rPr>
    </w:lvl>
    <w:lvl w:ilvl="5">
      <w:start w:val="1"/>
      <w:numFmt w:val="decimal"/>
      <w:isLgl/>
      <w:lvlText w:val="%1.%2.%3.%4.%5.%6"/>
      <w:lvlJc w:val="left"/>
      <w:pPr>
        <w:ind w:left="1500" w:hanging="11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DE3008C"/>
    <w:multiLevelType w:val="hybridMultilevel"/>
    <w:tmpl w:val="2F82D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F23889"/>
    <w:multiLevelType w:val="hybridMultilevel"/>
    <w:tmpl w:val="E78C8524"/>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701B51"/>
    <w:multiLevelType w:val="hybridMultilevel"/>
    <w:tmpl w:val="37A64BB0"/>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00C86"/>
    <w:multiLevelType w:val="hybridMultilevel"/>
    <w:tmpl w:val="4E4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C3382"/>
    <w:multiLevelType w:val="hybridMultilevel"/>
    <w:tmpl w:val="826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F217E"/>
    <w:multiLevelType w:val="hybridMultilevel"/>
    <w:tmpl w:val="0DBA15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8" w15:restartNumberingAfterBreak="0">
    <w:nsid w:val="4B070268"/>
    <w:multiLevelType w:val="hybridMultilevel"/>
    <w:tmpl w:val="E604E07E"/>
    <w:lvl w:ilvl="0" w:tplc="26528020">
      <w:start w:val="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D527B2B"/>
    <w:multiLevelType w:val="hybridMultilevel"/>
    <w:tmpl w:val="F724C69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50AB6728"/>
    <w:multiLevelType w:val="multilevel"/>
    <w:tmpl w:val="56B26AAA"/>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42734C3"/>
    <w:multiLevelType w:val="multilevel"/>
    <w:tmpl w:val="C6C05B04"/>
    <w:lvl w:ilvl="0">
      <w:start w:val="8"/>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2" w15:restartNumberingAfterBreak="0">
    <w:nsid w:val="584A51DC"/>
    <w:multiLevelType w:val="hybridMultilevel"/>
    <w:tmpl w:val="7DBCF284"/>
    <w:lvl w:ilvl="0" w:tplc="08090001">
      <w:start w:val="1"/>
      <w:numFmt w:val="bullet"/>
      <w:lvlText w:val=""/>
      <w:lvlJc w:val="left"/>
      <w:pPr>
        <w:ind w:left="1512" w:hanging="360"/>
      </w:pPr>
      <w:rPr>
        <w:rFonts w:ascii="Symbol" w:hAnsi="Symbol" w:hint="default"/>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33" w15:restartNumberingAfterBreak="0">
    <w:nsid w:val="5A286CF6"/>
    <w:multiLevelType w:val="hybridMultilevel"/>
    <w:tmpl w:val="D098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D5B9B"/>
    <w:multiLevelType w:val="hybridMultilevel"/>
    <w:tmpl w:val="1E4E0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738DD"/>
    <w:multiLevelType w:val="hybridMultilevel"/>
    <w:tmpl w:val="59F8EDAC"/>
    <w:lvl w:ilvl="0" w:tplc="8876A7C2">
      <w:start w:val="1"/>
      <w:numFmt w:val="bullet"/>
      <w:lvlText w:val="•"/>
      <w:lvlJc w:val="left"/>
      <w:pPr>
        <w:tabs>
          <w:tab w:val="num" w:pos="720"/>
        </w:tabs>
        <w:ind w:left="720" w:hanging="360"/>
      </w:pPr>
      <w:rPr>
        <w:rFonts w:ascii="Arial" w:hAnsi="Arial" w:hint="default"/>
      </w:rPr>
    </w:lvl>
    <w:lvl w:ilvl="1" w:tplc="4306C29C" w:tentative="1">
      <w:start w:val="1"/>
      <w:numFmt w:val="bullet"/>
      <w:lvlText w:val="•"/>
      <w:lvlJc w:val="left"/>
      <w:pPr>
        <w:tabs>
          <w:tab w:val="num" w:pos="1440"/>
        </w:tabs>
        <w:ind w:left="1440" w:hanging="360"/>
      </w:pPr>
      <w:rPr>
        <w:rFonts w:ascii="Arial" w:hAnsi="Arial" w:hint="default"/>
      </w:rPr>
    </w:lvl>
    <w:lvl w:ilvl="2" w:tplc="4EACAFB6" w:tentative="1">
      <w:start w:val="1"/>
      <w:numFmt w:val="bullet"/>
      <w:lvlText w:val="•"/>
      <w:lvlJc w:val="left"/>
      <w:pPr>
        <w:tabs>
          <w:tab w:val="num" w:pos="2160"/>
        </w:tabs>
        <w:ind w:left="2160" w:hanging="360"/>
      </w:pPr>
      <w:rPr>
        <w:rFonts w:ascii="Arial" w:hAnsi="Arial" w:hint="default"/>
      </w:rPr>
    </w:lvl>
    <w:lvl w:ilvl="3" w:tplc="4F0CF3D0" w:tentative="1">
      <w:start w:val="1"/>
      <w:numFmt w:val="bullet"/>
      <w:lvlText w:val="•"/>
      <w:lvlJc w:val="left"/>
      <w:pPr>
        <w:tabs>
          <w:tab w:val="num" w:pos="2880"/>
        </w:tabs>
        <w:ind w:left="2880" w:hanging="360"/>
      </w:pPr>
      <w:rPr>
        <w:rFonts w:ascii="Arial" w:hAnsi="Arial" w:hint="default"/>
      </w:rPr>
    </w:lvl>
    <w:lvl w:ilvl="4" w:tplc="F1CEF264" w:tentative="1">
      <w:start w:val="1"/>
      <w:numFmt w:val="bullet"/>
      <w:lvlText w:val="•"/>
      <w:lvlJc w:val="left"/>
      <w:pPr>
        <w:tabs>
          <w:tab w:val="num" w:pos="3600"/>
        </w:tabs>
        <w:ind w:left="3600" w:hanging="360"/>
      </w:pPr>
      <w:rPr>
        <w:rFonts w:ascii="Arial" w:hAnsi="Arial" w:hint="default"/>
      </w:rPr>
    </w:lvl>
    <w:lvl w:ilvl="5" w:tplc="AEF0B15A" w:tentative="1">
      <w:start w:val="1"/>
      <w:numFmt w:val="bullet"/>
      <w:lvlText w:val="•"/>
      <w:lvlJc w:val="left"/>
      <w:pPr>
        <w:tabs>
          <w:tab w:val="num" w:pos="4320"/>
        </w:tabs>
        <w:ind w:left="4320" w:hanging="360"/>
      </w:pPr>
      <w:rPr>
        <w:rFonts w:ascii="Arial" w:hAnsi="Arial" w:hint="default"/>
      </w:rPr>
    </w:lvl>
    <w:lvl w:ilvl="6" w:tplc="3AA09A00" w:tentative="1">
      <w:start w:val="1"/>
      <w:numFmt w:val="bullet"/>
      <w:lvlText w:val="•"/>
      <w:lvlJc w:val="left"/>
      <w:pPr>
        <w:tabs>
          <w:tab w:val="num" w:pos="5040"/>
        </w:tabs>
        <w:ind w:left="5040" w:hanging="360"/>
      </w:pPr>
      <w:rPr>
        <w:rFonts w:ascii="Arial" w:hAnsi="Arial" w:hint="default"/>
      </w:rPr>
    </w:lvl>
    <w:lvl w:ilvl="7" w:tplc="9C980438" w:tentative="1">
      <w:start w:val="1"/>
      <w:numFmt w:val="bullet"/>
      <w:lvlText w:val="•"/>
      <w:lvlJc w:val="left"/>
      <w:pPr>
        <w:tabs>
          <w:tab w:val="num" w:pos="5760"/>
        </w:tabs>
        <w:ind w:left="5760" w:hanging="360"/>
      </w:pPr>
      <w:rPr>
        <w:rFonts w:ascii="Arial" w:hAnsi="Arial" w:hint="default"/>
      </w:rPr>
    </w:lvl>
    <w:lvl w:ilvl="8" w:tplc="3E88700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C942A2"/>
    <w:multiLevelType w:val="hybridMultilevel"/>
    <w:tmpl w:val="E7D8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85F4E"/>
    <w:multiLevelType w:val="hybridMultilevel"/>
    <w:tmpl w:val="DFB0F0E0"/>
    <w:lvl w:ilvl="0" w:tplc="C0869112">
      <w:start w:val="1"/>
      <w:numFmt w:val="bullet"/>
      <w:lvlText w:val=""/>
      <w:lvlJc w:val="left"/>
      <w:pPr>
        <w:ind w:left="720" w:hanging="360"/>
      </w:pPr>
      <w:rPr>
        <w:rFonts w:ascii="Symbol" w:hAnsi="Symbol" w:hint="default"/>
      </w:rPr>
    </w:lvl>
    <w:lvl w:ilvl="1" w:tplc="D1960C02">
      <w:start w:val="10"/>
      <w:numFmt w:val="bullet"/>
      <w:lvlText w:val="-"/>
      <w:lvlJc w:val="left"/>
      <w:pPr>
        <w:ind w:left="1440" w:hanging="360"/>
      </w:pPr>
      <w:rPr>
        <w:rFonts w:ascii="Times New Roman" w:eastAsia="Times New Roman" w:hAnsi="Times New Roman" w:cs="Times New Roman"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8" w15:restartNumberingAfterBreak="0">
    <w:nsid w:val="67545FEE"/>
    <w:multiLevelType w:val="hybridMultilevel"/>
    <w:tmpl w:val="E812A2FA"/>
    <w:lvl w:ilvl="0" w:tplc="C0869112">
      <w:start w:val="1"/>
      <w:numFmt w:val="bullet"/>
      <w:lvlText w:val=""/>
      <w:lvlJc w:val="left"/>
      <w:pPr>
        <w:ind w:left="720" w:hanging="360"/>
      </w:pPr>
      <w:rPr>
        <w:rFonts w:ascii="Symbol" w:hAnsi="Symbol" w:hint="default"/>
      </w:rPr>
    </w:lvl>
    <w:lvl w:ilvl="1" w:tplc="FB8CC498">
      <w:start w:val="1"/>
      <w:numFmt w:val="bullet"/>
      <w:lvlText w:val="o"/>
      <w:lvlJc w:val="left"/>
      <w:pPr>
        <w:ind w:left="1440" w:hanging="360"/>
      </w:pPr>
      <w:rPr>
        <w:rFonts w:ascii="Courier New" w:hAnsi="Courier New"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9" w15:restartNumberingAfterBreak="0">
    <w:nsid w:val="6A4761BF"/>
    <w:multiLevelType w:val="hybridMultilevel"/>
    <w:tmpl w:val="5B0A2454"/>
    <w:lvl w:ilvl="0" w:tplc="A600CB2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DF60CF"/>
    <w:multiLevelType w:val="hybridMultilevel"/>
    <w:tmpl w:val="4FEE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C221AE"/>
    <w:multiLevelType w:val="hybridMultilevel"/>
    <w:tmpl w:val="8C82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4F2878"/>
    <w:multiLevelType w:val="hybridMultilevel"/>
    <w:tmpl w:val="56985B12"/>
    <w:lvl w:ilvl="0" w:tplc="B71E71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FA2AE7"/>
    <w:multiLevelType w:val="hybridMultilevel"/>
    <w:tmpl w:val="46F8F8E4"/>
    <w:lvl w:ilvl="0" w:tplc="A600CB2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2070E"/>
    <w:multiLevelType w:val="hybridMultilevel"/>
    <w:tmpl w:val="C95C800C"/>
    <w:lvl w:ilvl="0" w:tplc="04090001">
      <w:start w:val="1"/>
      <w:numFmt w:val="bullet"/>
      <w:lvlText w:val=""/>
      <w:lvlJc w:val="left"/>
      <w:pPr>
        <w:ind w:left="720" w:hanging="360"/>
      </w:pPr>
      <w:rPr>
        <w:rFonts w:ascii="Symbol" w:hAnsi="Symbol" w:hint="default"/>
      </w:rPr>
    </w:lvl>
    <w:lvl w:ilvl="1" w:tplc="E9724FB2">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36888"/>
    <w:multiLevelType w:val="hybridMultilevel"/>
    <w:tmpl w:val="F514832E"/>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61D0B"/>
    <w:multiLevelType w:val="multilevel"/>
    <w:tmpl w:val="512ED6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A600013"/>
    <w:multiLevelType w:val="hybridMultilevel"/>
    <w:tmpl w:val="1C7888D6"/>
    <w:lvl w:ilvl="0" w:tplc="1AEE60D6">
      <w:start w:val="1"/>
      <w:numFmt w:val="bullet"/>
      <w:lvlText w:val="•"/>
      <w:lvlJc w:val="left"/>
      <w:pPr>
        <w:tabs>
          <w:tab w:val="num" w:pos="720"/>
        </w:tabs>
        <w:ind w:left="720" w:hanging="360"/>
      </w:pPr>
      <w:rPr>
        <w:rFonts w:ascii="Arial" w:hAnsi="Arial" w:hint="default"/>
      </w:rPr>
    </w:lvl>
    <w:lvl w:ilvl="1" w:tplc="77D25658" w:tentative="1">
      <w:start w:val="1"/>
      <w:numFmt w:val="bullet"/>
      <w:lvlText w:val="•"/>
      <w:lvlJc w:val="left"/>
      <w:pPr>
        <w:tabs>
          <w:tab w:val="num" w:pos="1440"/>
        </w:tabs>
        <w:ind w:left="1440" w:hanging="360"/>
      </w:pPr>
      <w:rPr>
        <w:rFonts w:ascii="Arial" w:hAnsi="Arial" w:hint="default"/>
      </w:rPr>
    </w:lvl>
    <w:lvl w:ilvl="2" w:tplc="DF5A196A" w:tentative="1">
      <w:start w:val="1"/>
      <w:numFmt w:val="bullet"/>
      <w:lvlText w:val="•"/>
      <w:lvlJc w:val="left"/>
      <w:pPr>
        <w:tabs>
          <w:tab w:val="num" w:pos="2160"/>
        </w:tabs>
        <w:ind w:left="2160" w:hanging="360"/>
      </w:pPr>
      <w:rPr>
        <w:rFonts w:ascii="Arial" w:hAnsi="Arial" w:hint="default"/>
      </w:rPr>
    </w:lvl>
    <w:lvl w:ilvl="3" w:tplc="7238701C" w:tentative="1">
      <w:start w:val="1"/>
      <w:numFmt w:val="bullet"/>
      <w:lvlText w:val="•"/>
      <w:lvlJc w:val="left"/>
      <w:pPr>
        <w:tabs>
          <w:tab w:val="num" w:pos="2880"/>
        </w:tabs>
        <w:ind w:left="2880" w:hanging="360"/>
      </w:pPr>
      <w:rPr>
        <w:rFonts w:ascii="Arial" w:hAnsi="Arial" w:hint="default"/>
      </w:rPr>
    </w:lvl>
    <w:lvl w:ilvl="4" w:tplc="3EA22434" w:tentative="1">
      <w:start w:val="1"/>
      <w:numFmt w:val="bullet"/>
      <w:lvlText w:val="•"/>
      <w:lvlJc w:val="left"/>
      <w:pPr>
        <w:tabs>
          <w:tab w:val="num" w:pos="3600"/>
        </w:tabs>
        <w:ind w:left="3600" w:hanging="360"/>
      </w:pPr>
      <w:rPr>
        <w:rFonts w:ascii="Arial" w:hAnsi="Arial" w:hint="default"/>
      </w:rPr>
    </w:lvl>
    <w:lvl w:ilvl="5" w:tplc="60028670" w:tentative="1">
      <w:start w:val="1"/>
      <w:numFmt w:val="bullet"/>
      <w:lvlText w:val="•"/>
      <w:lvlJc w:val="left"/>
      <w:pPr>
        <w:tabs>
          <w:tab w:val="num" w:pos="4320"/>
        </w:tabs>
        <w:ind w:left="4320" w:hanging="360"/>
      </w:pPr>
      <w:rPr>
        <w:rFonts w:ascii="Arial" w:hAnsi="Arial" w:hint="default"/>
      </w:rPr>
    </w:lvl>
    <w:lvl w:ilvl="6" w:tplc="10E202DA" w:tentative="1">
      <w:start w:val="1"/>
      <w:numFmt w:val="bullet"/>
      <w:lvlText w:val="•"/>
      <w:lvlJc w:val="left"/>
      <w:pPr>
        <w:tabs>
          <w:tab w:val="num" w:pos="5040"/>
        </w:tabs>
        <w:ind w:left="5040" w:hanging="360"/>
      </w:pPr>
      <w:rPr>
        <w:rFonts w:ascii="Arial" w:hAnsi="Arial" w:hint="default"/>
      </w:rPr>
    </w:lvl>
    <w:lvl w:ilvl="7" w:tplc="D2A22034" w:tentative="1">
      <w:start w:val="1"/>
      <w:numFmt w:val="bullet"/>
      <w:lvlText w:val="•"/>
      <w:lvlJc w:val="left"/>
      <w:pPr>
        <w:tabs>
          <w:tab w:val="num" w:pos="5760"/>
        </w:tabs>
        <w:ind w:left="5760" w:hanging="360"/>
      </w:pPr>
      <w:rPr>
        <w:rFonts w:ascii="Arial" w:hAnsi="Arial" w:hint="default"/>
      </w:rPr>
    </w:lvl>
    <w:lvl w:ilvl="8" w:tplc="BE2AC90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2"/>
  </w:num>
  <w:num w:numId="4">
    <w:abstractNumId w:val="23"/>
  </w:num>
  <w:num w:numId="5">
    <w:abstractNumId w:val="5"/>
  </w:num>
  <w:num w:numId="6">
    <w:abstractNumId w:val="8"/>
  </w:num>
  <w:num w:numId="7">
    <w:abstractNumId w:val="3"/>
  </w:num>
  <w:num w:numId="8">
    <w:abstractNumId w:val="20"/>
  </w:num>
  <w:num w:numId="9">
    <w:abstractNumId w:val="21"/>
  </w:num>
  <w:num w:numId="10">
    <w:abstractNumId w:val="41"/>
  </w:num>
  <w:num w:numId="11">
    <w:abstractNumId w:val="6"/>
  </w:num>
  <w:num w:numId="12">
    <w:abstractNumId w:val="19"/>
  </w:num>
  <w:num w:numId="13">
    <w:abstractNumId w:val="14"/>
  </w:num>
  <w:num w:numId="14">
    <w:abstractNumId w:val="9"/>
  </w:num>
  <w:num w:numId="15">
    <w:abstractNumId w:val="7"/>
  </w:num>
  <w:num w:numId="16">
    <w:abstractNumId w:val="31"/>
  </w:num>
  <w:num w:numId="17">
    <w:abstractNumId w:val="30"/>
  </w:num>
  <w:num w:numId="18">
    <w:abstractNumId w:val="24"/>
  </w:num>
  <w:num w:numId="19">
    <w:abstractNumId w:val="18"/>
  </w:num>
  <w:num w:numId="20">
    <w:abstractNumId w:val="38"/>
  </w:num>
  <w:num w:numId="21">
    <w:abstractNumId w:val="43"/>
  </w:num>
  <w:num w:numId="22">
    <w:abstractNumId w:val="39"/>
  </w:num>
  <w:num w:numId="23">
    <w:abstractNumId w:val="47"/>
  </w:num>
  <w:num w:numId="24">
    <w:abstractNumId w:val="35"/>
  </w:num>
  <w:num w:numId="25">
    <w:abstractNumId w:val="27"/>
  </w:num>
  <w:num w:numId="26">
    <w:abstractNumId w:val="28"/>
  </w:num>
  <w:num w:numId="27">
    <w:abstractNumId w:val="22"/>
  </w:num>
  <w:num w:numId="28">
    <w:abstractNumId w:val="17"/>
  </w:num>
  <w:num w:numId="29">
    <w:abstractNumId w:val="45"/>
  </w:num>
  <w:num w:numId="30">
    <w:abstractNumId w:val="11"/>
  </w:num>
  <w:num w:numId="31">
    <w:abstractNumId w:val="37"/>
  </w:num>
  <w:num w:numId="32">
    <w:abstractNumId w:val="34"/>
  </w:num>
  <w:num w:numId="33">
    <w:abstractNumId w:val="36"/>
  </w:num>
  <w:num w:numId="34">
    <w:abstractNumId w:val="46"/>
  </w:num>
  <w:num w:numId="35">
    <w:abstractNumId w:val="29"/>
  </w:num>
  <w:num w:numId="36">
    <w:abstractNumId w:val="16"/>
  </w:num>
  <w:num w:numId="37">
    <w:abstractNumId w:val="12"/>
  </w:num>
  <w:num w:numId="38">
    <w:abstractNumId w:val="32"/>
  </w:num>
  <w:num w:numId="39">
    <w:abstractNumId w:val="40"/>
  </w:num>
  <w:num w:numId="40">
    <w:abstractNumId w:val="2"/>
  </w:num>
  <w:num w:numId="41">
    <w:abstractNumId w:val="44"/>
  </w:num>
  <w:num w:numId="42">
    <w:abstractNumId w:val="10"/>
  </w:num>
  <w:num w:numId="43">
    <w:abstractNumId w:val="4"/>
  </w:num>
  <w:num w:numId="44">
    <w:abstractNumId w:val="33"/>
  </w:num>
  <w:num w:numId="45">
    <w:abstractNumId w:val="13"/>
  </w:num>
  <w:num w:numId="46">
    <w:abstractNumId w:val="15"/>
  </w:num>
  <w:num w:numId="47">
    <w:abstractNumId w:val="25"/>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0147"/>
    <w:rsid w:val="00000219"/>
    <w:rsid w:val="000041EA"/>
    <w:rsid w:val="00022A29"/>
    <w:rsid w:val="000355FD"/>
    <w:rsid w:val="00051E39"/>
    <w:rsid w:val="00060282"/>
    <w:rsid w:val="000705F2"/>
    <w:rsid w:val="00077239"/>
    <w:rsid w:val="00081A7A"/>
    <w:rsid w:val="00086491"/>
    <w:rsid w:val="0008728D"/>
    <w:rsid w:val="00091346"/>
    <w:rsid w:val="00096BBE"/>
    <w:rsid w:val="0009706C"/>
    <w:rsid w:val="000A1C2D"/>
    <w:rsid w:val="000B055B"/>
    <w:rsid w:val="000B234D"/>
    <w:rsid w:val="000C0A79"/>
    <w:rsid w:val="000D154B"/>
    <w:rsid w:val="000E7D63"/>
    <w:rsid w:val="000F0751"/>
    <w:rsid w:val="000F4C99"/>
    <w:rsid w:val="000F73FF"/>
    <w:rsid w:val="00104C66"/>
    <w:rsid w:val="00114CF7"/>
    <w:rsid w:val="00123B68"/>
    <w:rsid w:val="00123FF1"/>
    <w:rsid w:val="00126F2E"/>
    <w:rsid w:val="00146F6F"/>
    <w:rsid w:val="00161B47"/>
    <w:rsid w:val="00171973"/>
    <w:rsid w:val="00187BD9"/>
    <w:rsid w:val="00190B55"/>
    <w:rsid w:val="00194DB6"/>
    <w:rsid w:val="001A38EA"/>
    <w:rsid w:val="001B0ECB"/>
    <w:rsid w:val="001B24AD"/>
    <w:rsid w:val="001B46A8"/>
    <w:rsid w:val="001C3B5F"/>
    <w:rsid w:val="001D058F"/>
    <w:rsid w:val="001D4B06"/>
    <w:rsid w:val="001F05B5"/>
    <w:rsid w:val="002009EA"/>
    <w:rsid w:val="00201A44"/>
    <w:rsid w:val="00202CA0"/>
    <w:rsid w:val="00211129"/>
    <w:rsid w:val="00216B6D"/>
    <w:rsid w:val="00224094"/>
    <w:rsid w:val="002347F1"/>
    <w:rsid w:val="00241FA2"/>
    <w:rsid w:val="00250F03"/>
    <w:rsid w:val="0026477D"/>
    <w:rsid w:val="00271134"/>
    <w:rsid w:val="00271316"/>
    <w:rsid w:val="00276FEA"/>
    <w:rsid w:val="00280F34"/>
    <w:rsid w:val="002871DC"/>
    <w:rsid w:val="002B349C"/>
    <w:rsid w:val="002B4BFB"/>
    <w:rsid w:val="002D58BE"/>
    <w:rsid w:val="002E0072"/>
    <w:rsid w:val="002E2A77"/>
    <w:rsid w:val="002E30B9"/>
    <w:rsid w:val="002E34F1"/>
    <w:rsid w:val="002E41E0"/>
    <w:rsid w:val="002F42B6"/>
    <w:rsid w:val="00302FB7"/>
    <w:rsid w:val="00304D1F"/>
    <w:rsid w:val="00313AFE"/>
    <w:rsid w:val="00315210"/>
    <w:rsid w:val="0033065C"/>
    <w:rsid w:val="00335EA5"/>
    <w:rsid w:val="00345710"/>
    <w:rsid w:val="00356095"/>
    <w:rsid w:val="00361B37"/>
    <w:rsid w:val="00363B7A"/>
    <w:rsid w:val="00363FAA"/>
    <w:rsid w:val="00367530"/>
    <w:rsid w:val="00377BD3"/>
    <w:rsid w:val="00381143"/>
    <w:rsid w:val="00383842"/>
    <w:rsid w:val="00384088"/>
    <w:rsid w:val="003852CE"/>
    <w:rsid w:val="0039169B"/>
    <w:rsid w:val="003A7F8C"/>
    <w:rsid w:val="003B2284"/>
    <w:rsid w:val="003B532E"/>
    <w:rsid w:val="003D0F8B"/>
    <w:rsid w:val="003E0DB6"/>
    <w:rsid w:val="003E20AA"/>
    <w:rsid w:val="0040179E"/>
    <w:rsid w:val="00404B15"/>
    <w:rsid w:val="004116A8"/>
    <w:rsid w:val="0041348E"/>
    <w:rsid w:val="004151B0"/>
    <w:rsid w:val="00420873"/>
    <w:rsid w:val="00434004"/>
    <w:rsid w:val="004375B6"/>
    <w:rsid w:val="004447C7"/>
    <w:rsid w:val="00461B5F"/>
    <w:rsid w:val="00471EDE"/>
    <w:rsid w:val="004752CC"/>
    <w:rsid w:val="004821D0"/>
    <w:rsid w:val="00485BFB"/>
    <w:rsid w:val="00492075"/>
    <w:rsid w:val="004969AD"/>
    <w:rsid w:val="004A26C4"/>
    <w:rsid w:val="004A2BA3"/>
    <w:rsid w:val="004B13CB"/>
    <w:rsid w:val="004C6CFB"/>
    <w:rsid w:val="004D26EA"/>
    <w:rsid w:val="004D2BFB"/>
    <w:rsid w:val="004D4843"/>
    <w:rsid w:val="004D5C4D"/>
    <w:rsid w:val="004D5D5C"/>
    <w:rsid w:val="004F03AE"/>
    <w:rsid w:val="0050139F"/>
    <w:rsid w:val="0051530B"/>
    <w:rsid w:val="00530C29"/>
    <w:rsid w:val="00550C93"/>
    <w:rsid w:val="0055140B"/>
    <w:rsid w:val="005521C0"/>
    <w:rsid w:val="00552E68"/>
    <w:rsid w:val="0056531B"/>
    <w:rsid w:val="00585746"/>
    <w:rsid w:val="005964AB"/>
    <w:rsid w:val="00596752"/>
    <w:rsid w:val="005A0F2C"/>
    <w:rsid w:val="005B0D1E"/>
    <w:rsid w:val="005B1835"/>
    <w:rsid w:val="005C099A"/>
    <w:rsid w:val="005C0D76"/>
    <w:rsid w:val="005C31A5"/>
    <w:rsid w:val="005E10C9"/>
    <w:rsid w:val="005E290B"/>
    <w:rsid w:val="005E61DD"/>
    <w:rsid w:val="005F65E1"/>
    <w:rsid w:val="00600124"/>
    <w:rsid w:val="00601C10"/>
    <w:rsid w:val="006023DF"/>
    <w:rsid w:val="00605378"/>
    <w:rsid w:val="00607D68"/>
    <w:rsid w:val="00616219"/>
    <w:rsid w:val="00657DE0"/>
    <w:rsid w:val="00685313"/>
    <w:rsid w:val="00692833"/>
    <w:rsid w:val="006A169A"/>
    <w:rsid w:val="006A44B4"/>
    <w:rsid w:val="006A4CBB"/>
    <w:rsid w:val="006A6E9B"/>
    <w:rsid w:val="006B7C2A"/>
    <w:rsid w:val="006C23DA"/>
    <w:rsid w:val="006C3759"/>
    <w:rsid w:val="006D5B68"/>
    <w:rsid w:val="006E3D45"/>
    <w:rsid w:val="00700FB5"/>
    <w:rsid w:val="007018BF"/>
    <w:rsid w:val="007149F9"/>
    <w:rsid w:val="00717943"/>
    <w:rsid w:val="00733A30"/>
    <w:rsid w:val="00745AEE"/>
    <w:rsid w:val="00750F10"/>
    <w:rsid w:val="00772A72"/>
    <w:rsid w:val="007742CA"/>
    <w:rsid w:val="00777595"/>
    <w:rsid w:val="00784FDD"/>
    <w:rsid w:val="00790D70"/>
    <w:rsid w:val="00796BEF"/>
    <w:rsid w:val="007A39CD"/>
    <w:rsid w:val="007A547B"/>
    <w:rsid w:val="007A6F1F"/>
    <w:rsid w:val="007B3280"/>
    <w:rsid w:val="007C1856"/>
    <w:rsid w:val="007C413E"/>
    <w:rsid w:val="007C4AD4"/>
    <w:rsid w:val="007C69E1"/>
    <w:rsid w:val="007D1E13"/>
    <w:rsid w:val="007D5320"/>
    <w:rsid w:val="007D5BB8"/>
    <w:rsid w:val="007D776C"/>
    <w:rsid w:val="007E4BFD"/>
    <w:rsid w:val="007F53E6"/>
    <w:rsid w:val="00800972"/>
    <w:rsid w:val="00804475"/>
    <w:rsid w:val="00811633"/>
    <w:rsid w:val="00811754"/>
    <w:rsid w:val="008207E0"/>
    <w:rsid w:val="00841216"/>
    <w:rsid w:val="00846934"/>
    <w:rsid w:val="00872FC8"/>
    <w:rsid w:val="008845D0"/>
    <w:rsid w:val="00884D60"/>
    <w:rsid w:val="00892416"/>
    <w:rsid w:val="008A39EB"/>
    <w:rsid w:val="008A73FE"/>
    <w:rsid w:val="008A7571"/>
    <w:rsid w:val="008B2C76"/>
    <w:rsid w:val="008B43F2"/>
    <w:rsid w:val="008B6CFF"/>
    <w:rsid w:val="008D3352"/>
    <w:rsid w:val="008E6622"/>
    <w:rsid w:val="008E7502"/>
    <w:rsid w:val="008F4123"/>
    <w:rsid w:val="009268D3"/>
    <w:rsid w:val="009274B4"/>
    <w:rsid w:val="00934EA2"/>
    <w:rsid w:val="00944A5C"/>
    <w:rsid w:val="00952A66"/>
    <w:rsid w:val="009605D0"/>
    <w:rsid w:val="0096064A"/>
    <w:rsid w:val="00973A7F"/>
    <w:rsid w:val="0098417B"/>
    <w:rsid w:val="009B540D"/>
    <w:rsid w:val="009B7C9A"/>
    <w:rsid w:val="009C0AE4"/>
    <w:rsid w:val="009C4445"/>
    <w:rsid w:val="009C56E5"/>
    <w:rsid w:val="009E3FAE"/>
    <w:rsid w:val="009E5FC8"/>
    <w:rsid w:val="009E687A"/>
    <w:rsid w:val="009F1442"/>
    <w:rsid w:val="00A05343"/>
    <w:rsid w:val="00A066F1"/>
    <w:rsid w:val="00A1052F"/>
    <w:rsid w:val="00A141AF"/>
    <w:rsid w:val="00A16D29"/>
    <w:rsid w:val="00A30305"/>
    <w:rsid w:val="00A31D2D"/>
    <w:rsid w:val="00A4600A"/>
    <w:rsid w:val="00A46E2F"/>
    <w:rsid w:val="00A52B87"/>
    <w:rsid w:val="00A538A6"/>
    <w:rsid w:val="00A54C25"/>
    <w:rsid w:val="00A67C90"/>
    <w:rsid w:val="00A710E7"/>
    <w:rsid w:val="00A71717"/>
    <w:rsid w:val="00A7372E"/>
    <w:rsid w:val="00A82647"/>
    <w:rsid w:val="00A93B85"/>
    <w:rsid w:val="00A94E35"/>
    <w:rsid w:val="00AA0B18"/>
    <w:rsid w:val="00AA3C65"/>
    <w:rsid w:val="00AA3CE4"/>
    <w:rsid w:val="00AA666F"/>
    <w:rsid w:val="00AB451E"/>
    <w:rsid w:val="00AC3153"/>
    <w:rsid w:val="00AE2734"/>
    <w:rsid w:val="00AE6566"/>
    <w:rsid w:val="00AF0165"/>
    <w:rsid w:val="00AF3B80"/>
    <w:rsid w:val="00B21B14"/>
    <w:rsid w:val="00B31DF7"/>
    <w:rsid w:val="00B62261"/>
    <w:rsid w:val="00B639E9"/>
    <w:rsid w:val="00B72BE5"/>
    <w:rsid w:val="00B817CD"/>
    <w:rsid w:val="00B81A7D"/>
    <w:rsid w:val="00B825A2"/>
    <w:rsid w:val="00B94AD0"/>
    <w:rsid w:val="00B950E7"/>
    <w:rsid w:val="00BB3A95"/>
    <w:rsid w:val="00BC5FAD"/>
    <w:rsid w:val="00BD6CCE"/>
    <w:rsid w:val="00BE21B1"/>
    <w:rsid w:val="00BE5C34"/>
    <w:rsid w:val="00BE5ECE"/>
    <w:rsid w:val="00BF0EEC"/>
    <w:rsid w:val="00C0018F"/>
    <w:rsid w:val="00C1059C"/>
    <w:rsid w:val="00C1483D"/>
    <w:rsid w:val="00C1608D"/>
    <w:rsid w:val="00C16A5A"/>
    <w:rsid w:val="00C20466"/>
    <w:rsid w:val="00C214ED"/>
    <w:rsid w:val="00C234E6"/>
    <w:rsid w:val="00C23874"/>
    <w:rsid w:val="00C26D51"/>
    <w:rsid w:val="00C324A8"/>
    <w:rsid w:val="00C54517"/>
    <w:rsid w:val="00C624B0"/>
    <w:rsid w:val="00C64CD8"/>
    <w:rsid w:val="00C66DE1"/>
    <w:rsid w:val="00C66F94"/>
    <w:rsid w:val="00C83A11"/>
    <w:rsid w:val="00C96A72"/>
    <w:rsid w:val="00C97C68"/>
    <w:rsid w:val="00CA1A47"/>
    <w:rsid w:val="00CA4C2B"/>
    <w:rsid w:val="00CA6DA1"/>
    <w:rsid w:val="00CB44E5"/>
    <w:rsid w:val="00CB6C23"/>
    <w:rsid w:val="00CC247A"/>
    <w:rsid w:val="00CC2B29"/>
    <w:rsid w:val="00CD4F7C"/>
    <w:rsid w:val="00CD698F"/>
    <w:rsid w:val="00CE388F"/>
    <w:rsid w:val="00CE5E47"/>
    <w:rsid w:val="00CE6ADC"/>
    <w:rsid w:val="00CF020F"/>
    <w:rsid w:val="00CF2B5B"/>
    <w:rsid w:val="00CF7DE7"/>
    <w:rsid w:val="00D010D5"/>
    <w:rsid w:val="00D07750"/>
    <w:rsid w:val="00D14CE0"/>
    <w:rsid w:val="00D157BB"/>
    <w:rsid w:val="00D20A08"/>
    <w:rsid w:val="00D268B3"/>
    <w:rsid w:val="00D36907"/>
    <w:rsid w:val="00D408ED"/>
    <w:rsid w:val="00D4711B"/>
    <w:rsid w:val="00D54009"/>
    <w:rsid w:val="00D5651D"/>
    <w:rsid w:val="00D57A34"/>
    <w:rsid w:val="00D74898"/>
    <w:rsid w:val="00D801ED"/>
    <w:rsid w:val="00D83A95"/>
    <w:rsid w:val="00D869FC"/>
    <w:rsid w:val="00D90FC3"/>
    <w:rsid w:val="00D936BC"/>
    <w:rsid w:val="00D96530"/>
    <w:rsid w:val="00DB7B4F"/>
    <w:rsid w:val="00DC57B4"/>
    <w:rsid w:val="00DD1DD7"/>
    <w:rsid w:val="00DD44AF"/>
    <w:rsid w:val="00DD5766"/>
    <w:rsid w:val="00DE274F"/>
    <w:rsid w:val="00DE2AC3"/>
    <w:rsid w:val="00DE43AD"/>
    <w:rsid w:val="00DE5692"/>
    <w:rsid w:val="00DE7108"/>
    <w:rsid w:val="00DF4BC6"/>
    <w:rsid w:val="00E03C94"/>
    <w:rsid w:val="00E162F0"/>
    <w:rsid w:val="00E205BC"/>
    <w:rsid w:val="00E223A7"/>
    <w:rsid w:val="00E24958"/>
    <w:rsid w:val="00E26226"/>
    <w:rsid w:val="00E26B12"/>
    <w:rsid w:val="00E45D05"/>
    <w:rsid w:val="00E55816"/>
    <w:rsid w:val="00E55AEF"/>
    <w:rsid w:val="00E67300"/>
    <w:rsid w:val="00E6759C"/>
    <w:rsid w:val="00E73C1F"/>
    <w:rsid w:val="00E976C1"/>
    <w:rsid w:val="00EA12E5"/>
    <w:rsid w:val="00EB55C6"/>
    <w:rsid w:val="00EB570A"/>
    <w:rsid w:val="00EE2874"/>
    <w:rsid w:val="00EF1932"/>
    <w:rsid w:val="00F02766"/>
    <w:rsid w:val="00F05BD4"/>
    <w:rsid w:val="00F456C2"/>
    <w:rsid w:val="00F6155B"/>
    <w:rsid w:val="00F65C19"/>
    <w:rsid w:val="00F668B3"/>
    <w:rsid w:val="00F82333"/>
    <w:rsid w:val="00F82C4B"/>
    <w:rsid w:val="00FA2916"/>
    <w:rsid w:val="00FC4D74"/>
    <w:rsid w:val="00FC7E11"/>
    <w:rsid w:val="00FD18DA"/>
    <w:rsid w:val="00FD2546"/>
    <w:rsid w:val="00FD772E"/>
    <w:rsid w:val="00FE78C7"/>
    <w:rsid w:val="00FE7B7A"/>
    <w:rsid w:val="00FF43AC"/>
    <w:rsid w:val="00FF5EA8"/>
    <w:rsid w:val="00FF69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E8ADF44-B842-43E8-B51C-5805D46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D1E"/>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B0D1E"/>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5B0D1E"/>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5B0D1E"/>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5B0D1E"/>
    <w:rPr>
      <w:rFonts w:ascii="Times New Roman" w:hAnsi="Times New Roman"/>
      <w:b/>
      <w:sz w:val="24"/>
      <w:lang w:val="en-GB" w:eastAsia="en-US"/>
    </w:rPr>
  </w:style>
  <w:style w:type="character" w:customStyle="1" w:styleId="Heading5Char">
    <w:name w:val="Heading 5 Char"/>
    <w:basedOn w:val="DefaultParagraphFont"/>
    <w:link w:val="Heading5"/>
    <w:uiPriority w:val="99"/>
    <w:rsid w:val="005B0D1E"/>
    <w:rPr>
      <w:rFonts w:ascii="Times New Roman" w:hAnsi="Times New Roman"/>
      <w:b/>
      <w:sz w:val="24"/>
      <w:lang w:val="en-GB" w:eastAsia="en-US"/>
    </w:rPr>
  </w:style>
  <w:style w:type="character" w:customStyle="1" w:styleId="Heading6Char">
    <w:name w:val="Heading 6 Char"/>
    <w:basedOn w:val="DefaultParagraphFont"/>
    <w:link w:val="Heading6"/>
    <w:uiPriority w:val="99"/>
    <w:rsid w:val="005B0D1E"/>
    <w:rPr>
      <w:rFonts w:ascii="Times New Roman" w:hAnsi="Times New Roman"/>
      <w:b/>
      <w:sz w:val="24"/>
      <w:lang w:val="en-GB" w:eastAsia="en-US"/>
    </w:rPr>
  </w:style>
  <w:style w:type="character" w:customStyle="1" w:styleId="Heading7Char">
    <w:name w:val="Heading 7 Char"/>
    <w:basedOn w:val="DefaultParagraphFont"/>
    <w:link w:val="Heading7"/>
    <w:uiPriority w:val="99"/>
    <w:rsid w:val="005B0D1E"/>
    <w:rPr>
      <w:rFonts w:ascii="Times New Roman" w:hAnsi="Times New Roman"/>
      <w:b/>
      <w:sz w:val="24"/>
      <w:lang w:val="en-GB" w:eastAsia="en-US"/>
    </w:rPr>
  </w:style>
  <w:style w:type="character" w:customStyle="1" w:styleId="Heading8Char">
    <w:name w:val="Heading 8 Char"/>
    <w:basedOn w:val="DefaultParagraphFont"/>
    <w:link w:val="Heading8"/>
    <w:uiPriority w:val="99"/>
    <w:rsid w:val="005B0D1E"/>
    <w:rPr>
      <w:rFonts w:ascii="Times New Roman" w:hAnsi="Times New Roman"/>
      <w:b/>
      <w:sz w:val="24"/>
      <w:lang w:val="en-GB" w:eastAsia="en-US"/>
    </w:rPr>
  </w:style>
  <w:style w:type="character" w:customStyle="1" w:styleId="Heading9Char">
    <w:name w:val="Heading 9 Char"/>
    <w:basedOn w:val="DefaultParagraphFont"/>
    <w:link w:val="Heading9"/>
    <w:uiPriority w:val="99"/>
    <w:rsid w:val="005B0D1E"/>
    <w:rPr>
      <w:rFonts w:ascii="Times New Roman" w:hAnsi="Times New Roman"/>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745AEE"/>
    <w:rPr>
      <w:rFonts w:ascii="Times New Roman" w:hAnsi="Times New Roman"/>
      <w:b/>
    </w:rPr>
  </w:style>
  <w:style w:type="character" w:customStyle="1" w:styleId="Appref">
    <w:name w:val="App_ref"/>
    <w:basedOn w:val="DefaultParagraphFont"/>
    <w:uiPriority w:val="99"/>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uiPriority w:val="99"/>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uiPriority w:val="99"/>
    <w:rsid w:val="00745AEE"/>
    <w:rPr>
      <w:vertAlign w:val="superscript"/>
    </w:rPr>
  </w:style>
  <w:style w:type="paragraph" w:customStyle="1" w:styleId="enumlev1">
    <w:name w:val="enumlev1"/>
    <w:basedOn w:val="Normal"/>
    <w:link w:val="enumlev1Char"/>
    <w:uiPriority w:val="99"/>
    <w:qFormat/>
    <w:rsid w:val="00745AEE"/>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rsid w:val="005B0D1E"/>
    <w:rPr>
      <w:rFonts w:ascii="Times New Roman" w:hAnsi="Times New Roman"/>
      <w:sz w:val="24"/>
      <w:lang w:val="en-GB" w:eastAsia="en-US"/>
    </w:r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uiPriority w:val="99"/>
    <w:rsid w:val="00190B55"/>
    <w:pPr>
      <w:spacing w:before="280"/>
    </w:pPr>
  </w:style>
  <w:style w:type="character" w:customStyle="1" w:styleId="NormalaftertitleChar">
    <w:name w:val="Normal after title Char"/>
    <w:link w:val="Normalaftertitle"/>
    <w:uiPriority w:val="99"/>
    <w:locked/>
    <w:rsid w:val="005B0D1E"/>
    <w:rPr>
      <w:rFonts w:ascii="Times New Roman" w:hAnsi="Times New Roman"/>
      <w:sz w:val="24"/>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uiPriority w:val="99"/>
    <w:rsid w:val="00190B55"/>
    <w:rPr>
      <w:b/>
      <w:color w:val="auto"/>
      <w:sz w:val="20"/>
    </w:rPr>
  </w:style>
  <w:style w:type="paragraph" w:customStyle="1" w:styleId="Tablehead">
    <w:name w:val="Table_head"/>
    <w:basedOn w:val="Normal"/>
    <w:link w:val="TableheadChar"/>
    <w:rsid w:val="00FD772E"/>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uiPriority w:val="99"/>
    <w:rsid w:val="005B0D1E"/>
    <w:rPr>
      <w:rFonts w:ascii="Times New Roman Bold" w:hAnsi="Times New Roman Bold" w:cs="Times New Roman Bold"/>
      <w:b/>
      <w:lang w:val="en-GB" w:eastAsia="en-US"/>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link w:val="TabletextChar"/>
    <w:uiPriority w:val="99"/>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5B0D1E"/>
    <w:rPr>
      <w:rFonts w:ascii="Times New Roman" w:hAnsi="Times New Roman"/>
      <w:lang w:val="en-GB" w:eastAsia="en-US"/>
    </w:rPr>
  </w:style>
  <w:style w:type="paragraph" w:customStyle="1" w:styleId="TableTextS5">
    <w:name w:val="Table_TextS5"/>
    <w:basedOn w:val="Normal"/>
    <w:uiPriority w:val="99"/>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Index1">
    <w:name w:val="index 1"/>
    <w:basedOn w:val="Normal"/>
    <w:next w:val="Normal"/>
    <w:uiPriority w:val="99"/>
    <w:rsid w:val="005B0D1E"/>
  </w:style>
  <w:style w:type="paragraph" w:styleId="Index2">
    <w:name w:val="index 2"/>
    <w:basedOn w:val="Normal"/>
    <w:next w:val="Normal"/>
    <w:uiPriority w:val="99"/>
    <w:rsid w:val="005B0D1E"/>
    <w:pPr>
      <w:ind w:left="283"/>
    </w:pPr>
  </w:style>
  <w:style w:type="paragraph" w:styleId="Index3">
    <w:name w:val="index 3"/>
    <w:basedOn w:val="Normal"/>
    <w:next w:val="Normal"/>
    <w:uiPriority w:val="99"/>
    <w:rsid w:val="005B0D1E"/>
    <w:pPr>
      <w:ind w:left="566"/>
    </w:pPr>
  </w:style>
  <w:style w:type="paragraph" w:styleId="Index4">
    <w:name w:val="index 4"/>
    <w:basedOn w:val="Normal"/>
    <w:next w:val="Normal"/>
    <w:uiPriority w:val="99"/>
    <w:rsid w:val="005B0D1E"/>
    <w:pPr>
      <w:ind w:left="849"/>
    </w:pPr>
  </w:style>
  <w:style w:type="paragraph" w:styleId="Index5">
    <w:name w:val="index 5"/>
    <w:basedOn w:val="Normal"/>
    <w:next w:val="Normal"/>
    <w:uiPriority w:val="99"/>
    <w:rsid w:val="005B0D1E"/>
    <w:pPr>
      <w:ind w:left="1132"/>
    </w:pPr>
  </w:style>
  <w:style w:type="paragraph" w:styleId="Index6">
    <w:name w:val="index 6"/>
    <w:basedOn w:val="Normal"/>
    <w:next w:val="Normal"/>
    <w:uiPriority w:val="99"/>
    <w:rsid w:val="005B0D1E"/>
    <w:pPr>
      <w:ind w:left="1415"/>
    </w:pPr>
  </w:style>
  <w:style w:type="paragraph" w:styleId="Index7">
    <w:name w:val="index 7"/>
    <w:basedOn w:val="Normal"/>
    <w:next w:val="Normal"/>
    <w:uiPriority w:val="99"/>
    <w:rsid w:val="005B0D1E"/>
    <w:pPr>
      <w:ind w:left="1698"/>
    </w:pPr>
  </w:style>
  <w:style w:type="paragraph" w:styleId="IndexHeading">
    <w:name w:val="index heading"/>
    <w:basedOn w:val="Normal"/>
    <w:next w:val="Index1"/>
    <w:uiPriority w:val="99"/>
    <w:rsid w:val="005B0D1E"/>
  </w:style>
  <w:style w:type="character" w:styleId="LineNumber">
    <w:name w:val="line number"/>
    <w:basedOn w:val="DefaultParagraphFont"/>
    <w:uiPriority w:val="99"/>
    <w:rsid w:val="005B0D1E"/>
    <w:rPr>
      <w:rFonts w:cs="Times New Roman"/>
    </w:rPr>
  </w:style>
  <w:style w:type="character" w:styleId="PageNumber">
    <w:name w:val="page number"/>
    <w:basedOn w:val="DefaultParagraphFont"/>
    <w:uiPriority w:val="99"/>
    <w:rsid w:val="005B0D1E"/>
    <w:rPr>
      <w:rFonts w:cs="Times New Roman"/>
    </w:rPr>
  </w:style>
  <w:style w:type="character" w:styleId="Hyperlink">
    <w:name w:val="Hyperlink"/>
    <w:basedOn w:val="DefaultParagraphFont"/>
    <w:uiPriority w:val="99"/>
    <w:rsid w:val="005B0D1E"/>
    <w:rPr>
      <w:rFonts w:cs="Times New Roman"/>
      <w:color w:val="0000FF"/>
      <w:u w:val="single"/>
    </w:rPr>
  </w:style>
  <w:style w:type="paragraph" w:styleId="BalloonText">
    <w:name w:val="Balloon Text"/>
    <w:basedOn w:val="Normal"/>
    <w:link w:val="BalloonTextChar"/>
    <w:uiPriority w:val="99"/>
    <w:rsid w:val="005B0D1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B0D1E"/>
    <w:rPr>
      <w:rFonts w:ascii="Tahoma" w:hAnsi="Tahoma" w:cs="Tahoma"/>
      <w:sz w:val="16"/>
      <w:szCs w:val="16"/>
      <w:lang w:val="en-GB" w:eastAsia="en-US"/>
    </w:rPr>
  </w:style>
  <w:style w:type="character" w:styleId="FollowedHyperlink">
    <w:name w:val="FollowedHyperlink"/>
    <w:basedOn w:val="DefaultParagraphFont"/>
    <w:uiPriority w:val="99"/>
    <w:rsid w:val="005B0D1E"/>
    <w:rPr>
      <w:rFonts w:cs="Times New Roman"/>
      <w:color w:val="800080"/>
      <w:u w:val="single"/>
    </w:rPr>
  </w:style>
  <w:style w:type="table" w:styleId="TableGrid">
    <w:name w:val="Table Grid"/>
    <w:basedOn w:val="TableNormal"/>
    <w:rsid w:val="005B0D1E"/>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0D1E"/>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B0D1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Arial"/>
      <w:sz w:val="22"/>
      <w:szCs w:val="22"/>
      <w:lang w:val="en-US" w:eastAsia="zh-CN"/>
    </w:rPr>
  </w:style>
  <w:style w:type="paragraph" w:styleId="NormalWeb">
    <w:name w:val="Normal (Web)"/>
    <w:basedOn w:val="Normal"/>
    <w:uiPriority w:val="99"/>
    <w:unhideWhenUsed/>
    <w:rsid w:val="005B0D1E"/>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paragraph" w:styleId="TOCHeading">
    <w:name w:val="TOC Heading"/>
    <w:basedOn w:val="Heading1"/>
    <w:next w:val="Normal"/>
    <w:uiPriority w:val="39"/>
    <w:unhideWhenUsed/>
    <w:qFormat/>
    <w:rsid w:val="005B0D1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styleId="BodyText2">
    <w:name w:val="Body Text 2"/>
    <w:basedOn w:val="Normal"/>
    <w:link w:val="BodyText2Char"/>
    <w:rsid w:val="005B0D1E"/>
    <w:pPr>
      <w:tabs>
        <w:tab w:val="clear" w:pos="1134"/>
        <w:tab w:val="clear" w:pos="1871"/>
        <w:tab w:val="clear" w:pos="2268"/>
        <w:tab w:val="left" w:pos="900"/>
        <w:tab w:val="left" w:pos="1191"/>
        <w:tab w:val="left" w:pos="1588"/>
        <w:tab w:val="left" w:pos="1985"/>
      </w:tabs>
    </w:pPr>
    <w:rPr>
      <w:szCs w:val="22"/>
    </w:rPr>
  </w:style>
  <w:style w:type="character" w:customStyle="1" w:styleId="BodyText2Char">
    <w:name w:val="Body Text 2 Char"/>
    <w:basedOn w:val="DefaultParagraphFont"/>
    <w:link w:val="BodyText2"/>
    <w:rsid w:val="005B0D1E"/>
    <w:rPr>
      <w:rFonts w:ascii="Times New Roman" w:hAnsi="Times New Roman"/>
      <w:sz w:val="24"/>
      <w:szCs w:val="22"/>
      <w:lang w:val="en-GB" w:eastAsia="en-US"/>
    </w:rPr>
  </w:style>
  <w:style w:type="character" w:styleId="Strong">
    <w:name w:val="Strong"/>
    <w:basedOn w:val="DefaultParagraphFont"/>
    <w:uiPriority w:val="22"/>
    <w:qFormat/>
    <w:rsid w:val="005B0D1E"/>
    <w:rPr>
      <w:b/>
      <w:bCs/>
    </w:rPr>
  </w:style>
  <w:style w:type="paragraph" w:customStyle="1" w:styleId="Normalaftertitle0">
    <w:name w:val="Normal_after_title"/>
    <w:basedOn w:val="Normal"/>
    <w:next w:val="Normal"/>
    <w:rsid w:val="005B0D1E"/>
    <w:pPr>
      <w:tabs>
        <w:tab w:val="clear" w:pos="1134"/>
        <w:tab w:val="clear" w:pos="1871"/>
        <w:tab w:val="clear" w:pos="2268"/>
        <w:tab w:val="left" w:pos="794"/>
        <w:tab w:val="left" w:pos="1191"/>
        <w:tab w:val="left" w:pos="1588"/>
        <w:tab w:val="left" w:pos="1985"/>
      </w:tabs>
      <w:spacing w:before="360"/>
    </w:pPr>
  </w:style>
  <w:style w:type="paragraph" w:styleId="TOC9">
    <w:name w:val="toc 9"/>
    <w:basedOn w:val="Normal"/>
    <w:next w:val="Normal"/>
    <w:autoRedefine/>
    <w:uiPriority w:val="39"/>
    <w:unhideWhenUsed/>
    <w:rsid w:val="005B0D1E"/>
    <w:pPr>
      <w:tabs>
        <w:tab w:val="clear" w:pos="1134"/>
        <w:tab w:val="clear" w:pos="1871"/>
        <w:tab w:val="clear" w:pos="2268"/>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eastAsia="zh-CN"/>
    </w:rPr>
  </w:style>
  <w:style w:type="paragraph" w:styleId="BodyText">
    <w:name w:val="Body Text"/>
    <w:basedOn w:val="Normal"/>
    <w:link w:val="BodyTextChar"/>
    <w:unhideWhenUsed/>
    <w:rsid w:val="002E34F1"/>
    <w:pPr>
      <w:spacing w:after="120"/>
    </w:pPr>
  </w:style>
  <w:style w:type="character" w:customStyle="1" w:styleId="BodyTextChar">
    <w:name w:val="Body Text Char"/>
    <w:basedOn w:val="DefaultParagraphFont"/>
    <w:link w:val="BodyText"/>
    <w:rsid w:val="002E34F1"/>
    <w:rPr>
      <w:rFonts w:ascii="Times New Roman" w:hAnsi="Times New Roman"/>
      <w:sz w:val="24"/>
      <w:lang w:val="en-GB" w:eastAsia="en-US"/>
    </w:rPr>
  </w:style>
  <w:style w:type="paragraph" w:customStyle="1" w:styleId="TableText0">
    <w:name w:val="Table_Text"/>
    <w:basedOn w:val="Normal"/>
    <w:rsid w:val="002E34F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styleId="Revision">
    <w:name w:val="Revision"/>
    <w:hidden/>
    <w:uiPriority w:val="99"/>
    <w:semiHidden/>
    <w:rsid w:val="00DE43AD"/>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tu.int/es/ITU-R/space/Pages/XMLmaskDataFile.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Word_Document1.docx"/><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R15-WRC15-C-4444!!MSW-E</DPM_x0020_File_x0020_name>
    <DPM_x0020_Author xmlns="32a1a8c5-2265-4ebc-b7a0-2071e2c5c9bb" xsi:nil="false">Documents Proposals Manager (DPM)</DPM_x0020_Author>
    <DPM_x0020_Version xmlns="32a1a8c5-2265-4ebc-b7a0-2071e2c5c9bb" xsi:nil="false">DPM_v5.2015.7.15_prod</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2.xml><?xml version="1.0" encoding="utf-8"?>
<ds:datastoreItem xmlns:ds="http://schemas.openxmlformats.org/officeDocument/2006/customXml" ds:itemID="{3E03C5D0-CD08-416E-8CCD-389EDE1E03CE}">
  <ds:schemaRefs>
    <ds:schemaRef ds:uri="32a1a8c5-2265-4ebc-b7a0-2071e2c5c9bb"/>
    <ds:schemaRef ds:uri="http://purl.org/dc/dcmitype/"/>
    <ds:schemaRef ds:uri="http://schemas.microsoft.com/office/2006/metadata/properties"/>
    <ds:schemaRef ds:uri="http://purl.org/dc/terms/"/>
    <ds:schemaRef ds:uri="996b2e75-67fd-4955-a3b0-5ab9934cb50b"/>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5.xml><?xml version="1.0" encoding="utf-8"?>
<ds:datastoreItem xmlns:ds="http://schemas.openxmlformats.org/officeDocument/2006/customXml" ds:itemID="{993B7C43-6D65-4DB8-B6D8-08702A96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2757</Words>
  <Characters>14945</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R15-WRC15-C-4444!!MSW-E</vt:lpstr>
      <vt:lpstr>R15-WRC15-C-4444!!MSW-E</vt:lpstr>
    </vt:vector>
  </TitlesOfParts>
  <Manager>General Secretariat - Pool</Manager>
  <Company>International Telecommunication Union (ITU)</Company>
  <LinksUpToDate>false</LinksUpToDate>
  <CharactersWithSpaces>17667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R15-WRC15-C-4444!!MSW-E</dc:title>
  <dc:subject>World Radiocommunication Conference - 2015</dc:subject>
  <dc:creator>Documents Proposals Manager (DPM)</dc:creator>
  <cp:keywords>DPM_v5.2015.7.15_prod</cp:keywords>
  <dc:description>Uploaded on 2015.07.06</dc:description>
  <cp:lastModifiedBy>Saez Grau, Ricardo</cp:lastModifiedBy>
  <cp:revision>54</cp:revision>
  <cp:lastPrinted>2015-10-31T00:16:00Z</cp:lastPrinted>
  <dcterms:created xsi:type="dcterms:W3CDTF">2015-10-30T21:59:00Z</dcterms:created>
  <dcterms:modified xsi:type="dcterms:W3CDTF">2015-10-31T00:36:00Z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