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7B4B7B" w:rsidTr="00876A8A">
        <w:trPr>
          <w:cantSplit/>
        </w:trPr>
        <w:tc>
          <w:tcPr>
            <w:tcW w:w="6487" w:type="dxa"/>
            <w:vAlign w:val="center"/>
          </w:tcPr>
          <w:p w:rsidR="009F6520" w:rsidRPr="007B4B7B" w:rsidRDefault="009F6520" w:rsidP="009F6520">
            <w:pPr>
              <w:shd w:val="solid" w:color="FFFFFF" w:fill="FFFFFF"/>
              <w:spacing w:before="0"/>
              <w:rPr>
                <w:rFonts w:ascii="Verdana" w:hAnsi="Verdana" w:cs="Times New Roman Bold"/>
                <w:b/>
                <w:bCs/>
                <w:sz w:val="26"/>
                <w:szCs w:val="26"/>
                <w:lang w:val="en-US"/>
              </w:rPr>
            </w:pPr>
            <w:proofErr w:type="spellStart"/>
            <w:r w:rsidRPr="007B4B7B">
              <w:rPr>
                <w:rFonts w:ascii="Verdana" w:hAnsi="Verdana" w:cs="Times New Roman Bold"/>
                <w:b/>
                <w:bCs/>
                <w:sz w:val="26"/>
                <w:szCs w:val="26"/>
                <w:lang w:val="en-US"/>
              </w:rPr>
              <w:t>Radiocommunication</w:t>
            </w:r>
            <w:proofErr w:type="spellEnd"/>
            <w:r w:rsidRPr="007B4B7B">
              <w:rPr>
                <w:rFonts w:ascii="Verdana" w:hAnsi="Verdana" w:cs="Times New Roman Bold"/>
                <w:b/>
                <w:bCs/>
                <w:sz w:val="26"/>
                <w:szCs w:val="26"/>
                <w:lang w:val="en-US"/>
              </w:rPr>
              <w:t xml:space="preserve"> Study Groups</w:t>
            </w:r>
          </w:p>
        </w:tc>
        <w:tc>
          <w:tcPr>
            <w:tcW w:w="3402" w:type="dxa"/>
          </w:tcPr>
          <w:p w:rsidR="009F6520" w:rsidRPr="007B4B7B" w:rsidRDefault="009F14CE" w:rsidP="009F14CE">
            <w:pPr>
              <w:shd w:val="solid" w:color="FFFFFF" w:fill="FFFFFF"/>
              <w:spacing w:before="0" w:line="240" w:lineRule="atLeast"/>
              <w:rPr>
                <w:lang w:val="en-US"/>
              </w:rPr>
            </w:pPr>
            <w:bookmarkStart w:id="0" w:name="ditulogo"/>
            <w:bookmarkEnd w:id="0"/>
            <w:r w:rsidRPr="007B4B7B">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7B4B7B" w:rsidTr="00876A8A">
        <w:trPr>
          <w:cantSplit/>
        </w:trPr>
        <w:tc>
          <w:tcPr>
            <w:tcW w:w="6487" w:type="dxa"/>
            <w:tcBorders>
              <w:bottom w:val="single" w:sz="12" w:space="0" w:color="auto"/>
            </w:tcBorders>
          </w:tcPr>
          <w:p w:rsidR="000069D4" w:rsidRPr="007B4B7B"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rsidR="000069D4" w:rsidRPr="007B4B7B" w:rsidRDefault="000069D4" w:rsidP="00A5173C">
            <w:pPr>
              <w:shd w:val="solid" w:color="FFFFFF" w:fill="FFFFFF"/>
              <w:spacing w:before="0" w:after="48" w:line="240" w:lineRule="atLeast"/>
              <w:rPr>
                <w:sz w:val="22"/>
                <w:szCs w:val="22"/>
                <w:lang w:val="en-US"/>
              </w:rPr>
            </w:pPr>
          </w:p>
        </w:tc>
      </w:tr>
      <w:tr w:rsidR="000069D4" w:rsidRPr="007B4B7B" w:rsidTr="00876A8A">
        <w:trPr>
          <w:cantSplit/>
        </w:trPr>
        <w:tc>
          <w:tcPr>
            <w:tcW w:w="6487" w:type="dxa"/>
            <w:tcBorders>
              <w:top w:val="single" w:sz="12" w:space="0" w:color="auto"/>
            </w:tcBorders>
          </w:tcPr>
          <w:p w:rsidR="000069D4" w:rsidRPr="007B4B7B"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rsidR="000069D4" w:rsidRPr="007B4B7B" w:rsidRDefault="000069D4" w:rsidP="00A5173C">
            <w:pPr>
              <w:shd w:val="solid" w:color="FFFFFF" w:fill="FFFFFF"/>
              <w:spacing w:before="0" w:after="48" w:line="240" w:lineRule="atLeast"/>
              <w:rPr>
                <w:lang w:val="en-US"/>
              </w:rPr>
            </w:pPr>
          </w:p>
        </w:tc>
      </w:tr>
      <w:tr w:rsidR="000069D4" w:rsidRPr="007B4B7B" w:rsidTr="00876A8A">
        <w:trPr>
          <w:cantSplit/>
        </w:trPr>
        <w:tc>
          <w:tcPr>
            <w:tcW w:w="6487" w:type="dxa"/>
            <w:vMerge w:val="restart"/>
          </w:tcPr>
          <w:p w:rsidR="009F14CE" w:rsidRPr="007B4B7B" w:rsidRDefault="009142B6" w:rsidP="009F14CE">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7B4B7B">
              <w:rPr>
                <w:rFonts w:ascii="Verdana" w:hAnsi="Verdana"/>
                <w:sz w:val="20"/>
                <w:lang w:val="en-US"/>
              </w:rPr>
              <w:t>Source:</w:t>
            </w:r>
            <w:r w:rsidRPr="007B4B7B">
              <w:rPr>
                <w:rFonts w:ascii="Verdana" w:hAnsi="Verdana"/>
                <w:sz w:val="20"/>
                <w:lang w:val="en-US"/>
              </w:rPr>
              <w:tab/>
            </w:r>
            <w:bookmarkStart w:id="3" w:name="_GoBack"/>
            <w:bookmarkEnd w:id="3"/>
            <w:r w:rsidRPr="007B4B7B">
              <w:rPr>
                <w:rFonts w:ascii="Verdana" w:hAnsi="Verdana"/>
                <w:sz w:val="20"/>
                <w:lang w:val="en-US"/>
              </w:rPr>
              <w:t xml:space="preserve">Document </w:t>
            </w:r>
            <w:proofErr w:type="spellStart"/>
            <w:r w:rsidRPr="007B4B7B">
              <w:rPr>
                <w:rFonts w:ascii="Verdana" w:hAnsi="Verdana"/>
                <w:sz w:val="20"/>
                <w:lang w:val="en-US"/>
              </w:rPr>
              <w:t>5A</w:t>
            </w:r>
            <w:proofErr w:type="spellEnd"/>
            <w:r w:rsidRPr="007B4B7B">
              <w:rPr>
                <w:rFonts w:ascii="Verdana" w:hAnsi="Verdana"/>
                <w:sz w:val="20"/>
                <w:lang w:val="en-US"/>
              </w:rPr>
              <w:t>/TEMP/222</w:t>
            </w:r>
          </w:p>
        </w:tc>
        <w:tc>
          <w:tcPr>
            <w:tcW w:w="3402" w:type="dxa"/>
          </w:tcPr>
          <w:p w:rsidR="000069D4" w:rsidRPr="007B4B7B" w:rsidRDefault="009142B6" w:rsidP="00D07FF2">
            <w:pPr>
              <w:shd w:val="solid" w:color="FFFFFF" w:fill="FFFFFF"/>
              <w:spacing w:before="0" w:line="240" w:lineRule="atLeast"/>
              <w:rPr>
                <w:rFonts w:ascii="Verdana" w:hAnsi="Verdana"/>
                <w:sz w:val="20"/>
                <w:lang w:val="en-US" w:eastAsia="zh-CN"/>
              </w:rPr>
            </w:pPr>
            <w:r w:rsidRPr="007B4B7B">
              <w:rPr>
                <w:rFonts w:ascii="Verdana" w:hAnsi="Verdana"/>
                <w:b/>
                <w:sz w:val="20"/>
                <w:lang w:val="en-US" w:eastAsia="zh-CN"/>
              </w:rPr>
              <w:t>Annex 28 to</w:t>
            </w:r>
            <w:r w:rsidR="00D07FF2" w:rsidRPr="007B4B7B">
              <w:rPr>
                <w:rFonts w:ascii="Verdana" w:hAnsi="Verdana"/>
                <w:b/>
                <w:sz w:val="20"/>
                <w:lang w:val="en-US" w:eastAsia="zh-CN"/>
              </w:rPr>
              <w:br/>
            </w:r>
            <w:r w:rsidR="009F14CE" w:rsidRPr="007B4B7B">
              <w:rPr>
                <w:rFonts w:ascii="Verdana" w:hAnsi="Verdana"/>
                <w:b/>
                <w:sz w:val="20"/>
                <w:lang w:val="en-US" w:eastAsia="zh-CN"/>
              </w:rPr>
              <w:t xml:space="preserve">Document </w:t>
            </w:r>
            <w:proofErr w:type="spellStart"/>
            <w:r w:rsidR="009F14CE" w:rsidRPr="007B4B7B">
              <w:rPr>
                <w:rFonts w:ascii="Verdana" w:hAnsi="Verdana"/>
                <w:b/>
                <w:sz w:val="20"/>
                <w:lang w:val="en-US" w:eastAsia="zh-CN"/>
              </w:rPr>
              <w:t>5A</w:t>
            </w:r>
            <w:proofErr w:type="spellEnd"/>
            <w:r w:rsidR="009F14CE" w:rsidRPr="007B4B7B">
              <w:rPr>
                <w:rFonts w:ascii="Verdana" w:hAnsi="Verdana"/>
                <w:b/>
                <w:sz w:val="20"/>
                <w:lang w:val="en-US" w:eastAsia="zh-CN"/>
              </w:rPr>
              <w:t>/</w:t>
            </w:r>
            <w:r w:rsidRPr="007B4B7B">
              <w:rPr>
                <w:rFonts w:ascii="Verdana" w:hAnsi="Verdana"/>
                <w:b/>
                <w:sz w:val="20"/>
                <w:lang w:val="en-US" w:eastAsia="zh-CN"/>
              </w:rPr>
              <w:t>650</w:t>
            </w:r>
            <w:r w:rsidR="009F14CE" w:rsidRPr="007B4B7B">
              <w:rPr>
                <w:rFonts w:ascii="Verdana" w:hAnsi="Verdana"/>
                <w:b/>
                <w:sz w:val="20"/>
                <w:lang w:val="en-US" w:eastAsia="zh-CN"/>
              </w:rPr>
              <w:t>-E</w:t>
            </w:r>
          </w:p>
        </w:tc>
      </w:tr>
      <w:tr w:rsidR="000069D4" w:rsidRPr="007B4B7B" w:rsidTr="00876A8A">
        <w:trPr>
          <w:cantSplit/>
        </w:trPr>
        <w:tc>
          <w:tcPr>
            <w:tcW w:w="6487" w:type="dxa"/>
            <w:vMerge/>
          </w:tcPr>
          <w:p w:rsidR="000069D4" w:rsidRPr="007B4B7B" w:rsidRDefault="000069D4" w:rsidP="00A5173C">
            <w:pPr>
              <w:spacing w:before="60"/>
              <w:jc w:val="center"/>
              <w:rPr>
                <w:b/>
                <w:smallCaps/>
                <w:sz w:val="32"/>
                <w:lang w:val="en-US" w:eastAsia="zh-CN"/>
              </w:rPr>
            </w:pPr>
            <w:bookmarkStart w:id="4" w:name="ddate" w:colFirst="1" w:colLast="1"/>
            <w:bookmarkEnd w:id="2"/>
          </w:p>
        </w:tc>
        <w:tc>
          <w:tcPr>
            <w:tcW w:w="3402" w:type="dxa"/>
          </w:tcPr>
          <w:p w:rsidR="000069D4" w:rsidRPr="007B4B7B" w:rsidRDefault="00D07FF2" w:rsidP="00A5173C">
            <w:pPr>
              <w:shd w:val="solid" w:color="FFFFFF" w:fill="FFFFFF"/>
              <w:spacing w:before="0" w:line="240" w:lineRule="atLeast"/>
              <w:rPr>
                <w:rFonts w:ascii="Verdana" w:hAnsi="Verdana"/>
                <w:sz w:val="20"/>
                <w:lang w:val="en-US" w:eastAsia="zh-CN"/>
              </w:rPr>
            </w:pPr>
            <w:r w:rsidRPr="007B4B7B">
              <w:rPr>
                <w:rFonts w:ascii="Verdana" w:hAnsi="Verdana"/>
                <w:b/>
                <w:sz w:val="20"/>
                <w:lang w:val="en-US" w:eastAsia="zh-CN"/>
              </w:rPr>
              <w:t>21</w:t>
            </w:r>
            <w:r w:rsidR="009F14CE" w:rsidRPr="007B4B7B">
              <w:rPr>
                <w:rFonts w:ascii="Verdana" w:hAnsi="Verdana"/>
                <w:b/>
                <w:sz w:val="20"/>
                <w:lang w:val="en-US" w:eastAsia="zh-CN"/>
              </w:rPr>
              <w:t xml:space="preserve"> November 2017</w:t>
            </w:r>
          </w:p>
        </w:tc>
      </w:tr>
      <w:tr w:rsidR="000069D4" w:rsidRPr="007B4B7B" w:rsidTr="00876A8A">
        <w:trPr>
          <w:cantSplit/>
        </w:trPr>
        <w:tc>
          <w:tcPr>
            <w:tcW w:w="6487" w:type="dxa"/>
            <w:vMerge/>
          </w:tcPr>
          <w:p w:rsidR="000069D4" w:rsidRPr="007B4B7B" w:rsidRDefault="000069D4" w:rsidP="00A5173C">
            <w:pPr>
              <w:spacing w:before="60"/>
              <w:jc w:val="center"/>
              <w:rPr>
                <w:b/>
                <w:smallCaps/>
                <w:sz w:val="32"/>
                <w:lang w:val="en-US" w:eastAsia="zh-CN"/>
              </w:rPr>
            </w:pPr>
            <w:bookmarkStart w:id="5" w:name="dorlang" w:colFirst="1" w:colLast="1"/>
            <w:bookmarkEnd w:id="4"/>
          </w:p>
        </w:tc>
        <w:tc>
          <w:tcPr>
            <w:tcW w:w="3402" w:type="dxa"/>
          </w:tcPr>
          <w:p w:rsidR="000069D4" w:rsidRPr="007B4B7B" w:rsidRDefault="009F14CE" w:rsidP="00A5173C">
            <w:pPr>
              <w:shd w:val="solid" w:color="FFFFFF" w:fill="FFFFFF"/>
              <w:spacing w:before="0" w:line="240" w:lineRule="atLeast"/>
              <w:rPr>
                <w:rFonts w:ascii="Verdana" w:eastAsia="SimSun" w:hAnsi="Verdana"/>
                <w:sz w:val="20"/>
                <w:lang w:val="en-US" w:eastAsia="zh-CN"/>
              </w:rPr>
            </w:pPr>
            <w:r w:rsidRPr="007B4B7B">
              <w:rPr>
                <w:rFonts w:ascii="Verdana" w:eastAsia="SimSun" w:hAnsi="Verdana"/>
                <w:b/>
                <w:sz w:val="20"/>
                <w:lang w:val="en-US" w:eastAsia="zh-CN"/>
              </w:rPr>
              <w:t>English only</w:t>
            </w:r>
          </w:p>
        </w:tc>
      </w:tr>
      <w:tr w:rsidR="009142B6" w:rsidRPr="007B4B7B" w:rsidTr="00D046A7">
        <w:trPr>
          <w:cantSplit/>
        </w:trPr>
        <w:tc>
          <w:tcPr>
            <w:tcW w:w="9889" w:type="dxa"/>
            <w:gridSpan w:val="2"/>
          </w:tcPr>
          <w:p w:rsidR="009142B6" w:rsidRPr="007B4B7B" w:rsidRDefault="009142B6" w:rsidP="009142B6">
            <w:pPr>
              <w:pStyle w:val="Source"/>
              <w:rPr>
                <w:lang w:val="en-US" w:eastAsia="zh-CN"/>
              </w:rPr>
            </w:pPr>
            <w:bookmarkStart w:id="6" w:name="dsource" w:colFirst="0" w:colLast="0"/>
            <w:bookmarkEnd w:id="5"/>
            <w:r w:rsidRPr="007B4B7B">
              <w:rPr>
                <w:lang w:val="en-US" w:eastAsia="zh-CN"/>
              </w:rPr>
              <w:t xml:space="preserve">Annex 28 to Working Party </w:t>
            </w:r>
            <w:proofErr w:type="spellStart"/>
            <w:r w:rsidRPr="007B4B7B">
              <w:rPr>
                <w:lang w:val="en-US" w:eastAsia="zh-CN"/>
              </w:rPr>
              <w:t>5A</w:t>
            </w:r>
            <w:proofErr w:type="spellEnd"/>
            <w:r w:rsidRPr="007B4B7B">
              <w:rPr>
                <w:lang w:val="en-US" w:eastAsia="zh-CN"/>
              </w:rPr>
              <w:t xml:space="preserve"> Chairman’s Report</w:t>
            </w:r>
          </w:p>
        </w:tc>
      </w:tr>
      <w:tr w:rsidR="009142B6" w:rsidRPr="007B4B7B" w:rsidTr="00D046A7">
        <w:trPr>
          <w:cantSplit/>
        </w:trPr>
        <w:tc>
          <w:tcPr>
            <w:tcW w:w="9889" w:type="dxa"/>
            <w:gridSpan w:val="2"/>
          </w:tcPr>
          <w:p w:rsidR="009142B6" w:rsidRPr="007B4B7B" w:rsidRDefault="009142B6" w:rsidP="008A3B25">
            <w:pPr>
              <w:pStyle w:val="RepNo"/>
              <w:rPr>
                <w:lang w:val="en-US" w:eastAsia="zh-CN"/>
              </w:rPr>
            </w:pPr>
            <w:bookmarkStart w:id="7" w:name="drec" w:colFirst="0" w:colLast="0"/>
            <w:bookmarkEnd w:id="6"/>
            <w:r w:rsidRPr="007B4B7B">
              <w:rPr>
                <w:lang w:val="en-US" w:eastAsia="ja-JP"/>
              </w:rPr>
              <w:t xml:space="preserve">working document towards a PRELIMINARY DRAFT NEW </w:t>
            </w:r>
            <w:r w:rsidRPr="007B4B7B">
              <w:rPr>
                <w:lang w:val="en-US" w:eastAsia="ja-JP"/>
              </w:rPr>
              <w:br/>
              <w:t xml:space="preserve">REPORT </w:t>
            </w:r>
            <w:proofErr w:type="spellStart"/>
            <w:r w:rsidRPr="007B4B7B">
              <w:rPr>
                <w:lang w:val="en-US" w:eastAsia="ja-JP"/>
              </w:rPr>
              <w:t>ITU</w:t>
            </w:r>
            <w:proofErr w:type="spellEnd"/>
            <w:r w:rsidRPr="007B4B7B">
              <w:rPr>
                <w:lang w:val="en-US" w:eastAsia="ja-JP"/>
              </w:rPr>
              <w:t>-R M.[90-</w:t>
            </w:r>
            <w:proofErr w:type="spellStart"/>
            <w:r w:rsidRPr="007B4B7B">
              <w:rPr>
                <w:lang w:val="en-US" w:eastAsia="ja-JP"/>
              </w:rPr>
              <w:t>ghz.RSTT.COEXIST</w:t>
            </w:r>
            <w:proofErr w:type="spellEnd"/>
            <w:r w:rsidRPr="007B4B7B">
              <w:rPr>
                <w:lang w:val="en-US" w:eastAsia="ja-JP"/>
              </w:rPr>
              <w:t>]</w:t>
            </w:r>
          </w:p>
        </w:tc>
      </w:tr>
      <w:tr w:rsidR="009142B6" w:rsidRPr="007B4B7B" w:rsidTr="00D046A7">
        <w:trPr>
          <w:cantSplit/>
        </w:trPr>
        <w:tc>
          <w:tcPr>
            <w:tcW w:w="9889" w:type="dxa"/>
            <w:gridSpan w:val="2"/>
          </w:tcPr>
          <w:p w:rsidR="009142B6" w:rsidRPr="007B4B7B" w:rsidRDefault="009142B6" w:rsidP="008A3B25">
            <w:pPr>
              <w:pStyle w:val="Reptitle"/>
              <w:rPr>
                <w:lang w:val="en-US" w:eastAsia="zh-CN"/>
              </w:rPr>
            </w:pPr>
            <w:bookmarkStart w:id="8" w:name="dtitle1" w:colFirst="0" w:colLast="0"/>
            <w:bookmarkEnd w:id="7"/>
            <w:r w:rsidRPr="007B4B7B">
              <w:rPr>
                <w:lang w:val="en-US" w:eastAsia="ja-JP"/>
              </w:rPr>
              <w:t xml:space="preserve">Coexistence between high-speed railway </w:t>
            </w:r>
            <w:proofErr w:type="spellStart"/>
            <w:r w:rsidRPr="007B4B7B">
              <w:rPr>
                <w:lang w:val="en-US" w:eastAsia="ja-JP"/>
              </w:rPr>
              <w:t>radiocommunication</w:t>
            </w:r>
            <w:proofErr w:type="spellEnd"/>
            <w:r w:rsidRPr="007B4B7B">
              <w:rPr>
                <w:lang w:val="en-US" w:eastAsia="ja-JP"/>
              </w:rPr>
              <w:t xml:space="preserve"> system between train and trackside operating in the frequency bands 92-94 GHz, 94.1-100 GHz and 102-109.5 GHz, and active and passive services</w:t>
            </w:r>
          </w:p>
        </w:tc>
      </w:tr>
    </w:tbl>
    <w:p w:rsidR="009F14CE" w:rsidRPr="007B4B7B" w:rsidRDefault="009F14CE">
      <w:pPr>
        <w:pStyle w:val="Heading1"/>
        <w:rPr>
          <w:lang w:val="en-US"/>
        </w:rPr>
      </w:pPr>
      <w:bookmarkStart w:id="9" w:name="dbreak"/>
      <w:bookmarkStart w:id="10" w:name="_Toc451778104"/>
      <w:bookmarkStart w:id="11" w:name="_Toc451782833"/>
      <w:bookmarkStart w:id="12" w:name="_Toc467088047"/>
      <w:bookmarkStart w:id="13" w:name="_Toc467151218"/>
      <w:bookmarkEnd w:id="8"/>
      <w:bookmarkEnd w:id="9"/>
      <w:r w:rsidRPr="007B4B7B">
        <w:rPr>
          <w:lang w:val="en-US" w:eastAsia="ja-JP"/>
        </w:rPr>
        <w:t>1</w:t>
      </w:r>
      <w:r w:rsidRPr="007B4B7B">
        <w:rPr>
          <w:lang w:val="en-US" w:eastAsia="ja-JP"/>
        </w:rPr>
        <w:tab/>
      </w:r>
      <w:bookmarkEnd w:id="10"/>
      <w:bookmarkEnd w:id="11"/>
      <w:bookmarkEnd w:id="12"/>
      <w:bookmarkEnd w:id="13"/>
      <w:r w:rsidRPr="007B4B7B">
        <w:rPr>
          <w:lang w:val="en-US" w:eastAsia="ja-JP"/>
        </w:rPr>
        <w:t>Introduction</w:t>
      </w:r>
    </w:p>
    <w:p w:rsidR="009F14CE" w:rsidRPr="007B4B7B" w:rsidRDefault="009F14CE">
      <w:pPr>
        <w:tabs>
          <w:tab w:val="clear" w:pos="1134"/>
          <w:tab w:val="clear" w:pos="1871"/>
          <w:tab w:val="clear" w:pos="2268"/>
        </w:tabs>
        <w:overflowPunct/>
        <w:autoSpaceDE/>
        <w:autoSpaceDN/>
        <w:adjustRightInd/>
        <w:textAlignment w:val="auto"/>
        <w:rPr>
          <w:rFonts w:eastAsiaTheme="minorEastAsia"/>
          <w:i/>
          <w:iCs/>
          <w:lang w:val="en-US" w:eastAsia="zh-CN"/>
        </w:rPr>
      </w:pPr>
      <w:bookmarkStart w:id="14" w:name="_Toc451782834"/>
      <w:bookmarkStart w:id="15" w:name="_Toc467088048"/>
      <w:bookmarkStart w:id="16" w:name="_Toc467151219"/>
      <w:r w:rsidRPr="007B4B7B">
        <w:rPr>
          <w:i/>
          <w:iCs/>
          <w:lang w:val="en-US" w:eastAsia="ja-JP"/>
        </w:rPr>
        <w:t>[TBD]</w:t>
      </w:r>
    </w:p>
    <w:p w:rsidR="009F14CE" w:rsidRPr="007B4B7B" w:rsidRDefault="009F14CE">
      <w:pPr>
        <w:pStyle w:val="Heading1"/>
        <w:spacing w:before="240"/>
        <w:rPr>
          <w:lang w:val="en-US"/>
        </w:rPr>
      </w:pPr>
      <w:r w:rsidRPr="007B4B7B">
        <w:rPr>
          <w:lang w:val="en-US"/>
        </w:rPr>
        <w:t>2</w:t>
      </w:r>
      <w:r w:rsidRPr="007B4B7B">
        <w:rPr>
          <w:lang w:val="en-US"/>
        </w:rPr>
        <w:tab/>
        <w:t>Scope</w:t>
      </w:r>
    </w:p>
    <w:p w:rsidR="009F14CE" w:rsidRPr="007B4B7B" w:rsidRDefault="009F14CE">
      <w:pPr>
        <w:rPr>
          <w:lang w:val="en-US" w:eastAsia="ja-JP"/>
        </w:rPr>
      </w:pPr>
      <w:r w:rsidRPr="007B4B7B">
        <w:rPr>
          <w:lang w:val="en-US" w:eastAsia="ja-JP"/>
        </w:rPr>
        <w:t xml:space="preserve">This Report provides results of sharing and compatibility studies between high-speed railway </w:t>
      </w:r>
      <w:proofErr w:type="spellStart"/>
      <w:r w:rsidRPr="007B4B7B">
        <w:rPr>
          <w:lang w:val="en-US" w:eastAsia="ja-JP"/>
        </w:rPr>
        <w:t>radiocommunication</w:t>
      </w:r>
      <w:proofErr w:type="spellEnd"/>
      <w:r w:rsidRPr="007B4B7B">
        <w:rPr>
          <w:lang w:val="en-US" w:eastAsia="ja-JP"/>
        </w:rPr>
        <w:t xml:space="preserve"> system between train and trackside operating in the bands 92-94 GHz, 94.1</w:t>
      </w:r>
      <w:r w:rsidRPr="007B4B7B">
        <w:rPr>
          <w:lang w:val="en-US" w:eastAsia="ja-JP"/>
        </w:rPr>
        <w:noBreakHyphen/>
        <w:t>100 GHz and</w:t>
      </w:r>
      <w:r w:rsidR="009142B6" w:rsidRPr="007B4B7B">
        <w:rPr>
          <w:lang w:val="en-US" w:eastAsia="ja-JP"/>
        </w:rPr>
        <w:t xml:space="preserve"> </w:t>
      </w:r>
      <w:r w:rsidRPr="007B4B7B">
        <w:rPr>
          <w:lang w:val="en-US" w:eastAsia="ja-JP"/>
        </w:rPr>
        <w:t>102-109.5 GHz, and active and passive services operating in these or adjacent bands.</w:t>
      </w:r>
    </w:p>
    <w:p w:rsidR="009F14CE" w:rsidRPr="007B4B7B" w:rsidRDefault="009F14CE">
      <w:pPr>
        <w:pStyle w:val="Heading1"/>
        <w:spacing w:before="240" w:after="120"/>
        <w:rPr>
          <w:lang w:val="en-US" w:eastAsia="ja-JP"/>
        </w:rPr>
      </w:pPr>
      <w:r w:rsidRPr="007B4B7B">
        <w:rPr>
          <w:lang w:val="en-US" w:eastAsia="ja-JP"/>
        </w:rPr>
        <w:t>3</w:t>
      </w:r>
      <w:r w:rsidRPr="007B4B7B">
        <w:rPr>
          <w:lang w:val="en-US" w:eastAsia="ja-JP"/>
        </w:rPr>
        <w:tab/>
        <w:t>Related Recommendation and Report</w:t>
      </w:r>
    </w:p>
    <w:tbl>
      <w:tblPr>
        <w:tblW w:w="9709" w:type="dxa"/>
        <w:tblLayout w:type="fixed"/>
        <w:tblCellMar>
          <w:left w:w="70" w:type="dxa"/>
          <w:right w:w="70" w:type="dxa"/>
        </w:tblCellMar>
        <w:tblLook w:val="0000" w:firstRow="0" w:lastRow="0" w:firstColumn="0" w:lastColumn="0" w:noHBand="0" w:noVBand="0"/>
      </w:tblPr>
      <w:tblGrid>
        <w:gridCol w:w="4111"/>
        <w:gridCol w:w="5598"/>
      </w:tblGrid>
      <w:tr w:rsidR="009F14CE" w:rsidRPr="007B4B7B">
        <w:tc>
          <w:tcPr>
            <w:tcW w:w="4111" w:type="dxa"/>
          </w:tcPr>
          <w:p w:rsidR="009F14CE" w:rsidRPr="007B4B7B" w:rsidRDefault="009F14CE">
            <w:pPr>
              <w:rPr>
                <w:lang w:val="en-US"/>
              </w:rPr>
            </w:pPr>
            <w:r w:rsidRPr="007B4B7B">
              <w:rPr>
                <w:lang w:val="en-US" w:eastAsia="ja-JP"/>
              </w:rPr>
              <w:t>R</w:t>
            </w:r>
            <w:r w:rsidRPr="007B4B7B">
              <w:rPr>
                <w:lang w:val="en-US"/>
              </w:rPr>
              <w:t xml:space="preserve">eport </w:t>
            </w:r>
            <w:proofErr w:type="spellStart"/>
            <w:r w:rsidRPr="007B4B7B">
              <w:rPr>
                <w:lang w:val="en-US"/>
              </w:rPr>
              <w:t>ITU</w:t>
            </w:r>
            <w:proofErr w:type="spellEnd"/>
            <w:r w:rsidRPr="007B4B7B">
              <w:rPr>
                <w:lang w:val="en-US"/>
              </w:rPr>
              <w:t>-R M.[</w:t>
            </w:r>
            <w:proofErr w:type="spellStart"/>
            <w:r w:rsidRPr="007B4B7B">
              <w:rPr>
                <w:lang w:val="en-US"/>
              </w:rPr>
              <w:t>RAIL.RSTT</w:t>
            </w:r>
            <w:proofErr w:type="spellEnd"/>
            <w:r w:rsidRPr="007B4B7B">
              <w:rPr>
                <w:lang w:val="en-US"/>
              </w:rPr>
              <w:t>]</w:t>
            </w:r>
            <w:r w:rsidRPr="007B4B7B">
              <w:rPr>
                <w:lang w:val="en-US" w:eastAsia="ja-JP"/>
              </w:rPr>
              <w:br/>
              <w:t>(</w:t>
            </w:r>
            <w:r w:rsidRPr="007B4B7B">
              <w:rPr>
                <w:lang w:val="en-US"/>
              </w:rPr>
              <w:t xml:space="preserve">Annex 16 to Document </w:t>
            </w:r>
            <w:proofErr w:type="spellStart"/>
            <w:r w:rsidRPr="007B4B7B">
              <w:rPr>
                <w:lang w:val="en-US"/>
              </w:rPr>
              <w:t>5A</w:t>
            </w:r>
            <w:proofErr w:type="spellEnd"/>
            <w:r w:rsidRPr="007B4B7B">
              <w:rPr>
                <w:lang w:val="en-US"/>
              </w:rPr>
              <w:t>/298)</w:t>
            </w:r>
          </w:p>
        </w:tc>
        <w:tc>
          <w:tcPr>
            <w:tcW w:w="5598" w:type="dxa"/>
          </w:tcPr>
          <w:p w:rsidR="009F14CE" w:rsidRPr="007B4B7B" w:rsidRDefault="009F14CE">
            <w:pPr>
              <w:rPr>
                <w:lang w:val="en-US"/>
              </w:rPr>
            </w:pPr>
            <w:r w:rsidRPr="007B4B7B">
              <w:rPr>
                <w:lang w:val="en-US"/>
              </w:rPr>
              <w:t xml:space="preserve">Technical and operational characteristics, implementation and spectrum needs of </w:t>
            </w:r>
            <w:proofErr w:type="spellStart"/>
            <w:r w:rsidRPr="007B4B7B">
              <w:rPr>
                <w:lang w:val="en-US"/>
              </w:rPr>
              <w:t>RSTT</w:t>
            </w:r>
            <w:proofErr w:type="spellEnd"/>
          </w:p>
        </w:tc>
      </w:tr>
      <w:tr w:rsidR="009F14CE" w:rsidRPr="007B4B7B">
        <w:tc>
          <w:tcPr>
            <w:tcW w:w="4111" w:type="dxa"/>
          </w:tcPr>
          <w:p w:rsidR="009F14CE" w:rsidRPr="007B4B7B" w:rsidRDefault="009F14CE">
            <w:pPr>
              <w:rPr>
                <w:lang w:val="en-US" w:eastAsia="ja-JP"/>
              </w:rPr>
            </w:pPr>
            <w:r w:rsidRPr="007B4B7B">
              <w:rPr>
                <w:lang w:val="en-US" w:eastAsia="ja-JP"/>
              </w:rPr>
              <w:t xml:space="preserve">Recommendation </w:t>
            </w:r>
            <w:proofErr w:type="spellStart"/>
            <w:r w:rsidRPr="007B4B7B">
              <w:rPr>
                <w:lang w:val="en-US" w:eastAsia="ja-JP"/>
              </w:rPr>
              <w:t>ITU</w:t>
            </w:r>
            <w:proofErr w:type="spellEnd"/>
            <w:r w:rsidRPr="007B4B7B">
              <w:rPr>
                <w:lang w:val="en-US" w:eastAsia="ja-JP"/>
              </w:rPr>
              <w:t xml:space="preserve">-R </w:t>
            </w:r>
            <w:proofErr w:type="spellStart"/>
            <w:r w:rsidRPr="007B4B7B">
              <w:rPr>
                <w:lang w:val="en-US" w:eastAsia="ja-JP"/>
              </w:rPr>
              <w:t>P.452</w:t>
            </w:r>
            <w:proofErr w:type="spellEnd"/>
          </w:p>
        </w:tc>
        <w:tc>
          <w:tcPr>
            <w:tcW w:w="5598" w:type="dxa"/>
          </w:tcPr>
          <w:p w:rsidR="009F14CE" w:rsidRPr="007B4B7B" w:rsidRDefault="009F14CE">
            <w:pPr>
              <w:rPr>
                <w:lang w:val="en-US" w:eastAsia="ja-JP"/>
              </w:rPr>
            </w:pPr>
            <w:r w:rsidRPr="007B4B7B">
              <w:rPr>
                <w:lang w:val="en-US" w:eastAsia="ja-JP"/>
              </w:rPr>
              <w:t>Prediction procedure for the evaluation of interference between stations on the surface of the Earth at frequencies above about 0.1 GHz</w:t>
            </w:r>
          </w:p>
        </w:tc>
      </w:tr>
      <w:tr w:rsidR="009F14CE" w:rsidRPr="007B4B7B">
        <w:tc>
          <w:tcPr>
            <w:tcW w:w="4111" w:type="dxa"/>
          </w:tcPr>
          <w:p w:rsidR="009F14CE" w:rsidRPr="007B4B7B" w:rsidRDefault="009F14CE">
            <w:pPr>
              <w:rPr>
                <w:lang w:val="en-US" w:eastAsia="ja-JP"/>
              </w:rPr>
            </w:pPr>
            <w:r w:rsidRPr="007B4B7B">
              <w:rPr>
                <w:lang w:val="en-US" w:eastAsia="ja-JP"/>
              </w:rPr>
              <w:t xml:space="preserve">Recommendation </w:t>
            </w:r>
            <w:proofErr w:type="spellStart"/>
            <w:r w:rsidRPr="007B4B7B">
              <w:rPr>
                <w:lang w:val="en-US" w:eastAsia="ja-JP"/>
              </w:rPr>
              <w:t>ITU</w:t>
            </w:r>
            <w:proofErr w:type="spellEnd"/>
            <w:r w:rsidRPr="007B4B7B">
              <w:rPr>
                <w:lang w:val="en-US" w:eastAsia="ja-JP"/>
              </w:rPr>
              <w:t xml:space="preserve">-R </w:t>
            </w:r>
            <w:proofErr w:type="spellStart"/>
            <w:r w:rsidRPr="007B4B7B">
              <w:rPr>
                <w:lang w:val="en-US" w:eastAsia="ja-JP"/>
              </w:rPr>
              <w:t>P.1411</w:t>
            </w:r>
            <w:proofErr w:type="spellEnd"/>
          </w:p>
        </w:tc>
        <w:tc>
          <w:tcPr>
            <w:tcW w:w="5598" w:type="dxa"/>
          </w:tcPr>
          <w:p w:rsidR="009F14CE" w:rsidRPr="007B4B7B" w:rsidRDefault="009F14CE">
            <w:pPr>
              <w:rPr>
                <w:lang w:val="en-US" w:eastAsia="ja-JP"/>
              </w:rPr>
            </w:pPr>
            <w:r w:rsidRPr="007B4B7B">
              <w:rPr>
                <w:lang w:val="en-US" w:eastAsia="ja-JP"/>
              </w:rPr>
              <w:t xml:space="preserve">Propagation data and prediction methods for the planning of short-range outdoor </w:t>
            </w:r>
            <w:proofErr w:type="spellStart"/>
            <w:r w:rsidRPr="007B4B7B">
              <w:rPr>
                <w:lang w:val="en-US" w:eastAsia="ja-JP"/>
              </w:rPr>
              <w:t>radiocommunication</w:t>
            </w:r>
            <w:proofErr w:type="spellEnd"/>
            <w:r w:rsidRPr="007B4B7B">
              <w:rPr>
                <w:lang w:val="en-US" w:eastAsia="ja-JP"/>
              </w:rPr>
              <w:t xml:space="preserve"> systems and radio local area networks in the frequency range 300 MHz to 100 GHz</w:t>
            </w:r>
          </w:p>
        </w:tc>
      </w:tr>
      <w:tr w:rsidR="009F14CE" w:rsidRPr="007B4B7B">
        <w:tc>
          <w:tcPr>
            <w:tcW w:w="4111" w:type="dxa"/>
          </w:tcPr>
          <w:p w:rsidR="009F14CE" w:rsidRPr="007B4B7B" w:rsidRDefault="009F14CE">
            <w:pPr>
              <w:rPr>
                <w:lang w:val="en-US" w:eastAsia="ja-JP"/>
              </w:rPr>
            </w:pPr>
            <w:r w:rsidRPr="007B4B7B">
              <w:rPr>
                <w:lang w:val="en-US" w:eastAsia="ja-JP"/>
              </w:rPr>
              <w:t xml:space="preserve">Recommendation </w:t>
            </w:r>
            <w:proofErr w:type="spellStart"/>
            <w:r w:rsidRPr="007B4B7B">
              <w:rPr>
                <w:lang w:val="en-US" w:eastAsia="ja-JP"/>
              </w:rPr>
              <w:t>ITU</w:t>
            </w:r>
            <w:proofErr w:type="spellEnd"/>
            <w:r w:rsidRPr="007B4B7B">
              <w:rPr>
                <w:lang w:val="en-US" w:eastAsia="ja-JP"/>
              </w:rPr>
              <w:t xml:space="preserve">-R </w:t>
            </w:r>
            <w:proofErr w:type="spellStart"/>
            <w:r w:rsidRPr="007B4B7B">
              <w:rPr>
                <w:lang w:val="en-US" w:eastAsia="ja-JP"/>
              </w:rPr>
              <w:t>RA.769</w:t>
            </w:r>
            <w:proofErr w:type="spellEnd"/>
          </w:p>
        </w:tc>
        <w:tc>
          <w:tcPr>
            <w:tcW w:w="5598" w:type="dxa"/>
          </w:tcPr>
          <w:p w:rsidR="009F14CE" w:rsidRPr="007B4B7B" w:rsidRDefault="009F14CE">
            <w:pPr>
              <w:rPr>
                <w:lang w:val="en-US" w:eastAsia="ja-JP"/>
              </w:rPr>
            </w:pPr>
            <w:r w:rsidRPr="007B4B7B">
              <w:rPr>
                <w:lang w:val="en-US"/>
              </w:rPr>
              <w:t>Protection criteria used for radio astronomical measurements</w:t>
            </w:r>
          </w:p>
        </w:tc>
      </w:tr>
      <w:tr w:rsidR="009F14CE" w:rsidRPr="007B4B7B">
        <w:tc>
          <w:tcPr>
            <w:tcW w:w="4111" w:type="dxa"/>
          </w:tcPr>
          <w:p w:rsidR="009F14CE" w:rsidRPr="007B4B7B" w:rsidRDefault="009F14CE">
            <w:pPr>
              <w:rPr>
                <w:lang w:val="en-US" w:eastAsia="ja-JP"/>
              </w:rPr>
            </w:pPr>
            <w:r w:rsidRPr="007B4B7B">
              <w:rPr>
                <w:lang w:val="en-US" w:eastAsia="ja-JP"/>
              </w:rPr>
              <w:t xml:space="preserve">Report </w:t>
            </w:r>
            <w:proofErr w:type="spellStart"/>
            <w:r w:rsidRPr="007B4B7B">
              <w:rPr>
                <w:lang w:val="en-US" w:eastAsia="ja-JP"/>
              </w:rPr>
              <w:t>ITU</w:t>
            </w:r>
            <w:proofErr w:type="spellEnd"/>
            <w:r w:rsidRPr="007B4B7B">
              <w:rPr>
                <w:lang w:val="en-US" w:eastAsia="ja-JP"/>
              </w:rPr>
              <w:t xml:space="preserve">-R </w:t>
            </w:r>
            <w:proofErr w:type="spellStart"/>
            <w:r w:rsidRPr="007B4B7B">
              <w:rPr>
                <w:lang w:val="en-US" w:eastAsia="ja-JP"/>
              </w:rPr>
              <w:t>F.2239</w:t>
            </w:r>
            <w:proofErr w:type="spellEnd"/>
          </w:p>
        </w:tc>
        <w:tc>
          <w:tcPr>
            <w:tcW w:w="5598" w:type="dxa"/>
          </w:tcPr>
          <w:p w:rsidR="009F14CE" w:rsidRPr="007B4B7B" w:rsidRDefault="009F14CE">
            <w:pPr>
              <w:rPr>
                <w:lang w:val="en-US"/>
              </w:rPr>
            </w:pPr>
            <w:r w:rsidRPr="007B4B7B">
              <w:rPr>
                <w:iCs/>
                <w:lang w:val="en-US"/>
              </w:rPr>
              <w:t>Coexistence between fixed service operating in 71</w:t>
            </w:r>
            <w:r w:rsidRPr="007B4B7B">
              <w:rPr>
                <w:iCs/>
                <w:lang w:val="en-US"/>
              </w:rPr>
              <w:noBreakHyphen/>
              <w:t>76 GHz, 81-86 GHz and 92-94 GHz bands and passive services</w:t>
            </w:r>
          </w:p>
        </w:tc>
      </w:tr>
    </w:tbl>
    <w:p w:rsidR="009F14CE" w:rsidRPr="007B4B7B" w:rsidRDefault="009F14CE">
      <w:pPr>
        <w:pStyle w:val="Heading1"/>
        <w:spacing w:after="120"/>
        <w:rPr>
          <w:lang w:val="en-US" w:eastAsia="ja-JP"/>
        </w:rPr>
      </w:pPr>
      <w:r w:rsidRPr="007B4B7B">
        <w:rPr>
          <w:lang w:val="en-US" w:eastAsia="ja-JP"/>
        </w:rPr>
        <w:lastRenderedPageBreak/>
        <w:t>4</w:t>
      </w:r>
      <w:r w:rsidRPr="007B4B7B">
        <w:rPr>
          <w:lang w:val="en-US" w:eastAsia="ja-JP"/>
        </w:rPr>
        <w:tab/>
        <w:t>List of acronyms and abbreviations</w:t>
      </w:r>
    </w:p>
    <w:tbl>
      <w:tblPr>
        <w:tblW w:w="0" w:type="auto"/>
        <w:tblLayout w:type="fixed"/>
        <w:tblCellMar>
          <w:left w:w="70" w:type="dxa"/>
          <w:right w:w="70" w:type="dxa"/>
        </w:tblCellMar>
        <w:tblLook w:val="0000" w:firstRow="0" w:lastRow="0" w:firstColumn="0" w:lastColumn="0" w:noHBand="0" w:noVBand="0"/>
      </w:tblPr>
      <w:tblGrid>
        <w:gridCol w:w="1134"/>
        <w:gridCol w:w="8476"/>
      </w:tblGrid>
      <w:tr w:rsidR="009F14CE" w:rsidRPr="007B4B7B">
        <w:tc>
          <w:tcPr>
            <w:tcW w:w="1134" w:type="dxa"/>
          </w:tcPr>
          <w:p w:rsidR="009F14CE" w:rsidRPr="007B4B7B" w:rsidRDefault="009F14CE">
            <w:pPr>
              <w:rPr>
                <w:highlight w:val="yellow"/>
                <w:lang w:val="en-US" w:eastAsia="ja-JP"/>
              </w:rPr>
            </w:pPr>
            <w:proofErr w:type="spellStart"/>
            <w:r w:rsidRPr="007B4B7B">
              <w:rPr>
                <w:lang w:val="en-US" w:eastAsia="ja-JP"/>
              </w:rPr>
              <w:t>RSTT</w:t>
            </w:r>
            <w:proofErr w:type="spellEnd"/>
          </w:p>
        </w:tc>
        <w:tc>
          <w:tcPr>
            <w:tcW w:w="8476" w:type="dxa"/>
          </w:tcPr>
          <w:p w:rsidR="009F14CE" w:rsidRPr="007B4B7B" w:rsidRDefault="009F14CE">
            <w:pPr>
              <w:rPr>
                <w:highlight w:val="yellow"/>
                <w:lang w:val="en-US" w:eastAsia="ja-JP"/>
              </w:rPr>
            </w:pPr>
            <w:r w:rsidRPr="007B4B7B">
              <w:rPr>
                <w:lang w:val="en-US" w:eastAsia="ja-JP"/>
              </w:rPr>
              <w:t xml:space="preserve">Railway </w:t>
            </w:r>
            <w:proofErr w:type="spellStart"/>
            <w:r w:rsidRPr="007B4B7B">
              <w:rPr>
                <w:lang w:val="en-US" w:eastAsia="ja-JP"/>
              </w:rPr>
              <w:t>radiocommunication</w:t>
            </w:r>
            <w:proofErr w:type="spellEnd"/>
            <w:r w:rsidRPr="007B4B7B">
              <w:rPr>
                <w:lang w:val="en-US" w:eastAsia="ja-JP"/>
              </w:rPr>
              <w:t xml:space="preserve"> system between train and trackside</w:t>
            </w:r>
          </w:p>
        </w:tc>
      </w:tr>
    </w:tbl>
    <w:p w:rsidR="009F14CE" w:rsidRPr="007B4B7B" w:rsidRDefault="009F14CE">
      <w:pPr>
        <w:pStyle w:val="Heading2"/>
        <w:rPr>
          <w:sz w:val="28"/>
          <w:szCs w:val="28"/>
          <w:lang w:val="en-US"/>
        </w:rPr>
      </w:pPr>
      <w:bookmarkStart w:id="17" w:name="_Toc467088050"/>
      <w:bookmarkStart w:id="18" w:name="_Toc467151221"/>
      <w:bookmarkEnd w:id="14"/>
      <w:bookmarkEnd w:id="15"/>
      <w:bookmarkEnd w:id="16"/>
      <w:r w:rsidRPr="007B4B7B">
        <w:rPr>
          <w:sz w:val="28"/>
          <w:szCs w:val="28"/>
          <w:lang w:val="en-US"/>
        </w:rPr>
        <w:t>5</w:t>
      </w:r>
      <w:r w:rsidRPr="007B4B7B">
        <w:rPr>
          <w:sz w:val="28"/>
          <w:szCs w:val="28"/>
          <w:lang w:val="en-US"/>
        </w:rPr>
        <w:tab/>
        <w:t xml:space="preserve">Summary of coexistence of 90 GHz band </w:t>
      </w:r>
      <w:proofErr w:type="spellStart"/>
      <w:r w:rsidRPr="007B4B7B">
        <w:rPr>
          <w:sz w:val="28"/>
          <w:szCs w:val="28"/>
          <w:lang w:val="en-US"/>
        </w:rPr>
        <w:t>RSTT</w:t>
      </w:r>
      <w:proofErr w:type="spellEnd"/>
      <w:r w:rsidRPr="007B4B7B">
        <w:rPr>
          <w:sz w:val="28"/>
          <w:szCs w:val="28"/>
          <w:lang w:val="en-US"/>
        </w:rPr>
        <w:t xml:space="preserve"> with the passive services</w:t>
      </w:r>
      <w:bookmarkEnd w:id="17"/>
      <w:bookmarkEnd w:id="18"/>
    </w:p>
    <w:p w:rsidR="009F14CE" w:rsidRPr="007B4B7B" w:rsidRDefault="009F14CE">
      <w:pPr>
        <w:tabs>
          <w:tab w:val="left" w:pos="567"/>
        </w:tabs>
        <w:contextualSpacing/>
        <w:rPr>
          <w:lang w:val="en-US" w:eastAsia="ja-JP"/>
        </w:rPr>
      </w:pPr>
      <w:r w:rsidRPr="007B4B7B">
        <w:rPr>
          <w:szCs w:val="24"/>
          <w:lang w:val="en-US" w:eastAsia="ja-JP"/>
        </w:rPr>
        <w:t xml:space="preserve">Table 1 shows the frequency band which are already allocated for use of mobile services in the frequency range 92-109.5 GHz. In accordance with Article </w:t>
      </w:r>
      <w:r w:rsidRPr="007B4B7B">
        <w:rPr>
          <w:b/>
          <w:bCs/>
          <w:szCs w:val="24"/>
          <w:lang w:val="en-US" w:eastAsia="ja-JP"/>
        </w:rPr>
        <w:t>5</w:t>
      </w:r>
      <w:r w:rsidRPr="007B4B7B">
        <w:rPr>
          <w:szCs w:val="24"/>
          <w:lang w:val="en-US" w:eastAsia="ja-JP"/>
        </w:rPr>
        <w:t xml:space="preserve"> to Chapter II to Radio Regulations (see Annex), in the adjacent bands of those frequencies </w:t>
      </w:r>
      <w:r w:rsidRPr="007B4B7B">
        <w:rPr>
          <w:lang w:val="en-US" w:eastAsia="ja-JP"/>
        </w:rPr>
        <w:t xml:space="preserve">all emissions are prohibited in the following bands; 86-92 GHz, 100-102 GHz and 109.5-111.8 GHz. To coexist with active and passive services, the same schemes developed by Report </w:t>
      </w:r>
      <w:proofErr w:type="spellStart"/>
      <w:r w:rsidRPr="007B4B7B">
        <w:rPr>
          <w:lang w:val="en-US" w:eastAsia="ja-JP"/>
        </w:rPr>
        <w:t>ITU</w:t>
      </w:r>
      <w:proofErr w:type="spellEnd"/>
      <w:r w:rsidRPr="007B4B7B">
        <w:rPr>
          <w:lang w:val="en-US" w:eastAsia="ja-JP"/>
        </w:rPr>
        <w:t xml:space="preserve">-R </w:t>
      </w:r>
      <w:proofErr w:type="spellStart"/>
      <w:r w:rsidRPr="007B4B7B">
        <w:rPr>
          <w:lang w:val="en-US" w:eastAsia="ja-JP"/>
        </w:rPr>
        <w:t>F.2239</w:t>
      </w:r>
      <w:proofErr w:type="spellEnd"/>
      <w:r w:rsidRPr="007B4B7B">
        <w:rPr>
          <w:lang w:val="en-US" w:eastAsia="ja-JP"/>
        </w:rPr>
        <w:t xml:space="preserve">, “Coexistence between fixed service operating in 71-76 GHz, 81-86 GHz and 92-94 GHz bands and passive services”, could be used for sharing and compatibility studies of railway </w:t>
      </w:r>
      <w:proofErr w:type="spellStart"/>
      <w:r w:rsidRPr="007B4B7B">
        <w:rPr>
          <w:lang w:val="en-US" w:eastAsia="ja-JP"/>
        </w:rPr>
        <w:t>radiocommunication</w:t>
      </w:r>
      <w:proofErr w:type="spellEnd"/>
      <w:r w:rsidRPr="007B4B7B">
        <w:rPr>
          <w:lang w:val="en-US" w:eastAsia="ja-JP"/>
        </w:rPr>
        <w:t xml:space="preserve"> systems. The following sharing and compatibility cases should be addressed, as shown in Figure 1:</w:t>
      </w:r>
    </w:p>
    <w:p w:rsidR="009F14CE" w:rsidRPr="007B4B7B" w:rsidRDefault="009F14CE">
      <w:pPr>
        <w:pStyle w:val="enumlev1"/>
        <w:rPr>
          <w:lang w:val="en-US" w:eastAsia="ja-JP"/>
        </w:rPr>
      </w:pPr>
      <w:r w:rsidRPr="007B4B7B">
        <w:rPr>
          <w:lang w:val="en-US" w:eastAsia="ja-JP"/>
        </w:rPr>
        <w:t>1)</w:t>
      </w:r>
      <w:r w:rsidRPr="007B4B7B">
        <w:rPr>
          <w:lang w:val="en-US" w:eastAsia="ja-JP"/>
        </w:rPr>
        <w:tab/>
        <w:t xml:space="preserve">mobile service stations such as </w:t>
      </w:r>
      <w:r w:rsidRPr="007B4B7B">
        <w:rPr>
          <w:lang w:val="en-US"/>
        </w:rPr>
        <w:t>on-board radio equipment and related radio infrastructure located along trackside</w:t>
      </w:r>
      <w:r w:rsidRPr="007B4B7B">
        <w:rPr>
          <w:lang w:val="en-US" w:eastAsia="ja-JP"/>
        </w:rPr>
        <w:t xml:space="preserve"> operating in the band 92-94 GHz with respect to the protection of Earth exploration-satellite service (</w:t>
      </w:r>
      <w:proofErr w:type="spellStart"/>
      <w:r w:rsidRPr="007B4B7B">
        <w:rPr>
          <w:lang w:val="en-US" w:eastAsia="ja-JP"/>
        </w:rPr>
        <w:t>EESS</w:t>
      </w:r>
      <w:proofErr w:type="spellEnd"/>
      <w:r w:rsidRPr="007B4B7B">
        <w:rPr>
          <w:lang w:val="en-US" w:eastAsia="ja-JP"/>
        </w:rPr>
        <w:t>) stations operating in the adjacent band 86-92 GHz;</w:t>
      </w:r>
    </w:p>
    <w:p w:rsidR="009F14CE" w:rsidRPr="007B4B7B" w:rsidRDefault="009F14CE">
      <w:pPr>
        <w:pStyle w:val="enumlev1"/>
        <w:rPr>
          <w:lang w:val="en-US" w:eastAsia="ja-JP"/>
        </w:rPr>
      </w:pPr>
      <w:r w:rsidRPr="007B4B7B">
        <w:rPr>
          <w:lang w:val="en-US" w:eastAsia="ja-JP"/>
        </w:rPr>
        <w:t>2)</w:t>
      </w:r>
      <w:r w:rsidRPr="007B4B7B">
        <w:rPr>
          <w:lang w:val="en-US" w:eastAsia="ja-JP"/>
        </w:rPr>
        <w:tab/>
        <w:t xml:space="preserve">mobile service stations such as </w:t>
      </w:r>
      <w:r w:rsidRPr="007B4B7B">
        <w:rPr>
          <w:lang w:val="en-US"/>
        </w:rPr>
        <w:t>on-board radio equipment and related radio infrastructure located along trackside</w:t>
      </w:r>
      <w:r w:rsidRPr="007B4B7B">
        <w:rPr>
          <w:lang w:val="en-US" w:eastAsia="ja-JP"/>
        </w:rPr>
        <w:t xml:space="preserve"> operating in the bands 94.1-100 GHz and 102</w:t>
      </w:r>
      <w:r w:rsidRPr="007B4B7B">
        <w:rPr>
          <w:lang w:val="en-US" w:eastAsia="ja-JP"/>
        </w:rPr>
        <w:noBreakHyphen/>
        <w:t>109.5 GHz with respect to the protection of Earth exploration-satellite service (</w:t>
      </w:r>
      <w:proofErr w:type="spellStart"/>
      <w:r w:rsidRPr="007B4B7B">
        <w:rPr>
          <w:lang w:val="en-US" w:eastAsia="ja-JP"/>
        </w:rPr>
        <w:t>EESS</w:t>
      </w:r>
      <w:proofErr w:type="spellEnd"/>
      <w:r w:rsidRPr="007B4B7B">
        <w:rPr>
          <w:lang w:val="en-US" w:eastAsia="ja-JP"/>
        </w:rPr>
        <w:t>) stations operating in the adjacent band 100-102 GHz;</w:t>
      </w:r>
    </w:p>
    <w:p w:rsidR="009F14CE" w:rsidRPr="007B4B7B" w:rsidRDefault="009F14CE">
      <w:pPr>
        <w:pStyle w:val="enumlev1"/>
        <w:rPr>
          <w:lang w:val="en-US" w:eastAsia="ja-JP"/>
        </w:rPr>
      </w:pPr>
      <w:r w:rsidRPr="007B4B7B">
        <w:rPr>
          <w:lang w:val="en-US" w:eastAsia="ja-JP"/>
        </w:rPr>
        <w:t>3)</w:t>
      </w:r>
      <w:r w:rsidRPr="007B4B7B">
        <w:rPr>
          <w:lang w:val="en-US" w:eastAsia="ja-JP"/>
        </w:rPr>
        <w:tab/>
        <w:t xml:space="preserve">mobile service stations such as </w:t>
      </w:r>
      <w:r w:rsidRPr="007B4B7B">
        <w:rPr>
          <w:lang w:val="en-US"/>
        </w:rPr>
        <w:t>on-board radio equipment and related radio infrastructure located along trackside</w:t>
      </w:r>
      <w:r w:rsidRPr="007B4B7B">
        <w:rPr>
          <w:lang w:val="en-US" w:eastAsia="ja-JP"/>
        </w:rPr>
        <w:t xml:space="preserve"> operating in the band 102-109.5 GHz with respect to the protection of Earth exploration-satellite service (</w:t>
      </w:r>
      <w:proofErr w:type="spellStart"/>
      <w:r w:rsidRPr="007B4B7B">
        <w:rPr>
          <w:lang w:val="en-US" w:eastAsia="ja-JP"/>
        </w:rPr>
        <w:t>EESS</w:t>
      </w:r>
      <w:proofErr w:type="spellEnd"/>
      <w:r w:rsidRPr="007B4B7B">
        <w:rPr>
          <w:lang w:val="en-US" w:eastAsia="ja-JP"/>
        </w:rPr>
        <w:t>) stations operating in the adjacent band 109.5-111.8 GHz;</w:t>
      </w:r>
    </w:p>
    <w:p w:rsidR="009F14CE" w:rsidRPr="007B4B7B" w:rsidRDefault="009F14CE">
      <w:pPr>
        <w:pStyle w:val="enumlev1"/>
        <w:rPr>
          <w:lang w:val="en-US" w:eastAsia="ja-JP"/>
        </w:rPr>
      </w:pPr>
      <w:r w:rsidRPr="007B4B7B">
        <w:rPr>
          <w:lang w:val="en-US" w:eastAsia="ja-JP"/>
        </w:rPr>
        <w:t>4)</w:t>
      </w:r>
      <w:r w:rsidRPr="007B4B7B">
        <w:rPr>
          <w:lang w:val="en-US" w:eastAsia="ja-JP"/>
        </w:rPr>
        <w:tab/>
        <w:t xml:space="preserve">mobile service stations such as </w:t>
      </w:r>
      <w:r w:rsidRPr="007B4B7B">
        <w:rPr>
          <w:lang w:val="en-US"/>
        </w:rPr>
        <w:t>on-board radio equipment and related radio infrastructure located along trackside</w:t>
      </w:r>
      <w:r w:rsidRPr="007B4B7B">
        <w:rPr>
          <w:lang w:val="en-US" w:eastAsia="ja-JP"/>
        </w:rPr>
        <w:t xml:space="preserve"> operating in the bands 92-94 GHz, 94.1-100 GHz and 102-109.5 GHz with respect to the protection of radio astronomy service (RAS) stations operating in the band 86-111.8 GHz;</w:t>
      </w:r>
    </w:p>
    <w:p w:rsidR="009F14CE" w:rsidRPr="007B4B7B" w:rsidRDefault="009F14CE">
      <w:pPr>
        <w:pStyle w:val="enumlev1"/>
        <w:rPr>
          <w:lang w:val="en-US" w:eastAsia="ja-JP"/>
        </w:rPr>
      </w:pPr>
      <w:r w:rsidRPr="007B4B7B">
        <w:rPr>
          <w:lang w:val="en-US" w:eastAsia="ja-JP"/>
        </w:rPr>
        <w:t>5)</w:t>
      </w:r>
      <w:r w:rsidRPr="007B4B7B">
        <w:rPr>
          <w:lang w:val="en-US" w:eastAsia="ja-JP"/>
        </w:rPr>
        <w:tab/>
        <w:t xml:space="preserve">mobile service stations such as </w:t>
      </w:r>
      <w:r w:rsidRPr="007B4B7B">
        <w:rPr>
          <w:lang w:val="en-US"/>
        </w:rPr>
        <w:t>on-board radio equipment and related radio infrastructure located along trackside</w:t>
      </w:r>
      <w:r w:rsidRPr="007B4B7B">
        <w:rPr>
          <w:lang w:val="en-US" w:eastAsia="ja-JP"/>
        </w:rPr>
        <w:t xml:space="preserve"> operating in the bands 92-94 GHz and 94.1</w:t>
      </w:r>
      <w:r w:rsidRPr="007B4B7B">
        <w:rPr>
          <w:lang w:val="en-US" w:eastAsia="ja-JP"/>
        </w:rPr>
        <w:noBreakHyphen/>
        <w:t>100 GHz with respect to the protection of Earth exploration-satellite service (</w:t>
      </w:r>
      <w:proofErr w:type="spellStart"/>
      <w:r w:rsidRPr="007B4B7B">
        <w:rPr>
          <w:lang w:val="en-US" w:eastAsia="ja-JP"/>
        </w:rPr>
        <w:t>EESS</w:t>
      </w:r>
      <w:proofErr w:type="spellEnd"/>
      <w:r w:rsidRPr="007B4B7B">
        <w:rPr>
          <w:lang w:val="en-US" w:eastAsia="ja-JP"/>
        </w:rPr>
        <w:t>) stations (active) operating in the adjacent band 94-94.1 GHz;</w:t>
      </w:r>
    </w:p>
    <w:p w:rsidR="009F14CE" w:rsidRPr="007B4B7B" w:rsidRDefault="009F14CE">
      <w:pPr>
        <w:pStyle w:val="enumlev1"/>
        <w:rPr>
          <w:lang w:val="en-US" w:eastAsia="ja-JP"/>
        </w:rPr>
      </w:pPr>
      <w:r w:rsidRPr="007B4B7B">
        <w:rPr>
          <w:lang w:val="en-US" w:eastAsia="ja-JP"/>
        </w:rPr>
        <w:t>6)</w:t>
      </w:r>
      <w:r w:rsidRPr="007B4B7B">
        <w:rPr>
          <w:lang w:val="en-US" w:eastAsia="ja-JP"/>
        </w:rPr>
        <w:tab/>
        <w:t>Earth exploration-satellite service (</w:t>
      </w:r>
      <w:proofErr w:type="spellStart"/>
      <w:r w:rsidRPr="007B4B7B">
        <w:rPr>
          <w:lang w:val="en-US" w:eastAsia="ja-JP"/>
        </w:rPr>
        <w:t>EESS</w:t>
      </w:r>
      <w:proofErr w:type="spellEnd"/>
      <w:r w:rsidRPr="007B4B7B">
        <w:rPr>
          <w:lang w:val="en-US" w:eastAsia="ja-JP"/>
        </w:rPr>
        <w:t>) stations (active) operating in the band 94</w:t>
      </w:r>
      <w:r w:rsidRPr="007B4B7B">
        <w:rPr>
          <w:lang w:val="en-US" w:eastAsia="ja-JP"/>
        </w:rPr>
        <w:noBreakHyphen/>
        <w:t xml:space="preserve">94.1 GHz with respect to protect mobile service stations such as </w:t>
      </w:r>
      <w:r w:rsidRPr="007B4B7B">
        <w:rPr>
          <w:lang w:val="en-US"/>
        </w:rPr>
        <w:t>on-board radio equipment and related radio infrastructure located along trackside</w:t>
      </w:r>
      <w:r w:rsidRPr="007B4B7B">
        <w:rPr>
          <w:lang w:val="en-US" w:eastAsia="ja-JP"/>
        </w:rPr>
        <w:t xml:space="preserve"> operating in the adjacent bands 92-94 GHz and 94.1-100 GHz.</w:t>
      </w:r>
    </w:p>
    <w:p w:rsidR="009F14CE" w:rsidRPr="007B4B7B" w:rsidRDefault="009F14CE" w:rsidP="009142B6">
      <w:pPr>
        <w:pStyle w:val="TableNo"/>
        <w:ind w:left="360"/>
        <w:rPr>
          <w:lang w:val="en-US" w:eastAsia="ja-JP"/>
        </w:rPr>
      </w:pPr>
      <w:r w:rsidRPr="007B4B7B">
        <w:rPr>
          <w:lang w:val="en-US" w:eastAsia="ja-JP"/>
        </w:rPr>
        <w:t>Table 1</w:t>
      </w:r>
    </w:p>
    <w:p w:rsidR="009F14CE" w:rsidRPr="007B4B7B" w:rsidRDefault="009F14CE" w:rsidP="009142B6">
      <w:pPr>
        <w:pStyle w:val="Tabletitle"/>
        <w:ind w:left="360"/>
        <w:rPr>
          <w:lang w:val="en-US" w:eastAsia="ja-JP"/>
        </w:rPr>
      </w:pPr>
      <w:r w:rsidRPr="007B4B7B">
        <w:rPr>
          <w:lang w:val="en-US" w:eastAsia="ja-JP"/>
        </w:rPr>
        <w:t>Frequency bands already allocated for mobile servicers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914"/>
        <w:gridCol w:w="284"/>
        <w:gridCol w:w="2410"/>
        <w:gridCol w:w="567"/>
        <w:gridCol w:w="2409"/>
        <w:gridCol w:w="680"/>
      </w:tblGrid>
      <w:tr w:rsidR="009F14CE" w:rsidRPr="007B4B7B">
        <w:trPr>
          <w:jc w:val="center"/>
        </w:trPr>
        <w:tc>
          <w:tcPr>
            <w:tcW w:w="1063" w:type="dxa"/>
            <w:shd w:val="clear" w:color="auto" w:fill="C0504D" w:themeFill="accent2"/>
          </w:tcPr>
          <w:p w:rsidR="009F14CE" w:rsidRPr="007B4B7B" w:rsidRDefault="009F14CE" w:rsidP="009142B6">
            <w:pPr>
              <w:keepNext/>
              <w:spacing w:before="40" w:after="40"/>
              <w:jc w:val="center"/>
              <w:rPr>
                <w:sz w:val="20"/>
                <w:highlight w:val="yellow"/>
                <w:lang w:val="en-US" w:eastAsia="ja-JP"/>
              </w:rPr>
            </w:pPr>
          </w:p>
        </w:tc>
        <w:tc>
          <w:tcPr>
            <w:tcW w:w="1914" w:type="dxa"/>
          </w:tcPr>
          <w:p w:rsidR="009F14CE" w:rsidRPr="007B4B7B" w:rsidRDefault="009F14CE" w:rsidP="009142B6">
            <w:pPr>
              <w:keepNext/>
              <w:spacing w:before="40" w:after="40"/>
              <w:jc w:val="center"/>
              <w:rPr>
                <w:sz w:val="20"/>
                <w:lang w:val="en-US" w:eastAsia="ja-JP"/>
              </w:rPr>
            </w:pPr>
            <w:r w:rsidRPr="007B4B7B">
              <w:rPr>
                <w:sz w:val="20"/>
                <w:lang w:val="en-US" w:eastAsia="ja-JP"/>
              </w:rPr>
              <w:t>92-94</w:t>
            </w:r>
          </w:p>
        </w:tc>
        <w:tc>
          <w:tcPr>
            <w:tcW w:w="284" w:type="dxa"/>
            <w:shd w:val="clear" w:color="auto" w:fill="EEECE1" w:themeFill="background2"/>
          </w:tcPr>
          <w:p w:rsidR="009F14CE" w:rsidRPr="007B4B7B" w:rsidRDefault="009F14CE" w:rsidP="009142B6">
            <w:pPr>
              <w:keepNext/>
              <w:spacing w:before="40" w:after="40"/>
              <w:jc w:val="center"/>
              <w:rPr>
                <w:sz w:val="20"/>
                <w:lang w:val="en-US" w:eastAsia="ja-JP"/>
              </w:rPr>
            </w:pPr>
          </w:p>
        </w:tc>
        <w:tc>
          <w:tcPr>
            <w:tcW w:w="2410" w:type="dxa"/>
          </w:tcPr>
          <w:p w:rsidR="009F14CE" w:rsidRPr="007B4B7B" w:rsidRDefault="009F14CE" w:rsidP="009142B6">
            <w:pPr>
              <w:keepNext/>
              <w:spacing w:before="40" w:after="40"/>
              <w:jc w:val="center"/>
              <w:rPr>
                <w:sz w:val="20"/>
                <w:lang w:val="en-US" w:eastAsia="ja-JP"/>
              </w:rPr>
            </w:pPr>
            <w:r w:rsidRPr="007B4B7B">
              <w:rPr>
                <w:sz w:val="20"/>
                <w:lang w:val="en-US" w:eastAsia="ja-JP"/>
              </w:rPr>
              <w:t>94.1-100</w:t>
            </w:r>
          </w:p>
        </w:tc>
        <w:tc>
          <w:tcPr>
            <w:tcW w:w="567" w:type="dxa"/>
            <w:shd w:val="clear" w:color="auto" w:fill="C0504D" w:themeFill="accent2"/>
          </w:tcPr>
          <w:p w:rsidR="009F14CE" w:rsidRPr="007B4B7B" w:rsidRDefault="009F14CE" w:rsidP="009142B6">
            <w:pPr>
              <w:keepNext/>
              <w:spacing w:before="40" w:after="40"/>
              <w:jc w:val="center"/>
              <w:rPr>
                <w:sz w:val="20"/>
                <w:lang w:val="en-US" w:eastAsia="ja-JP"/>
              </w:rPr>
            </w:pPr>
          </w:p>
        </w:tc>
        <w:tc>
          <w:tcPr>
            <w:tcW w:w="2409" w:type="dxa"/>
          </w:tcPr>
          <w:p w:rsidR="009F14CE" w:rsidRPr="007B4B7B" w:rsidRDefault="009F14CE" w:rsidP="009142B6">
            <w:pPr>
              <w:keepNext/>
              <w:spacing w:before="40" w:after="40"/>
              <w:jc w:val="center"/>
              <w:rPr>
                <w:sz w:val="20"/>
                <w:lang w:val="en-US" w:eastAsia="ja-JP"/>
              </w:rPr>
            </w:pPr>
            <w:r w:rsidRPr="007B4B7B">
              <w:rPr>
                <w:sz w:val="20"/>
                <w:lang w:val="en-US" w:eastAsia="ja-JP"/>
              </w:rPr>
              <w:t>102-109.5</w:t>
            </w:r>
          </w:p>
        </w:tc>
        <w:tc>
          <w:tcPr>
            <w:tcW w:w="680" w:type="dxa"/>
            <w:shd w:val="clear" w:color="auto" w:fill="C0504D" w:themeFill="accent2"/>
          </w:tcPr>
          <w:p w:rsidR="009F14CE" w:rsidRPr="007B4B7B" w:rsidRDefault="009F14CE" w:rsidP="009142B6">
            <w:pPr>
              <w:keepNext/>
              <w:spacing w:before="40" w:after="40"/>
              <w:jc w:val="center"/>
              <w:rPr>
                <w:sz w:val="20"/>
                <w:lang w:val="en-US" w:eastAsia="ja-JP"/>
              </w:rPr>
            </w:pPr>
          </w:p>
        </w:tc>
      </w:tr>
      <w:tr w:rsidR="009F14CE" w:rsidRPr="007B4B7B">
        <w:trPr>
          <w:jc w:val="center"/>
        </w:trPr>
        <w:tc>
          <w:tcPr>
            <w:tcW w:w="1063" w:type="dxa"/>
            <w:shd w:val="clear" w:color="auto" w:fill="C0504D" w:themeFill="accent2"/>
          </w:tcPr>
          <w:p w:rsidR="009F14CE" w:rsidRPr="007B4B7B" w:rsidRDefault="009F14CE">
            <w:pPr>
              <w:spacing w:before="40" w:after="40"/>
              <w:jc w:val="center"/>
              <w:rPr>
                <w:sz w:val="20"/>
                <w:highlight w:val="yellow"/>
                <w:lang w:val="en-US" w:eastAsia="ja-JP"/>
              </w:rPr>
            </w:pPr>
          </w:p>
        </w:tc>
        <w:tc>
          <w:tcPr>
            <w:tcW w:w="1914" w:type="dxa"/>
          </w:tcPr>
          <w:p w:rsidR="009F14CE" w:rsidRPr="007B4B7B" w:rsidRDefault="009F14CE">
            <w:pPr>
              <w:spacing w:before="40" w:after="40"/>
              <w:jc w:val="center"/>
              <w:rPr>
                <w:sz w:val="20"/>
                <w:lang w:val="en-US" w:eastAsia="ja-JP"/>
              </w:rPr>
            </w:pPr>
            <w:r w:rsidRPr="007B4B7B">
              <w:rPr>
                <w:sz w:val="20"/>
                <w:lang w:val="en-US" w:eastAsia="ja-JP"/>
              </w:rPr>
              <w:t>MS</w:t>
            </w:r>
          </w:p>
        </w:tc>
        <w:tc>
          <w:tcPr>
            <w:tcW w:w="284" w:type="dxa"/>
            <w:shd w:val="clear" w:color="auto" w:fill="EEECE1" w:themeFill="background2"/>
          </w:tcPr>
          <w:p w:rsidR="009F14CE" w:rsidRPr="007B4B7B" w:rsidRDefault="009F14CE">
            <w:pPr>
              <w:spacing w:before="40" w:after="40"/>
              <w:jc w:val="center"/>
              <w:rPr>
                <w:sz w:val="20"/>
                <w:lang w:val="en-US" w:eastAsia="ja-JP"/>
              </w:rPr>
            </w:pPr>
          </w:p>
        </w:tc>
        <w:tc>
          <w:tcPr>
            <w:tcW w:w="2410" w:type="dxa"/>
          </w:tcPr>
          <w:p w:rsidR="009F14CE" w:rsidRPr="007B4B7B" w:rsidRDefault="009F14CE">
            <w:pPr>
              <w:spacing w:before="40" w:after="40"/>
              <w:jc w:val="center"/>
              <w:rPr>
                <w:sz w:val="20"/>
                <w:lang w:val="en-US" w:eastAsia="ja-JP"/>
              </w:rPr>
            </w:pPr>
            <w:r w:rsidRPr="007B4B7B">
              <w:rPr>
                <w:sz w:val="20"/>
                <w:lang w:val="en-US" w:eastAsia="ja-JP"/>
              </w:rPr>
              <w:t>MS</w:t>
            </w:r>
          </w:p>
        </w:tc>
        <w:tc>
          <w:tcPr>
            <w:tcW w:w="567" w:type="dxa"/>
            <w:shd w:val="clear" w:color="auto" w:fill="C0504D" w:themeFill="accent2"/>
          </w:tcPr>
          <w:p w:rsidR="009F14CE" w:rsidRPr="007B4B7B" w:rsidRDefault="009F14CE">
            <w:pPr>
              <w:spacing w:before="40" w:after="40"/>
              <w:jc w:val="center"/>
              <w:rPr>
                <w:sz w:val="20"/>
                <w:lang w:val="en-US" w:eastAsia="ja-JP"/>
              </w:rPr>
            </w:pPr>
          </w:p>
        </w:tc>
        <w:tc>
          <w:tcPr>
            <w:tcW w:w="2409" w:type="dxa"/>
          </w:tcPr>
          <w:p w:rsidR="009F14CE" w:rsidRPr="007B4B7B" w:rsidRDefault="009F14CE">
            <w:pPr>
              <w:spacing w:before="40" w:after="40"/>
              <w:jc w:val="center"/>
              <w:rPr>
                <w:sz w:val="20"/>
                <w:lang w:val="en-US" w:eastAsia="ja-JP"/>
              </w:rPr>
            </w:pPr>
            <w:r w:rsidRPr="007B4B7B">
              <w:rPr>
                <w:sz w:val="20"/>
                <w:lang w:val="en-US" w:eastAsia="ja-JP"/>
              </w:rPr>
              <w:t>MS</w:t>
            </w:r>
          </w:p>
        </w:tc>
        <w:tc>
          <w:tcPr>
            <w:tcW w:w="680" w:type="dxa"/>
            <w:shd w:val="clear" w:color="auto" w:fill="C0504D" w:themeFill="accent2"/>
          </w:tcPr>
          <w:p w:rsidR="009F14CE" w:rsidRPr="007B4B7B" w:rsidRDefault="009F14CE">
            <w:pPr>
              <w:spacing w:before="40" w:after="40"/>
              <w:jc w:val="center"/>
              <w:rPr>
                <w:sz w:val="20"/>
                <w:lang w:val="en-US" w:eastAsia="ja-JP"/>
              </w:rPr>
            </w:pPr>
          </w:p>
        </w:tc>
      </w:tr>
      <w:tr w:rsidR="009F14CE" w:rsidRPr="007B4B7B">
        <w:trPr>
          <w:jc w:val="center"/>
        </w:trPr>
        <w:tc>
          <w:tcPr>
            <w:tcW w:w="1063" w:type="dxa"/>
            <w:shd w:val="clear" w:color="auto" w:fill="C0504D" w:themeFill="accent2"/>
          </w:tcPr>
          <w:p w:rsidR="009F14CE" w:rsidRPr="007B4B7B" w:rsidRDefault="009F14CE">
            <w:pPr>
              <w:spacing w:before="40" w:after="40"/>
              <w:jc w:val="center"/>
              <w:rPr>
                <w:sz w:val="20"/>
                <w:highlight w:val="yellow"/>
                <w:lang w:val="en-US" w:eastAsia="ja-JP"/>
              </w:rPr>
            </w:pPr>
          </w:p>
        </w:tc>
        <w:tc>
          <w:tcPr>
            <w:tcW w:w="1914" w:type="dxa"/>
          </w:tcPr>
          <w:p w:rsidR="009F14CE" w:rsidRPr="007B4B7B" w:rsidRDefault="009F14CE">
            <w:pPr>
              <w:spacing w:before="40" w:after="40"/>
              <w:jc w:val="center"/>
              <w:rPr>
                <w:sz w:val="20"/>
                <w:lang w:val="en-US" w:eastAsia="ja-JP"/>
              </w:rPr>
            </w:pPr>
            <w:proofErr w:type="spellStart"/>
            <w:r w:rsidRPr="007B4B7B">
              <w:rPr>
                <w:sz w:val="20"/>
                <w:lang w:val="en-US" w:eastAsia="ja-JP"/>
              </w:rPr>
              <w:t>BW1</w:t>
            </w:r>
            <w:proofErr w:type="spellEnd"/>
            <w:r w:rsidRPr="007B4B7B">
              <w:rPr>
                <w:sz w:val="20"/>
                <w:lang w:val="en-US" w:eastAsia="ja-JP"/>
              </w:rPr>
              <w:t>=2 GHz</w:t>
            </w:r>
          </w:p>
        </w:tc>
        <w:tc>
          <w:tcPr>
            <w:tcW w:w="284" w:type="dxa"/>
            <w:shd w:val="clear" w:color="auto" w:fill="EEECE1" w:themeFill="background2"/>
          </w:tcPr>
          <w:p w:rsidR="009F14CE" w:rsidRPr="007B4B7B" w:rsidRDefault="009F14CE">
            <w:pPr>
              <w:spacing w:before="40" w:after="40"/>
              <w:jc w:val="center"/>
              <w:rPr>
                <w:sz w:val="20"/>
                <w:lang w:val="en-US" w:eastAsia="ja-JP"/>
              </w:rPr>
            </w:pPr>
          </w:p>
        </w:tc>
        <w:tc>
          <w:tcPr>
            <w:tcW w:w="2410" w:type="dxa"/>
          </w:tcPr>
          <w:p w:rsidR="009F14CE" w:rsidRPr="007B4B7B" w:rsidRDefault="009F14CE">
            <w:pPr>
              <w:spacing w:before="40" w:after="40"/>
              <w:jc w:val="center"/>
              <w:rPr>
                <w:sz w:val="20"/>
                <w:lang w:val="en-US" w:eastAsia="ja-JP"/>
              </w:rPr>
            </w:pPr>
            <w:proofErr w:type="spellStart"/>
            <w:r w:rsidRPr="007B4B7B">
              <w:rPr>
                <w:sz w:val="20"/>
                <w:lang w:val="en-US" w:eastAsia="ja-JP"/>
              </w:rPr>
              <w:t>BW2</w:t>
            </w:r>
            <w:proofErr w:type="spellEnd"/>
            <w:r w:rsidRPr="007B4B7B">
              <w:rPr>
                <w:sz w:val="20"/>
                <w:lang w:val="en-US" w:eastAsia="ja-JP"/>
              </w:rPr>
              <w:t>=5.9 GHz</w:t>
            </w:r>
          </w:p>
        </w:tc>
        <w:tc>
          <w:tcPr>
            <w:tcW w:w="567" w:type="dxa"/>
            <w:shd w:val="clear" w:color="auto" w:fill="C0504D" w:themeFill="accent2"/>
          </w:tcPr>
          <w:p w:rsidR="009F14CE" w:rsidRPr="007B4B7B" w:rsidRDefault="009F14CE">
            <w:pPr>
              <w:spacing w:before="40" w:after="40"/>
              <w:jc w:val="center"/>
              <w:rPr>
                <w:sz w:val="20"/>
                <w:lang w:val="en-US" w:eastAsia="ja-JP"/>
              </w:rPr>
            </w:pPr>
          </w:p>
        </w:tc>
        <w:tc>
          <w:tcPr>
            <w:tcW w:w="2409" w:type="dxa"/>
          </w:tcPr>
          <w:p w:rsidR="009F14CE" w:rsidRPr="007B4B7B" w:rsidRDefault="009F14CE">
            <w:pPr>
              <w:spacing w:before="40" w:after="40"/>
              <w:jc w:val="center"/>
              <w:rPr>
                <w:sz w:val="20"/>
                <w:lang w:val="en-US" w:eastAsia="ja-JP"/>
              </w:rPr>
            </w:pPr>
            <w:proofErr w:type="spellStart"/>
            <w:r w:rsidRPr="007B4B7B">
              <w:rPr>
                <w:sz w:val="20"/>
                <w:lang w:val="en-US" w:eastAsia="ja-JP"/>
              </w:rPr>
              <w:t>BW3</w:t>
            </w:r>
            <w:proofErr w:type="spellEnd"/>
            <w:r w:rsidRPr="007B4B7B">
              <w:rPr>
                <w:sz w:val="20"/>
                <w:lang w:val="en-US" w:eastAsia="ja-JP"/>
              </w:rPr>
              <w:t>=7.5 GHz</w:t>
            </w:r>
          </w:p>
        </w:tc>
        <w:tc>
          <w:tcPr>
            <w:tcW w:w="680" w:type="dxa"/>
            <w:shd w:val="clear" w:color="auto" w:fill="C0504D" w:themeFill="accent2"/>
          </w:tcPr>
          <w:p w:rsidR="009F14CE" w:rsidRPr="007B4B7B" w:rsidRDefault="009F14CE">
            <w:pPr>
              <w:spacing w:before="40" w:after="40"/>
              <w:jc w:val="center"/>
              <w:rPr>
                <w:sz w:val="20"/>
                <w:lang w:val="en-US" w:eastAsia="ja-JP"/>
              </w:rPr>
            </w:pPr>
          </w:p>
        </w:tc>
      </w:tr>
    </w:tbl>
    <w:p w:rsidR="009F14CE" w:rsidRPr="007B4B7B" w:rsidRDefault="009F14CE">
      <w:pPr>
        <w:pStyle w:val="FigureNo"/>
        <w:ind w:left="360"/>
        <w:rPr>
          <w:lang w:val="en-US" w:eastAsia="ja-JP"/>
        </w:rPr>
      </w:pPr>
      <w:r w:rsidRPr="007B4B7B">
        <w:rPr>
          <w:lang w:val="en-US" w:eastAsia="ja-JP"/>
        </w:rPr>
        <w:lastRenderedPageBreak/>
        <w:t>FIGURE 1</w:t>
      </w:r>
    </w:p>
    <w:p w:rsidR="009F14CE" w:rsidRPr="007B4B7B" w:rsidRDefault="009F14CE" w:rsidP="00DE2498">
      <w:pPr>
        <w:pStyle w:val="Figuretitle"/>
      </w:pPr>
      <w:r w:rsidRPr="007B4B7B">
        <w:t>Sharing and compatibility schemes for coexistence between mobile services and passive services</w:t>
      </w:r>
    </w:p>
    <w:p w:rsidR="009F14CE" w:rsidRPr="007B4B7B" w:rsidRDefault="009F14CE" w:rsidP="00DE2498">
      <w:pPr>
        <w:pStyle w:val="Figure"/>
      </w:pPr>
      <w:r w:rsidRPr="007B4B7B">
        <w:rPr>
          <w:noProof/>
        </w:rPr>
        <w:drawing>
          <wp:inline distT="0" distB="0" distL="0" distR="0">
            <wp:extent cx="6120765" cy="15670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567010"/>
                    </a:xfrm>
                    <a:prstGeom prst="rect">
                      <a:avLst/>
                    </a:prstGeom>
                    <a:noFill/>
                    <a:ln>
                      <a:noFill/>
                    </a:ln>
                  </pic:spPr>
                </pic:pic>
              </a:graphicData>
            </a:graphic>
          </wp:inline>
        </w:drawing>
      </w:r>
    </w:p>
    <w:p w:rsidR="009F14CE" w:rsidRPr="007B4B7B" w:rsidRDefault="009F14CE">
      <w:pPr>
        <w:pStyle w:val="Heading1"/>
        <w:rPr>
          <w:lang w:val="en-US" w:eastAsia="ja-JP"/>
        </w:rPr>
      </w:pPr>
      <w:r w:rsidRPr="007B4B7B">
        <w:rPr>
          <w:lang w:val="en-US" w:eastAsia="ja-JP"/>
        </w:rPr>
        <w:t>6</w:t>
      </w:r>
      <w:r w:rsidRPr="007B4B7B">
        <w:rPr>
          <w:lang w:val="en-US" w:eastAsia="ja-JP"/>
        </w:rPr>
        <w:tab/>
        <w:t>System deployment scenarios</w:t>
      </w:r>
    </w:p>
    <w:p w:rsidR="009F14CE" w:rsidRPr="007B4B7B" w:rsidRDefault="009F14CE">
      <w:pPr>
        <w:rPr>
          <w:lang w:val="en-US" w:eastAsia="ja-JP"/>
        </w:rPr>
      </w:pPr>
      <w:r w:rsidRPr="007B4B7B">
        <w:rPr>
          <w:lang w:val="en-US" w:eastAsia="ja-JP"/>
        </w:rPr>
        <w:t>Figure 2 shows the schematic concept of 90 GHz wireless connection between on-board equipment and trackside radio access unit. The concept shows that 10 trackside radio access units with two antennas are equipped along the railway line. Two on-board transceivers are equipped with the driver’s room located at the first car of the train and the conductor’s room located at the end car of the train. Both on-board transceivers are complementally connected to the trackside radio access units to seamlessly maintain link connection through 90-GHz signals. If the space diversity is required to provide stable communication between train and trackside, the number of equipment becomes double.</w:t>
      </w:r>
    </w:p>
    <w:p w:rsidR="009F14CE" w:rsidRPr="007B4B7B" w:rsidRDefault="009F14CE">
      <w:pPr>
        <w:pStyle w:val="FigureNo"/>
        <w:ind w:left="360"/>
        <w:rPr>
          <w:lang w:val="en-US" w:eastAsia="ja-JP"/>
        </w:rPr>
      </w:pPr>
      <w:r w:rsidRPr="007B4B7B">
        <w:rPr>
          <w:lang w:val="en-US" w:eastAsia="ja-JP"/>
        </w:rPr>
        <w:t>FIGURE 2</w:t>
      </w:r>
    </w:p>
    <w:p w:rsidR="009F14CE" w:rsidRPr="007B4B7B" w:rsidRDefault="009F14CE" w:rsidP="00DE2498">
      <w:pPr>
        <w:pStyle w:val="Figuretitle"/>
      </w:pPr>
      <w:r w:rsidRPr="007B4B7B">
        <w:t>Concept of 90-GHz wireless connection between on-board and trackside equipment</w:t>
      </w:r>
    </w:p>
    <w:p w:rsidR="009F14CE" w:rsidRPr="007B4B7B" w:rsidRDefault="009F14CE" w:rsidP="009142B6">
      <w:pPr>
        <w:pStyle w:val="Figure"/>
        <w:rPr>
          <w:lang w:eastAsia="ja-JP"/>
        </w:rPr>
      </w:pPr>
      <w:r w:rsidRPr="007B4B7B">
        <w:rPr>
          <w:noProof/>
        </w:rPr>
        <w:drawing>
          <wp:inline distT="0" distB="0" distL="0" distR="0">
            <wp:extent cx="6120765" cy="2673350"/>
            <wp:effectExtent l="0" t="0" r="0" b="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2673350"/>
                    </a:xfrm>
                    <a:prstGeom prst="rect">
                      <a:avLst/>
                    </a:prstGeom>
                    <a:noFill/>
                    <a:ln>
                      <a:noFill/>
                    </a:ln>
                  </pic:spPr>
                </pic:pic>
              </a:graphicData>
            </a:graphic>
          </wp:inline>
        </w:drawing>
      </w:r>
    </w:p>
    <w:p w:rsidR="009F14CE" w:rsidRPr="007B4B7B" w:rsidRDefault="009F14CE">
      <w:pPr>
        <w:pStyle w:val="Heading2"/>
        <w:rPr>
          <w:lang w:val="en-US" w:eastAsia="ja-JP"/>
        </w:rPr>
      </w:pPr>
      <w:bookmarkStart w:id="19" w:name="_Hlk492913799"/>
      <w:r w:rsidRPr="007B4B7B">
        <w:rPr>
          <w:lang w:val="en-US" w:eastAsia="ja-JP"/>
        </w:rPr>
        <w:t>6.1</w:t>
      </w:r>
      <w:r w:rsidRPr="007B4B7B">
        <w:rPr>
          <w:lang w:val="en-US" w:eastAsia="ja-JP"/>
        </w:rPr>
        <w:tab/>
        <w:t xml:space="preserve"> A number of on-b</w:t>
      </w:r>
      <w:bookmarkEnd w:id="19"/>
      <w:r w:rsidRPr="007B4B7B">
        <w:rPr>
          <w:lang w:val="en-US" w:eastAsia="ja-JP"/>
        </w:rPr>
        <w:t>oard transceiver</w:t>
      </w:r>
    </w:p>
    <w:p w:rsidR="009F14CE" w:rsidRPr="007B4B7B" w:rsidRDefault="009F14CE" w:rsidP="009142B6">
      <w:pPr>
        <w:rPr>
          <w:szCs w:val="24"/>
          <w:lang w:val="en-US" w:eastAsia="ja-JP"/>
        </w:rPr>
      </w:pPr>
      <w:r w:rsidRPr="007B4B7B">
        <w:rPr>
          <w:szCs w:val="24"/>
          <w:lang w:val="en-US" w:eastAsia="ja-JP"/>
        </w:rPr>
        <w:t xml:space="preserve">Since two on-board transceivers are equipped with the driver’s room located at the first train vehicle and the conductor’s room located at the last train vehicle, the total number of on-board transceivers on super express train set in Japan Railway will be four. The number of train set of daily operated super express trains in all Japan Railway companies is shown in Figure 4. The maximum train set of 230 is observed in the evening of 19:00-20:00 hour. Then the total number of on-board transceivers </w:t>
      </w:r>
      <w:r w:rsidRPr="007B4B7B">
        <w:rPr>
          <w:szCs w:val="24"/>
          <w:lang w:val="en-US" w:eastAsia="ja-JP"/>
        </w:rPr>
        <w:lastRenderedPageBreak/>
        <w:t>which are operated in 19:00-20:00 hour becomes 920. This number may be used for sharing and compatibility studies taking into account the coverage area of satellite antennas.</w:t>
      </w:r>
    </w:p>
    <w:p w:rsidR="009F14CE" w:rsidRPr="007B4B7B" w:rsidRDefault="009F14CE">
      <w:pPr>
        <w:pStyle w:val="FigureNo"/>
        <w:ind w:left="360"/>
        <w:rPr>
          <w:lang w:val="en-US" w:eastAsia="ja-JP"/>
        </w:rPr>
      </w:pPr>
      <w:r w:rsidRPr="007B4B7B">
        <w:rPr>
          <w:lang w:val="en-US" w:eastAsia="ja-JP"/>
        </w:rPr>
        <w:t>FIGURE 4</w:t>
      </w:r>
    </w:p>
    <w:p w:rsidR="009F14CE" w:rsidRPr="007B4B7B" w:rsidRDefault="009F14CE" w:rsidP="00DE2498">
      <w:pPr>
        <w:pStyle w:val="Figuretitle"/>
      </w:pPr>
      <w:r w:rsidRPr="007B4B7B">
        <w:t>Total number of super express train set per one day</w:t>
      </w:r>
    </w:p>
    <w:p w:rsidR="009F14CE" w:rsidRPr="007B4B7B" w:rsidRDefault="009F14CE" w:rsidP="009142B6">
      <w:pPr>
        <w:pStyle w:val="Figure"/>
        <w:spacing w:after="0"/>
        <w:rPr>
          <w:lang w:eastAsia="ja-JP"/>
        </w:rPr>
      </w:pPr>
      <w:r w:rsidRPr="007B4B7B">
        <w:rPr>
          <w:noProof/>
        </w:rPr>
        <w:drawing>
          <wp:inline distT="0" distB="0" distL="0" distR="0">
            <wp:extent cx="5334000" cy="3750548"/>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7672" cy="3753130"/>
                    </a:xfrm>
                    <a:prstGeom prst="rect">
                      <a:avLst/>
                    </a:prstGeom>
                    <a:noFill/>
                    <a:ln>
                      <a:noFill/>
                    </a:ln>
                  </pic:spPr>
                </pic:pic>
              </a:graphicData>
            </a:graphic>
          </wp:inline>
        </w:drawing>
      </w:r>
    </w:p>
    <w:p w:rsidR="009F14CE" w:rsidRPr="007B4B7B" w:rsidRDefault="009F14CE" w:rsidP="009142B6">
      <w:pPr>
        <w:pStyle w:val="Figurelegend"/>
        <w:rPr>
          <w:lang w:val="en-US" w:eastAsia="ja-JP"/>
        </w:rPr>
      </w:pPr>
      <w:r w:rsidRPr="007B4B7B">
        <w:rPr>
          <w:lang w:val="en-US" w:eastAsia="ja-JP"/>
        </w:rPr>
        <w:t xml:space="preserve">©Hitachi Kokusai Electric Inc., Data Source: </w:t>
      </w:r>
      <w:hyperlink r:id="rId14" w:history="1">
        <w:r w:rsidRPr="007B4B7B">
          <w:rPr>
            <w:rStyle w:val="Hyperlink"/>
            <w:lang w:val="en-US" w:eastAsia="ja-JP"/>
          </w:rPr>
          <w:t>http://</w:t>
        </w:r>
        <w:proofErr w:type="spellStart"/>
        <w:r w:rsidRPr="007B4B7B">
          <w:rPr>
            <w:rStyle w:val="Hyperlink"/>
            <w:lang w:val="en-US" w:eastAsia="ja-JP"/>
          </w:rPr>
          <w:t>ekitan.com</w:t>
        </w:r>
        <w:proofErr w:type="spellEnd"/>
        <w:r w:rsidRPr="007B4B7B">
          <w:rPr>
            <w:rStyle w:val="Hyperlink"/>
            <w:lang w:val="en-US" w:eastAsia="ja-JP"/>
          </w:rPr>
          <w:t>/</w:t>
        </w:r>
      </w:hyperlink>
    </w:p>
    <w:p w:rsidR="009F14CE" w:rsidRPr="007B4B7B" w:rsidRDefault="009F14CE" w:rsidP="009142B6">
      <w:pPr>
        <w:pStyle w:val="Heading2"/>
        <w:rPr>
          <w:lang w:val="en-US" w:eastAsia="ja-JP"/>
        </w:rPr>
      </w:pPr>
      <w:r w:rsidRPr="007B4B7B">
        <w:rPr>
          <w:lang w:val="en-US" w:eastAsia="ja-JP"/>
        </w:rPr>
        <w:t>6.2</w:t>
      </w:r>
      <w:r w:rsidRPr="007B4B7B">
        <w:rPr>
          <w:lang w:val="en-US" w:eastAsia="ja-JP"/>
        </w:rPr>
        <w:tab/>
        <w:t xml:space="preserve"> A number of trackside radio access unit</w:t>
      </w:r>
    </w:p>
    <w:p w:rsidR="009F14CE" w:rsidRPr="007B4B7B" w:rsidRDefault="009F14CE" w:rsidP="009142B6">
      <w:pPr>
        <w:rPr>
          <w:lang w:val="en-US" w:eastAsia="ja-JP"/>
        </w:rPr>
      </w:pPr>
      <w:r w:rsidRPr="007B4B7B">
        <w:rPr>
          <w:lang w:val="en-US" w:eastAsia="ja-JP"/>
        </w:rPr>
        <w:t xml:space="preserve">Figure 5 shows the currently operated super express service lines in Japan Railway companies. Table 2 summarizes the super express service line length and maximum speed of each Japan Railway company. The distance between on-board transceivers and trackside radio access units are changed in the range of 0.5-1 km in the condition of operational environment. In the estimation of the number of trackside </w:t>
      </w:r>
      <w:proofErr w:type="spellStart"/>
      <w:r w:rsidRPr="007B4B7B">
        <w:rPr>
          <w:lang w:val="en-US" w:eastAsia="ja-JP"/>
        </w:rPr>
        <w:t>RAUs</w:t>
      </w:r>
      <w:proofErr w:type="spellEnd"/>
      <w:r w:rsidRPr="007B4B7B">
        <w:rPr>
          <w:lang w:val="en-US" w:eastAsia="ja-JP"/>
        </w:rPr>
        <w:t xml:space="preserve">, the trackside RAU is equipped 1 km interval along the super express service line. Table 2 also estimated the number of trackside </w:t>
      </w:r>
      <w:proofErr w:type="spellStart"/>
      <w:r w:rsidRPr="007B4B7B">
        <w:rPr>
          <w:lang w:val="en-US" w:eastAsia="ja-JP"/>
        </w:rPr>
        <w:t>RAUs</w:t>
      </w:r>
      <w:proofErr w:type="spellEnd"/>
      <w:r w:rsidRPr="007B4B7B">
        <w:rPr>
          <w:lang w:val="en-US" w:eastAsia="ja-JP"/>
        </w:rPr>
        <w:t>.  One trackside RAU has four transceivers which are independently connected to four on-board transceivers equipped on the super express train set.</w:t>
      </w:r>
    </w:p>
    <w:p w:rsidR="009F14CE" w:rsidRPr="007B4B7B" w:rsidRDefault="009F14CE">
      <w:pPr>
        <w:pStyle w:val="FigureNo"/>
        <w:ind w:left="360"/>
        <w:rPr>
          <w:lang w:val="en-US" w:eastAsia="ja-JP"/>
        </w:rPr>
      </w:pPr>
      <w:r w:rsidRPr="007B4B7B">
        <w:rPr>
          <w:lang w:val="en-US" w:eastAsia="ja-JP"/>
        </w:rPr>
        <w:lastRenderedPageBreak/>
        <w:t>FIGURE 5</w:t>
      </w:r>
    </w:p>
    <w:p w:rsidR="009F14CE" w:rsidRPr="007B4B7B" w:rsidRDefault="009F14CE" w:rsidP="00DE2498">
      <w:pPr>
        <w:pStyle w:val="Figuretitle"/>
      </w:pPr>
      <w:r w:rsidRPr="007B4B7B">
        <w:t>Map of super express service lines in Japan</w:t>
      </w:r>
    </w:p>
    <w:p w:rsidR="009F14CE" w:rsidRPr="007B4B7B" w:rsidRDefault="009F14CE" w:rsidP="009142B6">
      <w:pPr>
        <w:pStyle w:val="Figure"/>
        <w:spacing w:after="0"/>
        <w:rPr>
          <w:lang w:eastAsia="ja-JP"/>
        </w:rPr>
      </w:pPr>
      <w:r w:rsidRPr="007B4B7B">
        <w:rPr>
          <w:noProof/>
        </w:rPr>
        <w:drawing>
          <wp:inline distT="0" distB="0" distL="0" distR="0">
            <wp:extent cx="5400040" cy="5400040"/>
            <wp:effectExtent l="0" t="0" r="0" b="0"/>
            <wp:docPr id="2" name="図 2" descr="C:\Users\hiroyo ogawa\AppData\Local\Microsoft\Windows\INetCache\Content.Word\h00077en_map2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oyo ogawa\AppData\Local\Microsoft\Windows\INetCache\Content.Word\h00077en_map21 (00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p>
    <w:p w:rsidR="009F14CE" w:rsidRPr="007B4B7B" w:rsidRDefault="009F14CE" w:rsidP="009142B6">
      <w:pPr>
        <w:pStyle w:val="Figurelegend"/>
        <w:rPr>
          <w:lang w:val="en-US"/>
        </w:rPr>
      </w:pPr>
      <w:r w:rsidRPr="007B4B7B">
        <w:rPr>
          <w:lang w:val="en-US"/>
        </w:rPr>
        <w:t>©2011-2017 Nippon Communications Foundation</w:t>
      </w:r>
    </w:p>
    <w:p w:rsidR="009F14CE" w:rsidRPr="007B4B7B" w:rsidRDefault="009F14CE" w:rsidP="009142B6">
      <w:pPr>
        <w:rPr>
          <w:i/>
          <w:lang w:val="en-US" w:eastAsia="ja-JP"/>
        </w:rPr>
      </w:pPr>
      <w:r w:rsidRPr="007B4B7B">
        <w:rPr>
          <w:i/>
          <w:lang w:val="en-US" w:eastAsia="ja-JP"/>
        </w:rPr>
        <w:t>[Japan’s note: The tunnel may affect the sharing and compatibility studies, but the following table does not include information on tunnel length of each super express service line. These parameters will be further studies at the next meeting.]</w:t>
      </w:r>
    </w:p>
    <w:p w:rsidR="009F14CE" w:rsidRPr="007B4B7B" w:rsidRDefault="009F14CE">
      <w:pPr>
        <w:pStyle w:val="TableNo"/>
        <w:ind w:left="360"/>
        <w:rPr>
          <w:lang w:val="en-US" w:eastAsia="ja-JP"/>
        </w:rPr>
      </w:pPr>
      <w:r w:rsidRPr="007B4B7B">
        <w:rPr>
          <w:lang w:val="en-US" w:eastAsia="ja-JP"/>
        </w:rPr>
        <w:t>Table 2</w:t>
      </w:r>
    </w:p>
    <w:p w:rsidR="009F14CE" w:rsidRPr="007B4B7B" w:rsidRDefault="009F14CE">
      <w:pPr>
        <w:pStyle w:val="Tabletitle"/>
        <w:ind w:left="360"/>
        <w:rPr>
          <w:lang w:val="en-US" w:eastAsia="ja-JP"/>
        </w:rPr>
      </w:pPr>
      <w:r w:rsidRPr="007B4B7B">
        <w:rPr>
          <w:lang w:val="en-US" w:eastAsia="ja-JP"/>
        </w:rPr>
        <w:t>Estimated number of trackside RAU in each super express service line in Japan</w:t>
      </w:r>
    </w:p>
    <w:tbl>
      <w:tblPr>
        <w:tblStyle w:val="TableGrid"/>
        <w:tblW w:w="0" w:type="auto"/>
        <w:jc w:val="center"/>
        <w:tblLook w:val="04A0" w:firstRow="1" w:lastRow="0" w:firstColumn="1" w:lastColumn="0" w:noHBand="0" w:noVBand="1"/>
      </w:tblPr>
      <w:tblGrid>
        <w:gridCol w:w="1843"/>
        <w:gridCol w:w="2409"/>
        <w:gridCol w:w="1418"/>
        <w:gridCol w:w="1559"/>
        <w:gridCol w:w="1985"/>
      </w:tblGrid>
      <w:tr w:rsidR="009F14CE" w:rsidRPr="007B4B7B" w:rsidTr="009142B6">
        <w:trPr>
          <w:cantSplit/>
          <w:tblHeader/>
          <w:jc w:val="center"/>
        </w:trPr>
        <w:tc>
          <w:tcPr>
            <w:tcW w:w="1843" w:type="dxa"/>
            <w:vAlign w:val="center"/>
          </w:tcPr>
          <w:p w:rsidR="009F14CE" w:rsidRPr="007B4B7B" w:rsidRDefault="009F14CE" w:rsidP="00DE2498">
            <w:pPr>
              <w:pStyle w:val="Tablehead"/>
              <w:rPr>
                <w:lang w:val="en-US" w:eastAsia="ja-JP"/>
              </w:rPr>
            </w:pPr>
            <w:r w:rsidRPr="007B4B7B">
              <w:rPr>
                <w:lang w:val="en-US" w:eastAsia="ja-JP"/>
              </w:rPr>
              <w:t>Name of super express line</w:t>
            </w:r>
          </w:p>
        </w:tc>
        <w:tc>
          <w:tcPr>
            <w:tcW w:w="2409" w:type="dxa"/>
            <w:vAlign w:val="center"/>
          </w:tcPr>
          <w:p w:rsidR="009F14CE" w:rsidRPr="007B4B7B" w:rsidRDefault="009F14CE" w:rsidP="00DE2498">
            <w:pPr>
              <w:pStyle w:val="Tablehead"/>
              <w:rPr>
                <w:lang w:val="en-US" w:eastAsia="ja-JP"/>
              </w:rPr>
            </w:pPr>
            <w:r w:rsidRPr="007B4B7B">
              <w:rPr>
                <w:lang w:val="en-US" w:eastAsia="ja-JP"/>
              </w:rPr>
              <w:t>Service area</w:t>
            </w:r>
          </w:p>
        </w:tc>
        <w:tc>
          <w:tcPr>
            <w:tcW w:w="1418" w:type="dxa"/>
            <w:vAlign w:val="center"/>
          </w:tcPr>
          <w:p w:rsidR="009F14CE" w:rsidRPr="007B4B7B" w:rsidRDefault="009F14CE" w:rsidP="00DE2498">
            <w:pPr>
              <w:pStyle w:val="Tablehead"/>
              <w:rPr>
                <w:lang w:val="en-US" w:eastAsia="ja-JP"/>
              </w:rPr>
            </w:pPr>
            <w:r w:rsidRPr="007B4B7B">
              <w:rPr>
                <w:lang w:val="en-US" w:eastAsia="ja-JP"/>
              </w:rPr>
              <w:t>Line length</w:t>
            </w:r>
          </w:p>
        </w:tc>
        <w:tc>
          <w:tcPr>
            <w:tcW w:w="1559" w:type="dxa"/>
            <w:vAlign w:val="center"/>
          </w:tcPr>
          <w:p w:rsidR="009F14CE" w:rsidRPr="007B4B7B" w:rsidRDefault="009F14CE" w:rsidP="00DE2498">
            <w:pPr>
              <w:pStyle w:val="Tablehead"/>
              <w:rPr>
                <w:lang w:val="en-US" w:eastAsia="ja-JP"/>
              </w:rPr>
            </w:pPr>
            <w:r w:rsidRPr="007B4B7B">
              <w:rPr>
                <w:lang w:val="en-US" w:eastAsia="ja-JP"/>
              </w:rPr>
              <w:t>Maximum speed</w:t>
            </w:r>
          </w:p>
        </w:tc>
        <w:tc>
          <w:tcPr>
            <w:tcW w:w="1985" w:type="dxa"/>
            <w:vAlign w:val="center"/>
          </w:tcPr>
          <w:p w:rsidR="009F14CE" w:rsidRPr="007B4B7B" w:rsidRDefault="009F14CE" w:rsidP="00DE2498">
            <w:pPr>
              <w:pStyle w:val="Tablehead"/>
              <w:rPr>
                <w:lang w:val="en-US" w:eastAsia="ja-JP"/>
              </w:rPr>
            </w:pPr>
            <w:r w:rsidRPr="007B4B7B">
              <w:rPr>
                <w:lang w:val="en-US" w:eastAsia="ja-JP"/>
              </w:rPr>
              <w:t>Estimated number of trackside RAU</w:t>
            </w:r>
          </w:p>
        </w:tc>
      </w:tr>
      <w:tr w:rsidR="009F14CE" w:rsidRPr="007B4B7B" w:rsidTr="009142B6">
        <w:trPr>
          <w:cantSplit/>
          <w:jc w:val="center"/>
        </w:trPr>
        <w:tc>
          <w:tcPr>
            <w:tcW w:w="1843" w:type="dxa"/>
          </w:tcPr>
          <w:p w:rsidR="009F14CE" w:rsidRPr="007B4B7B" w:rsidRDefault="009F14CE" w:rsidP="00836A60">
            <w:pPr>
              <w:pStyle w:val="Tabletext"/>
              <w:rPr>
                <w:lang w:val="en-US" w:eastAsia="ja-JP"/>
              </w:rPr>
            </w:pPr>
            <w:proofErr w:type="spellStart"/>
            <w:r w:rsidRPr="007B4B7B">
              <w:rPr>
                <w:lang w:val="en-US" w:eastAsia="ja-JP"/>
              </w:rPr>
              <w:t>Tokaido</w:t>
            </w:r>
            <w:proofErr w:type="spellEnd"/>
            <w:r w:rsidRPr="007B4B7B">
              <w:rPr>
                <w:lang w:val="en-US" w:eastAsia="ja-JP"/>
              </w:rPr>
              <w:t xml:space="preserve"> line</w:t>
            </w:r>
          </w:p>
        </w:tc>
        <w:tc>
          <w:tcPr>
            <w:tcW w:w="2409" w:type="dxa"/>
          </w:tcPr>
          <w:p w:rsidR="009F14CE" w:rsidRPr="007B4B7B" w:rsidRDefault="009F14CE" w:rsidP="007B4B7B">
            <w:pPr>
              <w:pStyle w:val="Tabletext"/>
              <w:rPr>
                <w:lang w:val="en-US" w:eastAsia="ja-JP"/>
              </w:rPr>
            </w:pPr>
            <w:r w:rsidRPr="007B4B7B">
              <w:rPr>
                <w:lang w:val="en-US" w:eastAsia="ja-JP"/>
              </w:rPr>
              <w:t xml:space="preserve">Tokyo </w:t>
            </w:r>
            <w:r w:rsidR="007B4B7B">
              <w:rPr>
                <w:lang w:val="en-US" w:eastAsia="ja-JP"/>
              </w:rPr>
              <w:t>–</w:t>
            </w:r>
            <w:r w:rsidRPr="007B4B7B">
              <w:rPr>
                <w:lang w:val="en-US" w:eastAsia="ja-JP"/>
              </w:rPr>
              <w:t xml:space="preserve"> Shin Osaka</w:t>
            </w:r>
          </w:p>
        </w:tc>
        <w:tc>
          <w:tcPr>
            <w:tcW w:w="1418" w:type="dxa"/>
            <w:vAlign w:val="center"/>
          </w:tcPr>
          <w:p w:rsidR="009F14CE" w:rsidRPr="007B4B7B" w:rsidRDefault="009F14CE" w:rsidP="00836A60">
            <w:pPr>
              <w:pStyle w:val="Tabletext"/>
              <w:jc w:val="center"/>
              <w:rPr>
                <w:lang w:val="en-US" w:eastAsia="ja-JP"/>
              </w:rPr>
            </w:pPr>
            <w:r w:rsidRPr="007B4B7B">
              <w:rPr>
                <w:lang w:val="en-US" w:eastAsia="ja-JP"/>
              </w:rPr>
              <w:t>562.6 km</w:t>
            </w:r>
          </w:p>
        </w:tc>
        <w:tc>
          <w:tcPr>
            <w:tcW w:w="1559" w:type="dxa"/>
            <w:vAlign w:val="center"/>
          </w:tcPr>
          <w:p w:rsidR="009F14CE" w:rsidRPr="007B4B7B" w:rsidRDefault="009F14CE" w:rsidP="00836A60">
            <w:pPr>
              <w:pStyle w:val="Tabletext"/>
              <w:jc w:val="center"/>
              <w:rPr>
                <w:lang w:val="en-US" w:eastAsia="ja-JP"/>
              </w:rPr>
            </w:pPr>
            <w:r w:rsidRPr="007B4B7B">
              <w:rPr>
                <w:lang w:val="en-US" w:eastAsia="ja-JP"/>
              </w:rPr>
              <w:t>285 km/hour</w:t>
            </w:r>
          </w:p>
        </w:tc>
        <w:tc>
          <w:tcPr>
            <w:tcW w:w="1985" w:type="dxa"/>
            <w:vAlign w:val="center"/>
          </w:tcPr>
          <w:p w:rsidR="009F14CE" w:rsidRPr="007B4B7B" w:rsidRDefault="009F14CE" w:rsidP="007B4B7B">
            <w:pPr>
              <w:pStyle w:val="Tabletext"/>
              <w:jc w:val="center"/>
              <w:rPr>
                <w:lang w:val="en-US" w:eastAsia="ja-JP"/>
              </w:rPr>
            </w:pPr>
            <w:r w:rsidRPr="007B4B7B">
              <w:rPr>
                <w:lang w:val="en-US" w:eastAsia="ja-JP"/>
              </w:rPr>
              <w:t>2</w:t>
            </w:r>
            <w:r w:rsidR="007B4B7B">
              <w:rPr>
                <w:lang w:val="en-US" w:eastAsia="ja-JP"/>
              </w:rPr>
              <w:t> </w:t>
            </w:r>
            <w:r w:rsidRPr="007B4B7B">
              <w:rPr>
                <w:lang w:val="en-US" w:eastAsia="ja-JP"/>
              </w:rPr>
              <w:t>248</w:t>
            </w:r>
          </w:p>
        </w:tc>
      </w:tr>
      <w:tr w:rsidR="009F14CE" w:rsidRPr="007B4B7B" w:rsidTr="009142B6">
        <w:trPr>
          <w:cantSplit/>
          <w:jc w:val="center"/>
        </w:trPr>
        <w:tc>
          <w:tcPr>
            <w:tcW w:w="1843" w:type="dxa"/>
          </w:tcPr>
          <w:p w:rsidR="009F14CE" w:rsidRPr="007B4B7B" w:rsidRDefault="009F14CE" w:rsidP="00836A60">
            <w:pPr>
              <w:pStyle w:val="Tabletext"/>
              <w:rPr>
                <w:lang w:val="en-US" w:eastAsia="ja-JP"/>
              </w:rPr>
            </w:pPr>
            <w:proofErr w:type="spellStart"/>
            <w:r w:rsidRPr="007B4B7B">
              <w:rPr>
                <w:lang w:val="en-US" w:eastAsia="ja-JP"/>
              </w:rPr>
              <w:t>Snayo</w:t>
            </w:r>
            <w:proofErr w:type="spellEnd"/>
            <w:r w:rsidRPr="007B4B7B">
              <w:rPr>
                <w:lang w:val="en-US" w:eastAsia="ja-JP"/>
              </w:rPr>
              <w:t xml:space="preserve"> line</w:t>
            </w:r>
          </w:p>
        </w:tc>
        <w:tc>
          <w:tcPr>
            <w:tcW w:w="2409" w:type="dxa"/>
          </w:tcPr>
          <w:p w:rsidR="009F14CE" w:rsidRPr="007B4B7B" w:rsidRDefault="009F14CE" w:rsidP="007B4B7B">
            <w:pPr>
              <w:pStyle w:val="Tabletext"/>
              <w:rPr>
                <w:lang w:val="en-US" w:eastAsia="ja-JP"/>
              </w:rPr>
            </w:pPr>
            <w:r w:rsidRPr="007B4B7B">
              <w:rPr>
                <w:lang w:val="en-US" w:eastAsia="ja-JP"/>
              </w:rPr>
              <w:t xml:space="preserve">Shin Osaka </w:t>
            </w:r>
            <w:r w:rsidR="007B4B7B">
              <w:rPr>
                <w:lang w:val="en-US" w:eastAsia="ja-JP"/>
              </w:rPr>
              <w:t>–</w:t>
            </w:r>
            <w:r w:rsidRPr="007B4B7B">
              <w:rPr>
                <w:lang w:val="en-US" w:eastAsia="ja-JP"/>
              </w:rPr>
              <w:t xml:space="preserve"> Hakata</w:t>
            </w:r>
          </w:p>
        </w:tc>
        <w:tc>
          <w:tcPr>
            <w:tcW w:w="1418" w:type="dxa"/>
            <w:vAlign w:val="center"/>
          </w:tcPr>
          <w:p w:rsidR="009F14CE" w:rsidRPr="007B4B7B" w:rsidRDefault="009F14CE" w:rsidP="00836A60">
            <w:pPr>
              <w:pStyle w:val="Tabletext"/>
              <w:jc w:val="center"/>
              <w:rPr>
                <w:lang w:val="en-US" w:eastAsia="ja-JP"/>
              </w:rPr>
            </w:pPr>
            <w:r w:rsidRPr="007B4B7B">
              <w:rPr>
                <w:lang w:val="en-US" w:eastAsia="ja-JP"/>
              </w:rPr>
              <w:t>644.0 km</w:t>
            </w:r>
          </w:p>
        </w:tc>
        <w:tc>
          <w:tcPr>
            <w:tcW w:w="1559" w:type="dxa"/>
            <w:vAlign w:val="center"/>
          </w:tcPr>
          <w:p w:rsidR="009F14CE" w:rsidRPr="007B4B7B" w:rsidRDefault="009F14CE" w:rsidP="00836A60">
            <w:pPr>
              <w:pStyle w:val="Tabletext"/>
              <w:jc w:val="center"/>
              <w:rPr>
                <w:lang w:val="en-US" w:eastAsia="ja-JP"/>
              </w:rPr>
            </w:pPr>
            <w:r w:rsidRPr="007B4B7B">
              <w:rPr>
                <w:lang w:val="en-US" w:eastAsia="ja-JP"/>
              </w:rPr>
              <w:t>300 km/hour</w:t>
            </w:r>
          </w:p>
        </w:tc>
        <w:tc>
          <w:tcPr>
            <w:tcW w:w="1985" w:type="dxa"/>
            <w:vAlign w:val="center"/>
          </w:tcPr>
          <w:p w:rsidR="009F14CE" w:rsidRPr="007B4B7B" w:rsidRDefault="009F14CE" w:rsidP="007B4B7B">
            <w:pPr>
              <w:pStyle w:val="Tabletext"/>
              <w:jc w:val="center"/>
              <w:rPr>
                <w:lang w:val="en-US" w:eastAsia="ja-JP"/>
              </w:rPr>
            </w:pPr>
            <w:r w:rsidRPr="007B4B7B">
              <w:rPr>
                <w:lang w:val="en-US" w:eastAsia="ja-JP"/>
              </w:rPr>
              <w:t>2</w:t>
            </w:r>
            <w:r w:rsidR="007B4B7B">
              <w:rPr>
                <w:lang w:val="en-US" w:eastAsia="ja-JP"/>
              </w:rPr>
              <w:t> </w:t>
            </w:r>
            <w:r w:rsidRPr="007B4B7B">
              <w:rPr>
                <w:lang w:val="en-US" w:eastAsia="ja-JP"/>
              </w:rPr>
              <w:t>576</w:t>
            </w:r>
          </w:p>
        </w:tc>
      </w:tr>
      <w:tr w:rsidR="009F14CE" w:rsidRPr="007B4B7B" w:rsidTr="009142B6">
        <w:trPr>
          <w:cantSplit/>
          <w:jc w:val="center"/>
        </w:trPr>
        <w:tc>
          <w:tcPr>
            <w:tcW w:w="1843" w:type="dxa"/>
          </w:tcPr>
          <w:p w:rsidR="009F14CE" w:rsidRPr="007B4B7B" w:rsidRDefault="009F14CE" w:rsidP="00836A60">
            <w:pPr>
              <w:pStyle w:val="Tabletext"/>
              <w:rPr>
                <w:lang w:val="en-US" w:eastAsia="ja-JP"/>
              </w:rPr>
            </w:pPr>
            <w:r w:rsidRPr="007B4B7B">
              <w:rPr>
                <w:lang w:val="en-US" w:eastAsia="ja-JP"/>
              </w:rPr>
              <w:t>Tohoku line</w:t>
            </w:r>
          </w:p>
        </w:tc>
        <w:tc>
          <w:tcPr>
            <w:tcW w:w="2409" w:type="dxa"/>
          </w:tcPr>
          <w:p w:rsidR="009F14CE" w:rsidRPr="007B4B7B" w:rsidRDefault="009F14CE" w:rsidP="00836A60">
            <w:pPr>
              <w:pStyle w:val="Tabletext"/>
              <w:rPr>
                <w:lang w:val="en-US" w:eastAsia="ja-JP"/>
              </w:rPr>
            </w:pPr>
            <w:r w:rsidRPr="007B4B7B">
              <w:rPr>
                <w:lang w:val="en-US" w:eastAsia="ja-JP"/>
              </w:rPr>
              <w:t>Tokyo – Shin Aomori</w:t>
            </w:r>
          </w:p>
        </w:tc>
        <w:tc>
          <w:tcPr>
            <w:tcW w:w="1418" w:type="dxa"/>
            <w:vAlign w:val="center"/>
          </w:tcPr>
          <w:p w:rsidR="009F14CE" w:rsidRPr="007B4B7B" w:rsidRDefault="009F14CE" w:rsidP="00836A60">
            <w:pPr>
              <w:pStyle w:val="Tabletext"/>
              <w:jc w:val="center"/>
              <w:rPr>
                <w:lang w:val="en-US" w:eastAsia="ja-JP"/>
              </w:rPr>
            </w:pPr>
            <w:r w:rsidRPr="007B4B7B">
              <w:rPr>
                <w:lang w:val="en-US" w:eastAsia="ja-JP"/>
              </w:rPr>
              <w:t>713.7 km</w:t>
            </w:r>
          </w:p>
        </w:tc>
        <w:tc>
          <w:tcPr>
            <w:tcW w:w="1559" w:type="dxa"/>
            <w:vAlign w:val="center"/>
          </w:tcPr>
          <w:p w:rsidR="009F14CE" w:rsidRPr="007B4B7B" w:rsidRDefault="009F14CE" w:rsidP="00836A60">
            <w:pPr>
              <w:pStyle w:val="Tabletext"/>
              <w:jc w:val="center"/>
              <w:rPr>
                <w:lang w:val="en-US" w:eastAsia="ja-JP"/>
              </w:rPr>
            </w:pPr>
            <w:r w:rsidRPr="007B4B7B">
              <w:rPr>
                <w:lang w:val="en-US" w:eastAsia="ja-JP"/>
              </w:rPr>
              <w:t>320 km/hour</w:t>
            </w:r>
          </w:p>
        </w:tc>
        <w:tc>
          <w:tcPr>
            <w:tcW w:w="1985" w:type="dxa"/>
            <w:vAlign w:val="center"/>
          </w:tcPr>
          <w:p w:rsidR="009F14CE" w:rsidRPr="007B4B7B" w:rsidRDefault="009F14CE" w:rsidP="007B4B7B">
            <w:pPr>
              <w:pStyle w:val="Tabletext"/>
              <w:jc w:val="center"/>
              <w:rPr>
                <w:lang w:val="en-US" w:eastAsia="ja-JP"/>
              </w:rPr>
            </w:pPr>
            <w:r w:rsidRPr="007B4B7B">
              <w:rPr>
                <w:lang w:val="en-US" w:eastAsia="ja-JP"/>
              </w:rPr>
              <w:t>2</w:t>
            </w:r>
            <w:r w:rsidR="007B4B7B">
              <w:rPr>
                <w:lang w:val="en-US" w:eastAsia="ja-JP"/>
              </w:rPr>
              <w:t> </w:t>
            </w:r>
            <w:r w:rsidRPr="007B4B7B">
              <w:rPr>
                <w:lang w:val="en-US" w:eastAsia="ja-JP"/>
              </w:rPr>
              <w:t>852</w:t>
            </w:r>
          </w:p>
        </w:tc>
      </w:tr>
      <w:tr w:rsidR="009F14CE" w:rsidRPr="007B4B7B" w:rsidTr="009142B6">
        <w:trPr>
          <w:cantSplit/>
          <w:jc w:val="center"/>
        </w:trPr>
        <w:tc>
          <w:tcPr>
            <w:tcW w:w="1843" w:type="dxa"/>
          </w:tcPr>
          <w:p w:rsidR="009F14CE" w:rsidRPr="007B4B7B" w:rsidRDefault="009F14CE" w:rsidP="00836A60">
            <w:pPr>
              <w:pStyle w:val="Tabletext"/>
              <w:rPr>
                <w:lang w:val="en-US" w:eastAsia="ja-JP"/>
              </w:rPr>
            </w:pPr>
            <w:r w:rsidRPr="007B4B7B">
              <w:rPr>
                <w:lang w:val="en-US" w:eastAsia="ja-JP"/>
              </w:rPr>
              <w:t>Hokkaido line</w:t>
            </w:r>
          </w:p>
        </w:tc>
        <w:tc>
          <w:tcPr>
            <w:tcW w:w="2409" w:type="dxa"/>
          </w:tcPr>
          <w:p w:rsidR="009F14CE" w:rsidRPr="007B4B7B" w:rsidRDefault="009F14CE" w:rsidP="00836A60">
            <w:pPr>
              <w:pStyle w:val="Tabletext"/>
              <w:rPr>
                <w:lang w:val="en-US" w:eastAsia="ja-JP"/>
              </w:rPr>
            </w:pPr>
            <w:r w:rsidRPr="007B4B7B">
              <w:rPr>
                <w:lang w:val="en-US" w:eastAsia="ja-JP"/>
              </w:rPr>
              <w:t xml:space="preserve">Shin Aomori – Shin </w:t>
            </w:r>
            <w:proofErr w:type="spellStart"/>
            <w:r w:rsidRPr="007B4B7B">
              <w:rPr>
                <w:lang w:val="en-US" w:eastAsia="ja-JP"/>
              </w:rPr>
              <w:t>Hakodatehokuto</w:t>
            </w:r>
            <w:proofErr w:type="spellEnd"/>
          </w:p>
        </w:tc>
        <w:tc>
          <w:tcPr>
            <w:tcW w:w="1418" w:type="dxa"/>
            <w:vAlign w:val="center"/>
          </w:tcPr>
          <w:p w:rsidR="009F14CE" w:rsidRPr="007B4B7B" w:rsidRDefault="009F14CE" w:rsidP="00836A60">
            <w:pPr>
              <w:pStyle w:val="Tabletext"/>
              <w:jc w:val="center"/>
              <w:rPr>
                <w:lang w:val="en-US" w:eastAsia="ja-JP"/>
              </w:rPr>
            </w:pPr>
            <w:r w:rsidRPr="007B4B7B">
              <w:rPr>
                <w:lang w:val="en-US" w:eastAsia="ja-JP"/>
              </w:rPr>
              <w:t>148.8 km</w:t>
            </w:r>
          </w:p>
        </w:tc>
        <w:tc>
          <w:tcPr>
            <w:tcW w:w="1559" w:type="dxa"/>
            <w:vAlign w:val="center"/>
          </w:tcPr>
          <w:p w:rsidR="009F14CE" w:rsidRPr="007B4B7B" w:rsidRDefault="009F14CE" w:rsidP="00836A60">
            <w:pPr>
              <w:pStyle w:val="Tabletext"/>
              <w:jc w:val="center"/>
              <w:rPr>
                <w:lang w:val="en-US" w:eastAsia="ja-JP"/>
              </w:rPr>
            </w:pPr>
            <w:r w:rsidRPr="007B4B7B">
              <w:rPr>
                <w:lang w:val="en-US" w:eastAsia="ja-JP"/>
              </w:rPr>
              <w:t>260 km/hour</w:t>
            </w:r>
          </w:p>
        </w:tc>
        <w:tc>
          <w:tcPr>
            <w:tcW w:w="1985" w:type="dxa"/>
            <w:vAlign w:val="center"/>
          </w:tcPr>
          <w:p w:rsidR="009F14CE" w:rsidRPr="007B4B7B" w:rsidRDefault="009F14CE" w:rsidP="00836A60">
            <w:pPr>
              <w:pStyle w:val="Tabletext"/>
              <w:jc w:val="center"/>
              <w:rPr>
                <w:lang w:val="en-US" w:eastAsia="ja-JP"/>
              </w:rPr>
            </w:pPr>
            <w:r w:rsidRPr="007B4B7B">
              <w:rPr>
                <w:lang w:val="en-US" w:eastAsia="ja-JP"/>
              </w:rPr>
              <w:t>592</w:t>
            </w:r>
          </w:p>
        </w:tc>
      </w:tr>
      <w:tr w:rsidR="009F14CE" w:rsidRPr="007B4B7B" w:rsidTr="009142B6">
        <w:trPr>
          <w:cantSplit/>
          <w:jc w:val="center"/>
        </w:trPr>
        <w:tc>
          <w:tcPr>
            <w:tcW w:w="1843" w:type="dxa"/>
          </w:tcPr>
          <w:p w:rsidR="009F14CE" w:rsidRPr="007B4B7B" w:rsidRDefault="009F14CE" w:rsidP="00836A60">
            <w:pPr>
              <w:pStyle w:val="Tabletext"/>
              <w:rPr>
                <w:lang w:val="en-US" w:eastAsia="ja-JP"/>
              </w:rPr>
            </w:pPr>
            <w:r w:rsidRPr="007B4B7B">
              <w:rPr>
                <w:lang w:val="en-US" w:eastAsia="ja-JP"/>
              </w:rPr>
              <w:lastRenderedPageBreak/>
              <w:t xml:space="preserve">Yamagata </w:t>
            </w:r>
            <w:proofErr w:type="spellStart"/>
            <w:r w:rsidRPr="007B4B7B">
              <w:rPr>
                <w:lang w:val="en-US" w:eastAsia="ja-JP"/>
              </w:rPr>
              <w:t>line</w:t>
            </w:r>
            <w:r w:rsidRPr="007B4B7B">
              <w:rPr>
                <w:vertAlign w:val="superscript"/>
                <w:lang w:val="en-US" w:eastAsia="ja-JP"/>
              </w:rPr>
              <w:t>1</w:t>
            </w:r>
            <w:proofErr w:type="spellEnd"/>
          </w:p>
        </w:tc>
        <w:tc>
          <w:tcPr>
            <w:tcW w:w="2409" w:type="dxa"/>
          </w:tcPr>
          <w:p w:rsidR="009F14CE" w:rsidRPr="007B4B7B" w:rsidRDefault="009F14CE" w:rsidP="007B4B7B">
            <w:pPr>
              <w:pStyle w:val="Tabletext"/>
              <w:rPr>
                <w:lang w:val="en-US" w:eastAsia="ja-JP"/>
              </w:rPr>
            </w:pPr>
            <w:r w:rsidRPr="007B4B7B">
              <w:rPr>
                <w:lang w:val="en-US" w:eastAsia="ja-JP"/>
              </w:rPr>
              <w:t xml:space="preserve">Fukushima </w:t>
            </w:r>
            <w:r w:rsidR="007B4B7B">
              <w:rPr>
                <w:lang w:val="en-US" w:eastAsia="ja-JP"/>
              </w:rPr>
              <w:t>–</w:t>
            </w:r>
            <w:r w:rsidRPr="007B4B7B">
              <w:rPr>
                <w:lang w:val="en-US" w:eastAsia="ja-JP"/>
              </w:rPr>
              <w:t xml:space="preserve"> </w:t>
            </w:r>
            <w:proofErr w:type="spellStart"/>
            <w:r w:rsidRPr="007B4B7B">
              <w:rPr>
                <w:lang w:val="en-US" w:eastAsia="ja-JP"/>
              </w:rPr>
              <w:t>Shinjo</w:t>
            </w:r>
            <w:proofErr w:type="spellEnd"/>
          </w:p>
        </w:tc>
        <w:tc>
          <w:tcPr>
            <w:tcW w:w="1418" w:type="dxa"/>
            <w:vAlign w:val="center"/>
          </w:tcPr>
          <w:p w:rsidR="009F14CE" w:rsidRPr="007B4B7B" w:rsidRDefault="009F14CE" w:rsidP="00836A60">
            <w:pPr>
              <w:pStyle w:val="Tabletext"/>
              <w:jc w:val="center"/>
              <w:rPr>
                <w:lang w:val="en-US" w:eastAsia="ja-JP"/>
              </w:rPr>
            </w:pPr>
            <w:r w:rsidRPr="007B4B7B">
              <w:rPr>
                <w:lang w:val="en-US" w:eastAsia="ja-JP"/>
              </w:rPr>
              <w:t>148.6 km</w:t>
            </w:r>
          </w:p>
        </w:tc>
        <w:tc>
          <w:tcPr>
            <w:tcW w:w="1559" w:type="dxa"/>
            <w:vAlign w:val="center"/>
          </w:tcPr>
          <w:p w:rsidR="009F14CE" w:rsidRPr="007B4B7B" w:rsidRDefault="009F14CE" w:rsidP="00836A60">
            <w:pPr>
              <w:pStyle w:val="Tabletext"/>
              <w:jc w:val="center"/>
              <w:rPr>
                <w:lang w:val="en-US" w:eastAsia="ja-JP"/>
              </w:rPr>
            </w:pPr>
            <w:r w:rsidRPr="007B4B7B">
              <w:rPr>
                <w:lang w:val="en-US" w:eastAsia="ja-JP"/>
              </w:rPr>
              <w:t>130 km/hour</w:t>
            </w:r>
          </w:p>
        </w:tc>
        <w:tc>
          <w:tcPr>
            <w:tcW w:w="1985" w:type="dxa"/>
            <w:vAlign w:val="center"/>
          </w:tcPr>
          <w:p w:rsidR="009F14CE" w:rsidRPr="007B4B7B" w:rsidRDefault="009F14CE" w:rsidP="00836A60">
            <w:pPr>
              <w:pStyle w:val="Tabletext"/>
              <w:jc w:val="center"/>
              <w:rPr>
                <w:lang w:val="en-US" w:eastAsia="ja-JP"/>
              </w:rPr>
            </w:pPr>
            <w:r w:rsidRPr="007B4B7B">
              <w:rPr>
                <w:lang w:val="en-US" w:eastAsia="ja-JP"/>
              </w:rPr>
              <w:t>592</w:t>
            </w:r>
          </w:p>
        </w:tc>
      </w:tr>
      <w:tr w:rsidR="009F14CE" w:rsidRPr="007B4B7B" w:rsidTr="009142B6">
        <w:trPr>
          <w:cantSplit/>
          <w:jc w:val="center"/>
        </w:trPr>
        <w:tc>
          <w:tcPr>
            <w:tcW w:w="1843" w:type="dxa"/>
          </w:tcPr>
          <w:p w:rsidR="009F14CE" w:rsidRPr="007B4B7B" w:rsidRDefault="009F14CE" w:rsidP="00836A60">
            <w:pPr>
              <w:pStyle w:val="Tabletext"/>
              <w:rPr>
                <w:lang w:val="en-US" w:eastAsia="ja-JP"/>
              </w:rPr>
            </w:pPr>
            <w:r w:rsidRPr="007B4B7B">
              <w:rPr>
                <w:lang w:val="en-US" w:eastAsia="ja-JP"/>
              </w:rPr>
              <w:t xml:space="preserve">Akita </w:t>
            </w:r>
            <w:proofErr w:type="spellStart"/>
            <w:r w:rsidRPr="007B4B7B">
              <w:rPr>
                <w:lang w:val="en-US" w:eastAsia="ja-JP"/>
              </w:rPr>
              <w:t>line</w:t>
            </w:r>
            <w:r w:rsidRPr="007B4B7B">
              <w:rPr>
                <w:vertAlign w:val="superscript"/>
                <w:lang w:val="en-US" w:eastAsia="ja-JP"/>
              </w:rPr>
              <w:t>1</w:t>
            </w:r>
            <w:proofErr w:type="spellEnd"/>
          </w:p>
        </w:tc>
        <w:tc>
          <w:tcPr>
            <w:tcW w:w="2409" w:type="dxa"/>
          </w:tcPr>
          <w:p w:rsidR="009F14CE" w:rsidRPr="007B4B7B" w:rsidRDefault="009F14CE" w:rsidP="00836A60">
            <w:pPr>
              <w:pStyle w:val="Tabletext"/>
              <w:rPr>
                <w:lang w:val="en-US" w:eastAsia="ja-JP"/>
              </w:rPr>
            </w:pPr>
            <w:r w:rsidRPr="007B4B7B">
              <w:rPr>
                <w:lang w:val="en-US" w:eastAsia="ja-JP"/>
              </w:rPr>
              <w:t>Morioka – Akita</w:t>
            </w:r>
          </w:p>
        </w:tc>
        <w:tc>
          <w:tcPr>
            <w:tcW w:w="1418" w:type="dxa"/>
            <w:vAlign w:val="center"/>
          </w:tcPr>
          <w:p w:rsidR="009F14CE" w:rsidRPr="007B4B7B" w:rsidRDefault="009F14CE" w:rsidP="00836A60">
            <w:pPr>
              <w:pStyle w:val="Tabletext"/>
              <w:jc w:val="center"/>
              <w:rPr>
                <w:lang w:val="en-US" w:eastAsia="ja-JP"/>
              </w:rPr>
            </w:pPr>
            <w:r w:rsidRPr="007B4B7B">
              <w:rPr>
                <w:lang w:val="en-US" w:eastAsia="ja-JP"/>
              </w:rPr>
              <w:t>127.3 km</w:t>
            </w:r>
          </w:p>
        </w:tc>
        <w:tc>
          <w:tcPr>
            <w:tcW w:w="1559" w:type="dxa"/>
            <w:vAlign w:val="center"/>
          </w:tcPr>
          <w:p w:rsidR="009F14CE" w:rsidRPr="007B4B7B" w:rsidRDefault="009F14CE" w:rsidP="00836A60">
            <w:pPr>
              <w:pStyle w:val="Tabletext"/>
              <w:jc w:val="center"/>
              <w:rPr>
                <w:lang w:val="en-US" w:eastAsia="ja-JP"/>
              </w:rPr>
            </w:pPr>
            <w:r w:rsidRPr="007B4B7B">
              <w:rPr>
                <w:lang w:val="en-US" w:eastAsia="ja-JP"/>
              </w:rPr>
              <w:t>130 km/hour</w:t>
            </w:r>
          </w:p>
        </w:tc>
        <w:tc>
          <w:tcPr>
            <w:tcW w:w="1985" w:type="dxa"/>
            <w:vAlign w:val="center"/>
          </w:tcPr>
          <w:p w:rsidR="009F14CE" w:rsidRPr="007B4B7B" w:rsidRDefault="009F14CE" w:rsidP="00836A60">
            <w:pPr>
              <w:pStyle w:val="Tabletext"/>
              <w:jc w:val="center"/>
              <w:rPr>
                <w:lang w:val="en-US" w:eastAsia="ja-JP"/>
              </w:rPr>
            </w:pPr>
            <w:r w:rsidRPr="007B4B7B">
              <w:rPr>
                <w:lang w:val="en-US" w:eastAsia="ja-JP"/>
              </w:rPr>
              <w:t>508</w:t>
            </w:r>
          </w:p>
        </w:tc>
      </w:tr>
      <w:tr w:rsidR="009F14CE" w:rsidRPr="007B4B7B" w:rsidTr="009142B6">
        <w:trPr>
          <w:cantSplit/>
          <w:jc w:val="center"/>
        </w:trPr>
        <w:tc>
          <w:tcPr>
            <w:tcW w:w="1843" w:type="dxa"/>
          </w:tcPr>
          <w:p w:rsidR="009F14CE" w:rsidRPr="007B4B7B" w:rsidRDefault="009F14CE" w:rsidP="00836A60">
            <w:pPr>
              <w:pStyle w:val="Tabletext"/>
              <w:rPr>
                <w:lang w:val="en-US" w:eastAsia="ja-JP"/>
              </w:rPr>
            </w:pPr>
            <w:proofErr w:type="spellStart"/>
            <w:r w:rsidRPr="007B4B7B">
              <w:rPr>
                <w:lang w:val="en-US" w:eastAsia="ja-JP"/>
              </w:rPr>
              <w:t>Jouetsu</w:t>
            </w:r>
            <w:proofErr w:type="spellEnd"/>
            <w:r w:rsidRPr="007B4B7B">
              <w:rPr>
                <w:lang w:val="en-US" w:eastAsia="ja-JP"/>
              </w:rPr>
              <w:t xml:space="preserve"> line</w:t>
            </w:r>
          </w:p>
        </w:tc>
        <w:tc>
          <w:tcPr>
            <w:tcW w:w="2409" w:type="dxa"/>
          </w:tcPr>
          <w:p w:rsidR="009F14CE" w:rsidRPr="007B4B7B" w:rsidRDefault="009F14CE" w:rsidP="00836A60">
            <w:pPr>
              <w:pStyle w:val="Tabletext"/>
              <w:rPr>
                <w:lang w:val="en-US" w:eastAsia="ja-JP"/>
              </w:rPr>
            </w:pPr>
            <w:r w:rsidRPr="007B4B7B">
              <w:rPr>
                <w:lang w:val="en-US" w:eastAsia="ja-JP"/>
              </w:rPr>
              <w:t>Tokyo – Niigata</w:t>
            </w:r>
          </w:p>
        </w:tc>
        <w:tc>
          <w:tcPr>
            <w:tcW w:w="1418" w:type="dxa"/>
            <w:vAlign w:val="center"/>
          </w:tcPr>
          <w:p w:rsidR="009F14CE" w:rsidRPr="007B4B7B" w:rsidRDefault="009F14CE" w:rsidP="00836A60">
            <w:pPr>
              <w:pStyle w:val="Tabletext"/>
              <w:jc w:val="center"/>
              <w:rPr>
                <w:lang w:val="en-US" w:eastAsia="ja-JP"/>
              </w:rPr>
            </w:pPr>
            <w:r w:rsidRPr="007B4B7B">
              <w:rPr>
                <w:lang w:val="en-US" w:eastAsia="ja-JP"/>
              </w:rPr>
              <w:t>333.9 km</w:t>
            </w:r>
          </w:p>
        </w:tc>
        <w:tc>
          <w:tcPr>
            <w:tcW w:w="1559" w:type="dxa"/>
            <w:vAlign w:val="center"/>
          </w:tcPr>
          <w:p w:rsidR="009F14CE" w:rsidRPr="007B4B7B" w:rsidRDefault="009F14CE" w:rsidP="00836A60">
            <w:pPr>
              <w:pStyle w:val="Tabletext"/>
              <w:jc w:val="center"/>
              <w:rPr>
                <w:lang w:val="en-US" w:eastAsia="ja-JP"/>
              </w:rPr>
            </w:pPr>
            <w:r w:rsidRPr="007B4B7B">
              <w:rPr>
                <w:lang w:val="en-US" w:eastAsia="ja-JP"/>
              </w:rPr>
              <w:t>240 km/hour</w:t>
            </w:r>
          </w:p>
        </w:tc>
        <w:tc>
          <w:tcPr>
            <w:tcW w:w="1985" w:type="dxa"/>
            <w:vAlign w:val="center"/>
          </w:tcPr>
          <w:p w:rsidR="009F14CE" w:rsidRPr="007B4B7B" w:rsidRDefault="009F14CE" w:rsidP="007B4B7B">
            <w:pPr>
              <w:pStyle w:val="Tabletext"/>
              <w:jc w:val="center"/>
              <w:rPr>
                <w:lang w:val="en-US" w:eastAsia="ja-JP"/>
              </w:rPr>
            </w:pPr>
            <w:r w:rsidRPr="007B4B7B">
              <w:rPr>
                <w:lang w:val="en-US" w:eastAsia="ja-JP"/>
              </w:rPr>
              <w:t>1</w:t>
            </w:r>
            <w:r w:rsidR="007B4B7B">
              <w:rPr>
                <w:lang w:val="en-US" w:eastAsia="ja-JP"/>
              </w:rPr>
              <w:t> </w:t>
            </w:r>
            <w:r w:rsidRPr="007B4B7B">
              <w:rPr>
                <w:lang w:val="en-US" w:eastAsia="ja-JP"/>
              </w:rPr>
              <w:t>332</w:t>
            </w:r>
          </w:p>
        </w:tc>
      </w:tr>
      <w:tr w:rsidR="009F14CE" w:rsidRPr="007B4B7B" w:rsidTr="009142B6">
        <w:trPr>
          <w:cantSplit/>
          <w:jc w:val="center"/>
        </w:trPr>
        <w:tc>
          <w:tcPr>
            <w:tcW w:w="1843" w:type="dxa"/>
          </w:tcPr>
          <w:p w:rsidR="009F14CE" w:rsidRPr="007B4B7B" w:rsidRDefault="009F14CE" w:rsidP="00836A60">
            <w:pPr>
              <w:pStyle w:val="Tabletext"/>
              <w:rPr>
                <w:lang w:val="en-US" w:eastAsia="ja-JP"/>
              </w:rPr>
            </w:pPr>
            <w:r w:rsidRPr="007B4B7B">
              <w:rPr>
                <w:lang w:val="en-US" w:eastAsia="ja-JP"/>
              </w:rPr>
              <w:t>Hokuriku line</w:t>
            </w:r>
          </w:p>
        </w:tc>
        <w:tc>
          <w:tcPr>
            <w:tcW w:w="2409" w:type="dxa"/>
          </w:tcPr>
          <w:p w:rsidR="009F14CE" w:rsidRPr="007B4B7B" w:rsidRDefault="009F14CE" w:rsidP="00836A60">
            <w:pPr>
              <w:pStyle w:val="Tabletext"/>
              <w:rPr>
                <w:lang w:val="en-US" w:eastAsia="ja-JP"/>
              </w:rPr>
            </w:pPr>
            <w:r w:rsidRPr="007B4B7B">
              <w:rPr>
                <w:lang w:val="en-US" w:eastAsia="ja-JP"/>
              </w:rPr>
              <w:t>Tokyo – Kanazawa</w:t>
            </w:r>
          </w:p>
        </w:tc>
        <w:tc>
          <w:tcPr>
            <w:tcW w:w="1418" w:type="dxa"/>
            <w:vAlign w:val="center"/>
          </w:tcPr>
          <w:p w:rsidR="009F14CE" w:rsidRPr="007B4B7B" w:rsidRDefault="009F14CE" w:rsidP="00836A60">
            <w:pPr>
              <w:pStyle w:val="Tabletext"/>
              <w:jc w:val="center"/>
              <w:rPr>
                <w:lang w:val="en-US" w:eastAsia="ja-JP"/>
              </w:rPr>
            </w:pPr>
            <w:r w:rsidRPr="007B4B7B">
              <w:rPr>
                <w:lang w:val="en-US" w:eastAsia="ja-JP"/>
              </w:rPr>
              <w:t>450.5 km</w:t>
            </w:r>
          </w:p>
        </w:tc>
        <w:tc>
          <w:tcPr>
            <w:tcW w:w="1559" w:type="dxa"/>
            <w:vAlign w:val="center"/>
          </w:tcPr>
          <w:p w:rsidR="009F14CE" w:rsidRPr="007B4B7B" w:rsidRDefault="009F14CE" w:rsidP="00836A60">
            <w:pPr>
              <w:pStyle w:val="Tabletext"/>
              <w:jc w:val="center"/>
              <w:rPr>
                <w:lang w:val="en-US" w:eastAsia="ja-JP"/>
              </w:rPr>
            </w:pPr>
            <w:r w:rsidRPr="007B4B7B">
              <w:rPr>
                <w:lang w:val="en-US" w:eastAsia="ja-JP"/>
              </w:rPr>
              <w:t>260 km/hour</w:t>
            </w:r>
          </w:p>
        </w:tc>
        <w:tc>
          <w:tcPr>
            <w:tcW w:w="1985" w:type="dxa"/>
            <w:vAlign w:val="center"/>
          </w:tcPr>
          <w:p w:rsidR="009F14CE" w:rsidRPr="007B4B7B" w:rsidRDefault="009F14CE" w:rsidP="007B4B7B">
            <w:pPr>
              <w:pStyle w:val="Tabletext"/>
              <w:jc w:val="center"/>
              <w:rPr>
                <w:lang w:val="en-US" w:eastAsia="ja-JP"/>
              </w:rPr>
            </w:pPr>
            <w:r w:rsidRPr="007B4B7B">
              <w:rPr>
                <w:lang w:val="en-US" w:eastAsia="ja-JP"/>
              </w:rPr>
              <w:t>1</w:t>
            </w:r>
            <w:r w:rsidR="007B4B7B">
              <w:rPr>
                <w:lang w:val="en-US" w:eastAsia="ja-JP"/>
              </w:rPr>
              <w:t> </w:t>
            </w:r>
            <w:r w:rsidRPr="007B4B7B">
              <w:rPr>
                <w:lang w:val="en-US" w:eastAsia="ja-JP"/>
              </w:rPr>
              <w:t>800</w:t>
            </w:r>
          </w:p>
        </w:tc>
      </w:tr>
      <w:tr w:rsidR="009F14CE" w:rsidRPr="007B4B7B" w:rsidTr="007B4B7B">
        <w:trPr>
          <w:cantSplit/>
          <w:jc w:val="center"/>
        </w:trPr>
        <w:tc>
          <w:tcPr>
            <w:tcW w:w="1843" w:type="dxa"/>
            <w:tcBorders>
              <w:bottom w:val="single" w:sz="4" w:space="0" w:color="auto"/>
            </w:tcBorders>
          </w:tcPr>
          <w:p w:rsidR="009F14CE" w:rsidRPr="007B4B7B" w:rsidRDefault="009F14CE" w:rsidP="00836A60">
            <w:pPr>
              <w:pStyle w:val="Tabletext"/>
              <w:rPr>
                <w:lang w:val="en-US" w:eastAsia="ja-JP"/>
              </w:rPr>
            </w:pPr>
            <w:r w:rsidRPr="007B4B7B">
              <w:rPr>
                <w:lang w:val="en-US" w:eastAsia="ja-JP"/>
              </w:rPr>
              <w:t>Kyushu line</w:t>
            </w:r>
          </w:p>
        </w:tc>
        <w:tc>
          <w:tcPr>
            <w:tcW w:w="2409" w:type="dxa"/>
            <w:tcBorders>
              <w:bottom w:val="single" w:sz="4" w:space="0" w:color="auto"/>
            </w:tcBorders>
          </w:tcPr>
          <w:p w:rsidR="009F14CE" w:rsidRPr="007B4B7B" w:rsidRDefault="009F14CE" w:rsidP="007B4B7B">
            <w:pPr>
              <w:pStyle w:val="Tabletext"/>
              <w:rPr>
                <w:lang w:val="en-US" w:eastAsia="ja-JP"/>
              </w:rPr>
            </w:pPr>
            <w:r w:rsidRPr="007B4B7B">
              <w:rPr>
                <w:lang w:val="en-US" w:eastAsia="ja-JP"/>
              </w:rPr>
              <w:t xml:space="preserve">Hakata </w:t>
            </w:r>
            <w:r w:rsidR="007B4B7B">
              <w:rPr>
                <w:lang w:val="en-US" w:eastAsia="ja-JP"/>
              </w:rPr>
              <w:t>–</w:t>
            </w:r>
            <w:r w:rsidRPr="007B4B7B">
              <w:rPr>
                <w:lang w:val="en-US" w:eastAsia="ja-JP"/>
              </w:rPr>
              <w:t xml:space="preserve"> </w:t>
            </w:r>
            <w:proofErr w:type="spellStart"/>
            <w:r w:rsidRPr="007B4B7B">
              <w:rPr>
                <w:lang w:val="en-US" w:eastAsia="ja-JP"/>
              </w:rPr>
              <w:t>Kagoshimachuou</w:t>
            </w:r>
            <w:proofErr w:type="spellEnd"/>
          </w:p>
        </w:tc>
        <w:tc>
          <w:tcPr>
            <w:tcW w:w="1418" w:type="dxa"/>
            <w:tcBorders>
              <w:bottom w:val="single" w:sz="4" w:space="0" w:color="auto"/>
            </w:tcBorders>
            <w:vAlign w:val="center"/>
          </w:tcPr>
          <w:p w:rsidR="009F14CE" w:rsidRPr="007B4B7B" w:rsidRDefault="009F14CE" w:rsidP="00836A60">
            <w:pPr>
              <w:pStyle w:val="Tabletext"/>
              <w:jc w:val="center"/>
              <w:rPr>
                <w:lang w:val="en-US" w:eastAsia="ja-JP"/>
              </w:rPr>
            </w:pPr>
            <w:r w:rsidRPr="007B4B7B">
              <w:rPr>
                <w:lang w:val="en-US" w:eastAsia="ja-JP"/>
              </w:rPr>
              <w:t>288.9 km</w:t>
            </w:r>
          </w:p>
        </w:tc>
        <w:tc>
          <w:tcPr>
            <w:tcW w:w="1559" w:type="dxa"/>
            <w:tcBorders>
              <w:bottom w:val="single" w:sz="4" w:space="0" w:color="auto"/>
            </w:tcBorders>
            <w:vAlign w:val="center"/>
          </w:tcPr>
          <w:p w:rsidR="009F14CE" w:rsidRPr="007B4B7B" w:rsidRDefault="009F14CE" w:rsidP="00836A60">
            <w:pPr>
              <w:pStyle w:val="Tabletext"/>
              <w:jc w:val="center"/>
              <w:rPr>
                <w:lang w:val="en-US" w:eastAsia="ja-JP"/>
              </w:rPr>
            </w:pPr>
            <w:r w:rsidRPr="007B4B7B">
              <w:rPr>
                <w:lang w:val="en-US" w:eastAsia="ja-JP"/>
              </w:rPr>
              <w:t>260 km/hour</w:t>
            </w:r>
          </w:p>
        </w:tc>
        <w:tc>
          <w:tcPr>
            <w:tcW w:w="1985" w:type="dxa"/>
            <w:tcBorders>
              <w:bottom w:val="single" w:sz="4" w:space="0" w:color="auto"/>
            </w:tcBorders>
            <w:vAlign w:val="center"/>
          </w:tcPr>
          <w:p w:rsidR="009F14CE" w:rsidRPr="007B4B7B" w:rsidRDefault="009F14CE" w:rsidP="007B4B7B">
            <w:pPr>
              <w:pStyle w:val="Tabletext"/>
              <w:jc w:val="center"/>
              <w:rPr>
                <w:lang w:val="en-US" w:eastAsia="ja-JP"/>
              </w:rPr>
            </w:pPr>
            <w:r w:rsidRPr="007B4B7B">
              <w:rPr>
                <w:lang w:val="en-US" w:eastAsia="ja-JP"/>
              </w:rPr>
              <w:t>1</w:t>
            </w:r>
            <w:r w:rsidR="007B4B7B">
              <w:rPr>
                <w:lang w:val="en-US" w:eastAsia="ja-JP"/>
              </w:rPr>
              <w:t> </w:t>
            </w:r>
            <w:r w:rsidRPr="007B4B7B">
              <w:rPr>
                <w:lang w:val="en-US" w:eastAsia="ja-JP"/>
              </w:rPr>
              <w:t>152</w:t>
            </w:r>
          </w:p>
        </w:tc>
      </w:tr>
      <w:tr w:rsidR="009F14CE" w:rsidRPr="007B4B7B" w:rsidTr="007B4B7B">
        <w:trPr>
          <w:cantSplit/>
          <w:jc w:val="center"/>
        </w:trPr>
        <w:tc>
          <w:tcPr>
            <w:tcW w:w="9214" w:type="dxa"/>
            <w:gridSpan w:val="5"/>
            <w:tcBorders>
              <w:top w:val="single" w:sz="4" w:space="0" w:color="auto"/>
              <w:left w:val="nil"/>
              <w:bottom w:val="nil"/>
              <w:right w:val="nil"/>
            </w:tcBorders>
          </w:tcPr>
          <w:p w:rsidR="009F14CE" w:rsidRPr="007B4B7B" w:rsidRDefault="009F14CE" w:rsidP="00836A60">
            <w:pPr>
              <w:pStyle w:val="Tablelegend"/>
              <w:rPr>
                <w:lang w:val="en-US" w:eastAsia="ja-JP"/>
              </w:rPr>
            </w:pPr>
            <w:r w:rsidRPr="007B4B7B">
              <w:rPr>
                <w:vertAlign w:val="superscript"/>
                <w:lang w:val="en-US" w:eastAsia="ja-JP"/>
              </w:rPr>
              <w:t>1</w:t>
            </w:r>
            <w:r w:rsidRPr="007B4B7B">
              <w:rPr>
                <w:lang w:val="en-US" w:eastAsia="ja-JP"/>
              </w:rPr>
              <w:t xml:space="preserve"> Yamagata and Akita lines are not included in super express service line, but the same train vehicles are operated in those lines.</w:t>
            </w:r>
          </w:p>
        </w:tc>
      </w:tr>
    </w:tbl>
    <w:p w:rsidR="009F14CE" w:rsidRPr="007B4B7B" w:rsidRDefault="009F14CE" w:rsidP="009142B6">
      <w:pPr>
        <w:pStyle w:val="Tablefin"/>
        <w:rPr>
          <w:lang w:val="en-US"/>
        </w:rPr>
      </w:pPr>
    </w:p>
    <w:p w:rsidR="009F14CE" w:rsidRPr="007B4B7B" w:rsidRDefault="009F14CE" w:rsidP="00836A60">
      <w:pPr>
        <w:pStyle w:val="Heading2"/>
        <w:rPr>
          <w:lang w:val="en-US" w:eastAsia="ja-JP"/>
        </w:rPr>
      </w:pPr>
      <w:r w:rsidRPr="007B4B7B">
        <w:rPr>
          <w:lang w:val="en-US" w:eastAsia="ja-JP"/>
        </w:rPr>
        <w:t>6.3</w:t>
      </w:r>
      <w:r w:rsidRPr="007B4B7B">
        <w:rPr>
          <w:lang w:val="en-US" w:eastAsia="ja-JP"/>
        </w:rPr>
        <w:tab/>
        <w:t>Activity factor of trackside radio access unit</w:t>
      </w:r>
    </w:p>
    <w:p w:rsidR="009F14CE" w:rsidRPr="007B4B7B" w:rsidRDefault="009F14CE">
      <w:pPr>
        <w:rPr>
          <w:i/>
          <w:lang w:val="en-US" w:eastAsia="ja-JP"/>
        </w:rPr>
      </w:pPr>
      <w:r w:rsidRPr="007B4B7B">
        <w:rPr>
          <w:i/>
          <w:lang w:val="en-US" w:eastAsia="ja-JP"/>
        </w:rPr>
        <w:t>[Japan’s note: This section will be further developed at the next meeting.]</w:t>
      </w:r>
    </w:p>
    <w:p w:rsidR="009F14CE" w:rsidRPr="007B4B7B" w:rsidRDefault="009F14CE" w:rsidP="00836A60">
      <w:pPr>
        <w:pStyle w:val="Heading2"/>
        <w:rPr>
          <w:lang w:val="en-US" w:eastAsia="ja-JP"/>
        </w:rPr>
      </w:pPr>
      <w:r w:rsidRPr="007B4B7B">
        <w:rPr>
          <w:lang w:val="en-US" w:eastAsia="ja-JP"/>
        </w:rPr>
        <w:t>6.4</w:t>
      </w:r>
      <w:r w:rsidRPr="007B4B7B">
        <w:rPr>
          <w:lang w:val="en-US" w:eastAsia="ja-JP"/>
        </w:rPr>
        <w:tab/>
        <w:t>Antenna elevation of on-board transceivers</w:t>
      </w:r>
    </w:p>
    <w:p w:rsidR="009F14CE" w:rsidRPr="007B4B7B" w:rsidRDefault="009F14CE" w:rsidP="009142B6">
      <w:pPr>
        <w:rPr>
          <w:i/>
          <w:lang w:val="en-US" w:eastAsia="ja-JP"/>
        </w:rPr>
      </w:pPr>
      <w:r w:rsidRPr="007B4B7B">
        <w:rPr>
          <w:i/>
          <w:lang w:val="en-US" w:eastAsia="ja-JP"/>
        </w:rPr>
        <w:t>[Japan’s note: This section will be further developed at the next meeting.]</w:t>
      </w:r>
    </w:p>
    <w:p w:rsidR="009F14CE" w:rsidRPr="007B4B7B" w:rsidRDefault="009F14CE">
      <w:pPr>
        <w:pStyle w:val="TableNo"/>
        <w:rPr>
          <w:rFonts w:eastAsiaTheme="minorEastAsia"/>
          <w:lang w:val="en-US" w:eastAsia="zh-CN"/>
        </w:rPr>
      </w:pPr>
      <w:r w:rsidRPr="007B4B7B">
        <w:rPr>
          <w:lang w:val="en-US" w:eastAsia="ja-JP"/>
        </w:rPr>
        <w:t xml:space="preserve">Table </w:t>
      </w:r>
      <w:proofErr w:type="spellStart"/>
      <w:r w:rsidRPr="007B4B7B">
        <w:rPr>
          <w:lang w:val="en-US" w:eastAsia="ja-JP"/>
        </w:rPr>
        <w:t>A4.1.3</w:t>
      </w:r>
      <w:proofErr w:type="spellEnd"/>
      <w:r w:rsidRPr="007B4B7B">
        <w:rPr>
          <w:lang w:val="en-US" w:eastAsia="ja-JP"/>
        </w:rPr>
        <w:t>-2</w:t>
      </w:r>
    </w:p>
    <w:p w:rsidR="009F14CE" w:rsidRPr="007B4B7B" w:rsidRDefault="009F14CE">
      <w:pPr>
        <w:pStyle w:val="Tabletitle"/>
        <w:rPr>
          <w:rFonts w:ascii="Times New Roman" w:hAnsi="Times New Roman"/>
          <w:lang w:val="en-US" w:eastAsia="ja-JP"/>
        </w:rPr>
      </w:pPr>
      <w:r w:rsidRPr="007B4B7B">
        <w:rPr>
          <w:rFonts w:ascii="Times New Roman" w:hAnsi="Times New Roman"/>
          <w:lang w:val="en-US" w:eastAsia="ja-JP"/>
        </w:rPr>
        <w:t>Operational environment of super express service 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4757"/>
      </w:tblGrid>
      <w:tr w:rsidR="009F14CE" w:rsidRPr="007B4B7B" w:rsidTr="00D07FF2">
        <w:trPr>
          <w:jc w:val="center"/>
        </w:trPr>
        <w:tc>
          <w:tcPr>
            <w:tcW w:w="3140" w:type="dxa"/>
            <w:vAlign w:val="center"/>
          </w:tcPr>
          <w:p w:rsidR="009F14CE" w:rsidRPr="007B4B7B" w:rsidRDefault="009F14CE">
            <w:pPr>
              <w:pStyle w:val="Tablehead"/>
              <w:spacing w:before="40" w:after="40"/>
              <w:rPr>
                <w:rFonts w:ascii="Times New Roman" w:hAnsi="Times New Roman"/>
                <w:lang w:val="en-US" w:eastAsia="ja-JP"/>
              </w:rPr>
            </w:pPr>
            <w:r w:rsidRPr="007B4B7B">
              <w:rPr>
                <w:rFonts w:ascii="Times New Roman" w:hAnsi="Times New Roman" w:cs="Times New Roman"/>
                <w:lang w:val="en-US" w:eastAsia="ja-JP"/>
              </w:rPr>
              <w:t>Parameters</w:t>
            </w:r>
          </w:p>
        </w:tc>
        <w:tc>
          <w:tcPr>
            <w:tcW w:w="4757" w:type="dxa"/>
            <w:vAlign w:val="center"/>
          </w:tcPr>
          <w:p w:rsidR="009F14CE" w:rsidRPr="007B4B7B" w:rsidRDefault="009F14CE">
            <w:pPr>
              <w:pStyle w:val="Tablehead"/>
              <w:spacing w:before="40" w:after="40"/>
              <w:rPr>
                <w:rFonts w:ascii="Times New Roman" w:hAnsi="Times New Roman"/>
                <w:lang w:val="en-US" w:eastAsia="ja-JP"/>
              </w:rPr>
            </w:pPr>
            <w:r w:rsidRPr="007B4B7B">
              <w:rPr>
                <w:rFonts w:ascii="Times New Roman" w:hAnsi="Times New Roman" w:cs="Times New Roman"/>
                <w:lang w:val="en-US" w:eastAsia="ja-JP"/>
              </w:rPr>
              <w:t>Values</w:t>
            </w:r>
          </w:p>
        </w:tc>
      </w:tr>
      <w:tr w:rsidR="009F14CE" w:rsidRPr="007B4B7B" w:rsidTr="00D07FF2">
        <w:trPr>
          <w:jc w:val="center"/>
        </w:trPr>
        <w:tc>
          <w:tcPr>
            <w:tcW w:w="3140" w:type="dxa"/>
            <w:vAlign w:val="center"/>
          </w:tcPr>
          <w:p w:rsidR="009F14CE" w:rsidRPr="007B4B7B" w:rsidRDefault="009F14CE">
            <w:pPr>
              <w:pStyle w:val="Tabletext"/>
              <w:rPr>
                <w:sz w:val="22"/>
                <w:szCs w:val="22"/>
                <w:lang w:val="en-US" w:eastAsia="ja-JP"/>
              </w:rPr>
            </w:pPr>
            <w:r w:rsidRPr="007B4B7B">
              <w:rPr>
                <w:lang w:val="en-US" w:eastAsia="ja-JP"/>
              </w:rPr>
              <w:t>Roadbed width</w:t>
            </w:r>
          </w:p>
        </w:tc>
        <w:tc>
          <w:tcPr>
            <w:tcW w:w="4757" w:type="dxa"/>
            <w:vAlign w:val="center"/>
          </w:tcPr>
          <w:p w:rsidR="009F14CE" w:rsidRPr="007B4B7B" w:rsidRDefault="009F14CE">
            <w:pPr>
              <w:pStyle w:val="Tabletext"/>
              <w:rPr>
                <w:sz w:val="22"/>
                <w:szCs w:val="22"/>
                <w:lang w:val="en-US" w:eastAsia="ja-JP"/>
              </w:rPr>
            </w:pPr>
            <w:r w:rsidRPr="007B4B7B">
              <w:rPr>
                <w:lang w:val="en-US" w:eastAsia="ja-JP"/>
              </w:rPr>
              <w:t>Typ. 12 m</w:t>
            </w:r>
          </w:p>
        </w:tc>
      </w:tr>
      <w:tr w:rsidR="009F14CE" w:rsidRPr="007B4B7B" w:rsidTr="00D07FF2">
        <w:trPr>
          <w:jc w:val="center"/>
        </w:trPr>
        <w:tc>
          <w:tcPr>
            <w:tcW w:w="3140" w:type="dxa"/>
            <w:vAlign w:val="center"/>
          </w:tcPr>
          <w:p w:rsidR="009F14CE" w:rsidRPr="007B4B7B" w:rsidRDefault="009F14CE">
            <w:pPr>
              <w:pStyle w:val="Tabletext"/>
              <w:rPr>
                <w:sz w:val="22"/>
                <w:szCs w:val="22"/>
                <w:lang w:val="en-US" w:eastAsia="ja-JP"/>
              </w:rPr>
            </w:pPr>
            <w:r w:rsidRPr="007B4B7B">
              <w:rPr>
                <w:lang w:val="en-US" w:eastAsia="ja-JP"/>
              </w:rPr>
              <w:t>Vehicle width</w:t>
            </w:r>
          </w:p>
        </w:tc>
        <w:tc>
          <w:tcPr>
            <w:tcW w:w="4757" w:type="dxa"/>
            <w:vAlign w:val="center"/>
          </w:tcPr>
          <w:p w:rsidR="009F14CE" w:rsidRPr="007B4B7B" w:rsidRDefault="009F14CE">
            <w:pPr>
              <w:pStyle w:val="Tabletext"/>
              <w:rPr>
                <w:sz w:val="22"/>
                <w:szCs w:val="22"/>
                <w:lang w:val="en-US" w:eastAsia="ja-JP"/>
              </w:rPr>
            </w:pPr>
            <w:r w:rsidRPr="007B4B7B">
              <w:rPr>
                <w:lang w:val="en-US" w:eastAsia="ja-JP"/>
              </w:rPr>
              <w:t>Max. 3.4 m</w:t>
            </w:r>
          </w:p>
        </w:tc>
      </w:tr>
      <w:tr w:rsidR="009F14CE" w:rsidRPr="007B4B7B" w:rsidTr="00D07FF2">
        <w:trPr>
          <w:jc w:val="center"/>
        </w:trPr>
        <w:tc>
          <w:tcPr>
            <w:tcW w:w="3140" w:type="dxa"/>
            <w:vAlign w:val="center"/>
          </w:tcPr>
          <w:p w:rsidR="009F14CE" w:rsidRPr="007B4B7B" w:rsidRDefault="009F14CE">
            <w:pPr>
              <w:pStyle w:val="Tabletext"/>
              <w:rPr>
                <w:sz w:val="22"/>
                <w:szCs w:val="22"/>
                <w:lang w:val="en-US" w:eastAsia="ja-JP"/>
              </w:rPr>
            </w:pPr>
            <w:r w:rsidRPr="007B4B7B">
              <w:rPr>
                <w:lang w:val="en-US" w:eastAsia="ja-JP"/>
              </w:rPr>
              <w:t>Vehicle height</w:t>
            </w:r>
          </w:p>
        </w:tc>
        <w:tc>
          <w:tcPr>
            <w:tcW w:w="4757" w:type="dxa"/>
            <w:vAlign w:val="center"/>
          </w:tcPr>
          <w:p w:rsidR="009F14CE" w:rsidRPr="007B4B7B" w:rsidRDefault="009F14CE">
            <w:pPr>
              <w:pStyle w:val="Tabletext"/>
              <w:rPr>
                <w:sz w:val="22"/>
                <w:szCs w:val="22"/>
                <w:lang w:val="en-US" w:eastAsia="ja-JP"/>
              </w:rPr>
            </w:pPr>
            <w:r w:rsidRPr="007B4B7B">
              <w:rPr>
                <w:lang w:val="en-US" w:eastAsia="ja-JP"/>
              </w:rPr>
              <w:t>Max. 4.5 m</w:t>
            </w:r>
          </w:p>
        </w:tc>
      </w:tr>
      <w:tr w:rsidR="009F14CE" w:rsidRPr="007B4B7B" w:rsidTr="00D07FF2">
        <w:trPr>
          <w:jc w:val="center"/>
        </w:trPr>
        <w:tc>
          <w:tcPr>
            <w:tcW w:w="3140" w:type="dxa"/>
            <w:vAlign w:val="center"/>
          </w:tcPr>
          <w:p w:rsidR="009F14CE" w:rsidRPr="007B4B7B" w:rsidRDefault="009F14CE">
            <w:pPr>
              <w:pStyle w:val="Tabletext"/>
              <w:rPr>
                <w:sz w:val="22"/>
                <w:szCs w:val="22"/>
                <w:lang w:val="en-US" w:eastAsia="ja-JP"/>
              </w:rPr>
            </w:pPr>
            <w:r w:rsidRPr="007B4B7B">
              <w:rPr>
                <w:lang w:val="en-US" w:eastAsia="ja-JP"/>
              </w:rPr>
              <w:t xml:space="preserve">Minimum </w:t>
            </w:r>
            <w:r w:rsidR="007B4B7B" w:rsidRPr="007B4B7B">
              <w:rPr>
                <w:lang w:val="en-US" w:eastAsia="ja-JP"/>
              </w:rPr>
              <w:t xml:space="preserve">radius </w:t>
            </w:r>
            <w:r w:rsidRPr="007B4B7B">
              <w:rPr>
                <w:lang w:val="en-US" w:eastAsia="ja-JP"/>
              </w:rPr>
              <w:t>of curve</w:t>
            </w:r>
          </w:p>
        </w:tc>
        <w:tc>
          <w:tcPr>
            <w:tcW w:w="4757" w:type="dxa"/>
            <w:vAlign w:val="center"/>
          </w:tcPr>
          <w:p w:rsidR="009F14CE" w:rsidRPr="007B4B7B" w:rsidRDefault="009F14CE">
            <w:pPr>
              <w:pStyle w:val="Tabletext"/>
              <w:rPr>
                <w:sz w:val="22"/>
                <w:szCs w:val="22"/>
                <w:lang w:val="en-US" w:eastAsia="ja-JP"/>
              </w:rPr>
            </w:pPr>
            <w:r w:rsidRPr="007B4B7B">
              <w:rPr>
                <w:lang w:val="en-US" w:eastAsia="ja-JP"/>
              </w:rPr>
              <w:t>Typ. 4</w:t>
            </w:r>
            <w:r w:rsidR="007B4B7B">
              <w:rPr>
                <w:lang w:val="en-US" w:eastAsia="ja-JP"/>
              </w:rPr>
              <w:t> </w:t>
            </w:r>
            <w:r w:rsidRPr="007B4B7B">
              <w:rPr>
                <w:lang w:val="en-US" w:eastAsia="ja-JP"/>
              </w:rPr>
              <w:t>000 m</w:t>
            </w:r>
          </w:p>
        </w:tc>
      </w:tr>
      <w:tr w:rsidR="009F14CE" w:rsidRPr="007B4B7B" w:rsidTr="00D07FF2">
        <w:trPr>
          <w:jc w:val="center"/>
        </w:trPr>
        <w:tc>
          <w:tcPr>
            <w:tcW w:w="3140" w:type="dxa"/>
            <w:vAlign w:val="center"/>
          </w:tcPr>
          <w:p w:rsidR="009F14CE" w:rsidRPr="007B4B7B" w:rsidRDefault="009F14CE">
            <w:pPr>
              <w:pStyle w:val="Tabletext"/>
              <w:rPr>
                <w:sz w:val="22"/>
                <w:szCs w:val="22"/>
                <w:lang w:val="en-US" w:eastAsia="ja-JP"/>
              </w:rPr>
            </w:pPr>
            <w:r w:rsidRPr="007B4B7B">
              <w:rPr>
                <w:lang w:val="en-US" w:eastAsia="ja-JP"/>
              </w:rPr>
              <w:t xml:space="preserve">Minimum </w:t>
            </w:r>
            <w:r w:rsidR="007B4B7B" w:rsidRPr="007B4B7B">
              <w:rPr>
                <w:lang w:val="en-US" w:eastAsia="ja-JP"/>
              </w:rPr>
              <w:t xml:space="preserve">vertical </w:t>
            </w:r>
            <w:r w:rsidRPr="007B4B7B">
              <w:rPr>
                <w:lang w:val="en-US" w:eastAsia="ja-JP"/>
              </w:rPr>
              <w:t>radius of curve</w:t>
            </w:r>
          </w:p>
        </w:tc>
        <w:tc>
          <w:tcPr>
            <w:tcW w:w="4757" w:type="dxa"/>
            <w:vAlign w:val="center"/>
          </w:tcPr>
          <w:p w:rsidR="009F14CE" w:rsidRPr="007B4B7B" w:rsidRDefault="009F14CE">
            <w:pPr>
              <w:pStyle w:val="Tabletext"/>
              <w:rPr>
                <w:sz w:val="22"/>
                <w:szCs w:val="22"/>
                <w:lang w:val="en-US" w:eastAsia="ja-JP"/>
              </w:rPr>
            </w:pPr>
            <w:r w:rsidRPr="007B4B7B">
              <w:rPr>
                <w:lang w:val="en-US" w:eastAsia="ja-JP"/>
              </w:rPr>
              <w:t>Typ. 10</w:t>
            </w:r>
            <w:r w:rsidR="007B4B7B">
              <w:rPr>
                <w:lang w:val="en-US" w:eastAsia="ja-JP"/>
              </w:rPr>
              <w:t> </w:t>
            </w:r>
            <w:r w:rsidRPr="007B4B7B">
              <w:rPr>
                <w:lang w:val="en-US" w:eastAsia="ja-JP"/>
              </w:rPr>
              <w:t>000 m</w:t>
            </w:r>
          </w:p>
        </w:tc>
      </w:tr>
      <w:tr w:rsidR="009F14CE" w:rsidRPr="007B4B7B" w:rsidTr="00D07FF2">
        <w:trPr>
          <w:jc w:val="center"/>
        </w:trPr>
        <w:tc>
          <w:tcPr>
            <w:tcW w:w="3140" w:type="dxa"/>
            <w:vAlign w:val="center"/>
          </w:tcPr>
          <w:p w:rsidR="009F14CE" w:rsidRPr="007B4B7B" w:rsidRDefault="009F14CE">
            <w:pPr>
              <w:pStyle w:val="Tabletext"/>
              <w:rPr>
                <w:sz w:val="22"/>
                <w:szCs w:val="22"/>
                <w:lang w:val="en-US" w:eastAsia="ja-JP"/>
              </w:rPr>
            </w:pPr>
            <w:r w:rsidRPr="007B4B7B">
              <w:rPr>
                <w:lang w:val="en-US" w:eastAsia="ja-JP"/>
              </w:rPr>
              <w:t xml:space="preserve">Maximum </w:t>
            </w:r>
            <w:r w:rsidR="007B4B7B" w:rsidRPr="007B4B7B">
              <w:rPr>
                <w:lang w:val="en-US" w:eastAsia="ja-JP"/>
              </w:rPr>
              <w:t xml:space="preserve">gradient </w:t>
            </w:r>
            <w:r w:rsidRPr="007B4B7B">
              <w:rPr>
                <w:lang w:val="en-US" w:eastAsia="ja-JP"/>
              </w:rPr>
              <w:t>of track</w:t>
            </w:r>
          </w:p>
        </w:tc>
        <w:tc>
          <w:tcPr>
            <w:tcW w:w="4757" w:type="dxa"/>
            <w:vAlign w:val="center"/>
          </w:tcPr>
          <w:p w:rsidR="009F14CE" w:rsidRPr="007B4B7B" w:rsidRDefault="009F14CE">
            <w:pPr>
              <w:pStyle w:val="Tabletext"/>
              <w:rPr>
                <w:sz w:val="22"/>
                <w:szCs w:val="22"/>
                <w:lang w:val="en-US" w:eastAsia="ja-JP"/>
              </w:rPr>
            </w:pPr>
            <w:r w:rsidRPr="007B4B7B">
              <w:rPr>
                <w:lang w:val="en-US" w:eastAsia="ja-JP"/>
              </w:rPr>
              <w:t>35‰</w:t>
            </w:r>
          </w:p>
        </w:tc>
      </w:tr>
      <w:tr w:rsidR="009F14CE" w:rsidRPr="007B4B7B" w:rsidTr="00D07FF2">
        <w:trPr>
          <w:jc w:val="center"/>
        </w:trPr>
        <w:tc>
          <w:tcPr>
            <w:tcW w:w="3140" w:type="dxa"/>
            <w:vAlign w:val="center"/>
          </w:tcPr>
          <w:p w:rsidR="009F14CE" w:rsidRPr="007B4B7B" w:rsidRDefault="009F14CE">
            <w:pPr>
              <w:pStyle w:val="Tabletext"/>
              <w:rPr>
                <w:sz w:val="22"/>
                <w:szCs w:val="22"/>
                <w:lang w:val="en-US" w:eastAsia="ja-JP"/>
              </w:rPr>
            </w:pPr>
            <w:r w:rsidRPr="007B4B7B">
              <w:rPr>
                <w:lang w:val="en-US" w:eastAsia="ja-JP"/>
              </w:rPr>
              <w:t xml:space="preserve">Maximum </w:t>
            </w:r>
            <w:proofErr w:type="spellStart"/>
            <w:r w:rsidR="007B4B7B" w:rsidRPr="007B4B7B">
              <w:rPr>
                <w:lang w:val="en-US" w:eastAsia="ja-JP"/>
              </w:rPr>
              <w:t>superelevation</w:t>
            </w:r>
            <w:proofErr w:type="spellEnd"/>
            <w:r w:rsidR="007B4B7B" w:rsidRPr="007B4B7B">
              <w:rPr>
                <w:lang w:val="en-US" w:eastAsia="ja-JP"/>
              </w:rPr>
              <w:t xml:space="preserve"> </w:t>
            </w:r>
            <w:r w:rsidRPr="007B4B7B">
              <w:rPr>
                <w:lang w:val="en-US" w:eastAsia="ja-JP"/>
              </w:rPr>
              <w:t>of track</w:t>
            </w:r>
          </w:p>
        </w:tc>
        <w:tc>
          <w:tcPr>
            <w:tcW w:w="4757" w:type="dxa"/>
            <w:vAlign w:val="center"/>
          </w:tcPr>
          <w:p w:rsidR="009F14CE" w:rsidRPr="007B4B7B" w:rsidRDefault="009F14CE">
            <w:pPr>
              <w:pStyle w:val="Tabletext"/>
              <w:rPr>
                <w:sz w:val="22"/>
                <w:szCs w:val="22"/>
                <w:lang w:val="en-US" w:eastAsia="ja-JP"/>
              </w:rPr>
            </w:pPr>
            <w:r w:rsidRPr="007B4B7B">
              <w:rPr>
                <w:lang w:val="en-US" w:eastAsia="ja-JP"/>
              </w:rPr>
              <w:t>200 mm @ rail gauge = 1</w:t>
            </w:r>
            <w:r w:rsidR="007B4B7B">
              <w:rPr>
                <w:lang w:val="en-US" w:eastAsia="ja-JP"/>
              </w:rPr>
              <w:t> </w:t>
            </w:r>
            <w:r w:rsidRPr="007B4B7B">
              <w:rPr>
                <w:lang w:val="en-US" w:eastAsia="ja-JP"/>
              </w:rPr>
              <w:t>435 mm</w:t>
            </w:r>
          </w:p>
        </w:tc>
      </w:tr>
    </w:tbl>
    <w:p w:rsidR="009F14CE" w:rsidRPr="007B4B7B" w:rsidRDefault="009F14CE" w:rsidP="009142B6">
      <w:pPr>
        <w:pStyle w:val="Tablefin"/>
        <w:rPr>
          <w:lang w:val="en-US"/>
        </w:rPr>
      </w:pPr>
    </w:p>
    <w:p w:rsidR="009F14CE" w:rsidRPr="007B4B7B" w:rsidRDefault="009F14CE">
      <w:pPr>
        <w:pStyle w:val="Heading1"/>
        <w:rPr>
          <w:lang w:val="en-US" w:eastAsia="ja-JP"/>
        </w:rPr>
      </w:pPr>
      <w:r w:rsidRPr="007B4B7B">
        <w:rPr>
          <w:lang w:val="en-US" w:eastAsia="ja-JP"/>
        </w:rPr>
        <w:t>7</w:t>
      </w:r>
      <w:r w:rsidRPr="007B4B7B">
        <w:rPr>
          <w:lang w:val="en-US" w:eastAsia="ja-JP"/>
        </w:rPr>
        <w:tab/>
        <w:t>System characteristics</w:t>
      </w:r>
    </w:p>
    <w:p w:rsidR="009F14CE" w:rsidRPr="007B4B7B" w:rsidRDefault="009F14CE">
      <w:pPr>
        <w:pStyle w:val="Heading2"/>
        <w:rPr>
          <w:lang w:val="en-US" w:eastAsia="ja-JP"/>
        </w:rPr>
      </w:pPr>
      <w:r w:rsidRPr="007B4B7B">
        <w:rPr>
          <w:lang w:val="en-US" w:eastAsia="ja-JP"/>
        </w:rPr>
        <w:t>7.1</w:t>
      </w:r>
      <w:r w:rsidRPr="007B4B7B">
        <w:rPr>
          <w:lang w:val="en-US" w:eastAsia="ja-JP"/>
        </w:rPr>
        <w:tab/>
        <w:t xml:space="preserve">System characteristics of railway </w:t>
      </w:r>
      <w:proofErr w:type="spellStart"/>
      <w:r w:rsidRPr="007B4B7B">
        <w:rPr>
          <w:lang w:val="en-US" w:eastAsia="ja-JP"/>
        </w:rPr>
        <w:t>radiocommunication</w:t>
      </w:r>
      <w:proofErr w:type="spellEnd"/>
      <w:r w:rsidRPr="007B4B7B">
        <w:rPr>
          <w:lang w:val="en-US" w:eastAsia="ja-JP"/>
        </w:rPr>
        <w:t xml:space="preserve"> system between train and trackside operating in the bands 92-94 GHz, 94.1-100 GHz and 102-109.5 GHz </w:t>
      </w:r>
    </w:p>
    <w:p w:rsidR="009F14CE" w:rsidRPr="007B4B7B" w:rsidRDefault="009F14CE">
      <w:pPr>
        <w:rPr>
          <w:lang w:val="en-US" w:eastAsia="zh-CN"/>
        </w:rPr>
      </w:pPr>
      <w:r w:rsidRPr="007B4B7B">
        <w:rPr>
          <w:lang w:val="en-US" w:eastAsia="zh-CN"/>
        </w:rPr>
        <w:t xml:space="preserve">Table 2 summarizes technical and operational characteristics of </w:t>
      </w:r>
      <w:proofErr w:type="spellStart"/>
      <w:r w:rsidRPr="007B4B7B">
        <w:rPr>
          <w:lang w:val="en-US" w:eastAsia="zh-CN"/>
        </w:rPr>
        <w:t>RSTT</w:t>
      </w:r>
      <w:proofErr w:type="spellEnd"/>
      <w:r w:rsidRPr="007B4B7B">
        <w:rPr>
          <w:lang w:val="en-US" w:eastAsia="zh-CN"/>
        </w:rPr>
        <w:t xml:space="preserve"> stations operating in 92</w:t>
      </w:r>
      <w:r w:rsidRPr="007B4B7B">
        <w:rPr>
          <w:lang w:val="en-US" w:eastAsia="zh-CN"/>
        </w:rPr>
        <w:noBreakHyphen/>
        <w:t>94 GHz, 94.1-100 GHz and 102-109.5 GHz bands. The total bandwidth of 15.4 GHz can be used for data transmission between on-board radio equipment and trackside radio access units. The transmission distance of these equipment is designed by the railroad line environment.</w:t>
      </w:r>
    </w:p>
    <w:p w:rsidR="009F14CE" w:rsidRPr="007B4B7B" w:rsidRDefault="009F14CE">
      <w:pPr>
        <w:pStyle w:val="TableNo"/>
        <w:rPr>
          <w:lang w:val="en-US" w:eastAsia="ja-JP"/>
        </w:rPr>
      </w:pPr>
      <w:r w:rsidRPr="007B4B7B">
        <w:rPr>
          <w:lang w:val="en-US"/>
        </w:rPr>
        <w:lastRenderedPageBreak/>
        <w:t>Table</w:t>
      </w:r>
      <w:r w:rsidRPr="007B4B7B">
        <w:rPr>
          <w:lang w:val="en-US" w:eastAsia="ja-JP"/>
        </w:rPr>
        <w:t xml:space="preserve"> 2</w:t>
      </w:r>
    </w:p>
    <w:p w:rsidR="009F14CE" w:rsidRPr="007B4B7B" w:rsidRDefault="009F14CE">
      <w:pPr>
        <w:pStyle w:val="Tabletitle"/>
        <w:rPr>
          <w:lang w:val="en-US"/>
        </w:rPr>
      </w:pPr>
      <w:r w:rsidRPr="007B4B7B">
        <w:rPr>
          <w:lang w:val="en-US"/>
        </w:rPr>
        <w:t>System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 xml:space="preserve">Frequency </w:t>
            </w:r>
            <w:r w:rsidR="008A3B25" w:rsidRPr="007B4B7B">
              <w:rPr>
                <w:lang w:val="en-US" w:eastAsia="ja-JP"/>
              </w:rPr>
              <w:t xml:space="preserve">range </w:t>
            </w:r>
            <w:r w:rsidRPr="007B4B7B">
              <w:rPr>
                <w:lang w:val="en-US" w:eastAsia="ja-JP"/>
              </w:rPr>
              <w:t>(GHz)</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92-94. 94.1-100, 102-109.5</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Seamless connection mechanism</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Backward and forward switching method</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Channel bandwidth (MHz)</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400</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Channelization (MHz)</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TBD</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Channel aggregation pattern</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TBD</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Antenna type</w:t>
            </w:r>
          </w:p>
        </w:tc>
        <w:tc>
          <w:tcPr>
            <w:tcW w:w="4252" w:type="dxa"/>
            <w:shd w:val="clear" w:color="auto" w:fill="auto"/>
          </w:tcPr>
          <w:p w:rsidR="009F14CE" w:rsidRPr="007B4B7B" w:rsidRDefault="009F14CE">
            <w:pPr>
              <w:pStyle w:val="Tabletext"/>
              <w:keepNext/>
              <w:keepLines/>
              <w:rPr>
                <w:lang w:val="en-US" w:eastAsia="ja-JP"/>
              </w:rPr>
            </w:pPr>
            <w:proofErr w:type="spellStart"/>
            <w:r w:rsidRPr="007B4B7B">
              <w:rPr>
                <w:lang w:val="en-US" w:eastAsia="ja-JP"/>
              </w:rPr>
              <w:t>Cassgrain</w:t>
            </w:r>
            <w:proofErr w:type="spellEnd"/>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Antenna gain (</w:t>
            </w:r>
            <w:proofErr w:type="spellStart"/>
            <w:r w:rsidRPr="007B4B7B">
              <w:rPr>
                <w:lang w:val="en-US" w:eastAsia="ja-JP"/>
              </w:rPr>
              <w:t>dBi</w:t>
            </w:r>
            <w:proofErr w:type="spellEnd"/>
            <w:r w:rsidRPr="007B4B7B">
              <w:rPr>
                <w:lang w:val="en-US" w:eastAsia="ja-JP"/>
              </w:rPr>
              <w:t>)</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44</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 xml:space="preserve">Antenna </w:t>
            </w:r>
            <w:proofErr w:type="spellStart"/>
            <w:r w:rsidRPr="007B4B7B">
              <w:rPr>
                <w:lang w:val="en-US" w:eastAsia="ja-JP"/>
              </w:rPr>
              <w:t>beamwidth</w:t>
            </w:r>
            <w:proofErr w:type="spellEnd"/>
            <w:r w:rsidRPr="007B4B7B">
              <w:rPr>
                <w:lang w:val="en-US" w:eastAsia="ja-JP"/>
              </w:rPr>
              <w:t xml:space="preserve"> (degree)</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1</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Antenna height from rail surface (m)</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4 (Maximum)</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Polarization</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Linear</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Antenna pattern</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Annex 1</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Average transmitting power (</w:t>
            </w:r>
            <w:proofErr w:type="spellStart"/>
            <w:r w:rsidRPr="007B4B7B">
              <w:rPr>
                <w:lang w:val="en-US" w:eastAsia="ja-JP"/>
              </w:rPr>
              <w:t>dBm</w:t>
            </w:r>
            <w:proofErr w:type="spellEnd"/>
            <w:r w:rsidRPr="007B4B7B">
              <w:rPr>
                <w:lang w:val="en-US" w:eastAsia="ja-JP"/>
              </w:rPr>
              <w:t>)</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10</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 xml:space="preserve">Average </w:t>
            </w:r>
            <w:proofErr w:type="spellStart"/>
            <w:r w:rsidRPr="007B4B7B">
              <w:rPr>
                <w:lang w:val="en-US" w:eastAsia="ja-JP"/>
              </w:rPr>
              <w:t>e.i.r.p</w:t>
            </w:r>
            <w:proofErr w:type="spellEnd"/>
            <w:r w:rsidRPr="007B4B7B">
              <w:rPr>
                <w:lang w:val="en-US" w:eastAsia="ja-JP"/>
              </w:rPr>
              <w:t>. (</w:t>
            </w:r>
            <w:proofErr w:type="spellStart"/>
            <w:r w:rsidRPr="007B4B7B">
              <w:rPr>
                <w:lang w:val="en-US" w:eastAsia="ja-JP"/>
              </w:rPr>
              <w:t>dBm</w:t>
            </w:r>
            <w:proofErr w:type="spellEnd"/>
            <w:r w:rsidRPr="007B4B7B">
              <w:rPr>
                <w:lang w:val="en-US" w:eastAsia="ja-JP"/>
              </w:rPr>
              <w:t>)</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54</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Receiving noise figure (dB)</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&lt;10</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Maximum transmission data rate (Gb/s)</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5-10 (Stationary), 1 (Running)</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Maximum transmission distance (km)</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0.5-1 (Open), 3 (Tunnel)</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Modulation</w:t>
            </w:r>
          </w:p>
        </w:tc>
        <w:tc>
          <w:tcPr>
            <w:tcW w:w="4252" w:type="dxa"/>
            <w:shd w:val="clear" w:color="auto" w:fill="auto"/>
          </w:tcPr>
          <w:p w:rsidR="009F14CE" w:rsidRPr="007B4B7B" w:rsidRDefault="009F14CE">
            <w:pPr>
              <w:pStyle w:val="Tabletext"/>
              <w:keepNext/>
              <w:keepLines/>
              <w:rPr>
                <w:lang w:val="en-US" w:eastAsia="ja-JP"/>
              </w:rPr>
            </w:pPr>
            <w:proofErr w:type="spellStart"/>
            <w:r w:rsidRPr="007B4B7B">
              <w:rPr>
                <w:lang w:val="en-US" w:eastAsia="ja-JP"/>
              </w:rPr>
              <w:t>PSK</w:t>
            </w:r>
            <w:proofErr w:type="spellEnd"/>
            <w:r w:rsidRPr="007B4B7B">
              <w:rPr>
                <w:lang w:val="en-US" w:eastAsia="ja-JP"/>
              </w:rPr>
              <w:t xml:space="preserve">, </w:t>
            </w:r>
            <w:proofErr w:type="spellStart"/>
            <w:r w:rsidRPr="007B4B7B">
              <w:rPr>
                <w:lang w:val="en-US" w:eastAsia="ja-JP"/>
              </w:rPr>
              <w:t>QPSK</w:t>
            </w:r>
            <w:proofErr w:type="spellEnd"/>
            <w:r w:rsidRPr="007B4B7B">
              <w:rPr>
                <w:lang w:val="en-US" w:eastAsia="ja-JP"/>
              </w:rPr>
              <w:t xml:space="preserve">, </w:t>
            </w:r>
            <w:proofErr w:type="spellStart"/>
            <w:r w:rsidRPr="007B4B7B">
              <w:rPr>
                <w:lang w:val="en-US" w:eastAsia="ja-JP"/>
              </w:rPr>
              <w:t>16QAM</w:t>
            </w:r>
            <w:proofErr w:type="spellEnd"/>
            <w:r w:rsidRPr="007B4B7B">
              <w:rPr>
                <w:lang w:val="en-US" w:eastAsia="ja-JP"/>
              </w:rPr>
              <w:t xml:space="preserve">, </w:t>
            </w:r>
            <w:proofErr w:type="spellStart"/>
            <w:r w:rsidRPr="007B4B7B">
              <w:rPr>
                <w:lang w:val="en-US" w:eastAsia="ja-JP"/>
              </w:rPr>
              <w:t>64QAM</w:t>
            </w:r>
            <w:proofErr w:type="spellEnd"/>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Multiplexing method</w:t>
            </w:r>
          </w:p>
        </w:tc>
        <w:tc>
          <w:tcPr>
            <w:tcW w:w="4252" w:type="dxa"/>
            <w:shd w:val="clear" w:color="auto" w:fill="auto"/>
          </w:tcPr>
          <w:p w:rsidR="009F14CE" w:rsidRPr="007B4B7B" w:rsidRDefault="009F14CE">
            <w:pPr>
              <w:pStyle w:val="Tabletext"/>
              <w:keepNext/>
              <w:keepLines/>
              <w:rPr>
                <w:lang w:val="en-US" w:eastAsia="ja-JP"/>
              </w:rPr>
            </w:pPr>
            <w:proofErr w:type="spellStart"/>
            <w:r w:rsidRPr="007B4B7B">
              <w:rPr>
                <w:lang w:val="en-US" w:eastAsia="ja-JP"/>
              </w:rPr>
              <w:t>FDD</w:t>
            </w:r>
            <w:proofErr w:type="spellEnd"/>
            <w:r w:rsidRPr="007B4B7B">
              <w:rPr>
                <w:lang w:val="en-US" w:eastAsia="ja-JP"/>
              </w:rPr>
              <w:t>/</w:t>
            </w:r>
            <w:proofErr w:type="spellStart"/>
            <w:r w:rsidRPr="007B4B7B">
              <w:rPr>
                <w:lang w:val="en-US" w:eastAsia="ja-JP"/>
              </w:rPr>
              <w:t>TDD</w:t>
            </w:r>
            <w:proofErr w:type="spellEnd"/>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Space diversity</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TBD</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Maximum running speed (km/h)</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600</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Switching time of trackside radio access unit (</w:t>
            </w:r>
            <w:r w:rsidRPr="007B4B7B">
              <w:rPr>
                <w:rFonts w:ascii="Symbol" w:hAnsi="Symbol"/>
                <w:lang w:val="en-US" w:eastAsia="ja-JP"/>
              </w:rPr>
              <w:t></w:t>
            </w:r>
            <w:r w:rsidRPr="007B4B7B">
              <w:rPr>
                <w:lang w:val="en-US" w:eastAsia="ja-JP"/>
              </w:rPr>
              <w:t>s)</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TBD</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Average distance between on-board equipment and trackside radio access unit</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TBD</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Rainfall attenuation margin (dB)</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TBD</w:t>
            </w:r>
          </w:p>
        </w:tc>
      </w:tr>
      <w:tr w:rsidR="009F14CE" w:rsidRPr="00EF62CC">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Wired interface of trackside radio access unit</w:t>
            </w:r>
          </w:p>
        </w:tc>
        <w:tc>
          <w:tcPr>
            <w:tcW w:w="4252" w:type="dxa"/>
            <w:shd w:val="clear" w:color="auto" w:fill="auto"/>
          </w:tcPr>
          <w:p w:rsidR="009F14CE" w:rsidRPr="00EF62CC" w:rsidRDefault="009F14CE">
            <w:pPr>
              <w:pStyle w:val="Tabletext"/>
              <w:keepNext/>
              <w:keepLines/>
              <w:rPr>
                <w:lang w:val="fr-CH" w:eastAsia="ja-JP"/>
              </w:rPr>
            </w:pPr>
            <w:r w:rsidRPr="00EF62CC">
              <w:rPr>
                <w:lang w:val="fr-CH" w:eastAsia="ja-JP"/>
              </w:rPr>
              <w:t>[Recommendation ITU-T G.RoF]</w:t>
            </w:r>
          </w:p>
        </w:tc>
      </w:tr>
      <w:tr w:rsidR="009F14CE" w:rsidRPr="007B4B7B">
        <w:trPr>
          <w:jc w:val="center"/>
        </w:trPr>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Propagation model between train and trackside</w:t>
            </w:r>
          </w:p>
        </w:tc>
        <w:tc>
          <w:tcPr>
            <w:tcW w:w="4252" w:type="dxa"/>
            <w:shd w:val="clear" w:color="auto" w:fill="auto"/>
          </w:tcPr>
          <w:p w:rsidR="009F14CE" w:rsidRPr="007B4B7B" w:rsidRDefault="009F14CE">
            <w:pPr>
              <w:pStyle w:val="Tabletext"/>
              <w:keepNext/>
              <w:keepLines/>
              <w:rPr>
                <w:lang w:val="en-US" w:eastAsia="ja-JP"/>
              </w:rPr>
            </w:pPr>
            <w:r w:rsidRPr="007B4B7B">
              <w:rPr>
                <w:lang w:val="en-US" w:eastAsia="ja-JP"/>
              </w:rPr>
              <w:t xml:space="preserve">Recommendation </w:t>
            </w:r>
            <w:proofErr w:type="spellStart"/>
            <w:r w:rsidR="008A3B25">
              <w:rPr>
                <w:lang w:val="en-US" w:eastAsia="ja-JP"/>
              </w:rPr>
              <w:t>ITU</w:t>
            </w:r>
            <w:proofErr w:type="spellEnd"/>
            <w:r w:rsidR="008A3B25">
              <w:rPr>
                <w:lang w:val="en-US" w:eastAsia="ja-JP"/>
              </w:rPr>
              <w:t xml:space="preserve">-R </w:t>
            </w:r>
            <w:proofErr w:type="spellStart"/>
            <w:r w:rsidRPr="007B4B7B">
              <w:rPr>
                <w:lang w:val="en-US" w:eastAsia="ja-JP"/>
              </w:rPr>
              <w:t>P.1411</w:t>
            </w:r>
            <w:proofErr w:type="spellEnd"/>
          </w:p>
        </w:tc>
      </w:tr>
    </w:tbl>
    <w:p w:rsidR="009F14CE" w:rsidRPr="007B4B7B" w:rsidRDefault="009F14CE">
      <w:pPr>
        <w:pStyle w:val="Tablefin"/>
        <w:rPr>
          <w:lang w:val="en-US"/>
        </w:rPr>
      </w:pPr>
    </w:p>
    <w:p w:rsidR="009F14CE" w:rsidRDefault="009F14CE">
      <w:pPr>
        <w:pStyle w:val="Heading2"/>
        <w:rPr>
          <w:lang w:val="en-US"/>
        </w:rPr>
      </w:pPr>
      <w:r w:rsidRPr="007B4B7B">
        <w:rPr>
          <w:lang w:val="en-US"/>
        </w:rPr>
        <w:t>7.2</w:t>
      </w:r>
      <w:r w:rsidRPr="007B4B7B">
        <w:rPr>
          <w:lang w:val="en-US"/>
        </w:rPr>
        <w:tab/>
        <w:t xml:space="preserve">System characteristics of </w:t>
      </w:r>
      <w:r w:rsidRPr="007B4B7B">
        <w:rPr>
          <w:lang w:val="en-US" w:eastAsia="ja-JP"/>
        </w:rPr>
        <w:t>earth exploration-satellite service (passive)</w:t>
      </w:r>
      <w:r w:rsidRPr="007B4B7B">
        <w:rPr>
          <w:lang w:val="en-US"/>
        </w:rPr>
        <w:t xml:space="preserve"> operating in the frequency ranges 86-92 GHz, 100-102 GHz and 109.5-111.8 GHz</w:t>
      </w:r>
    </w:p>
    <w:p w:rsidR="008A3B25" w:rsidRPr="008A3B25" w:rsidRDefault="008A3B25" w:rsidP="008A3B25">
      <w:pPr>
        <w:rPr>
          <w:lang w:val="en-US"/>
        </w:rPr>
      </w:pPr>
    </w:p>
    <w:p w:rsidR="009F14CE" w:rsidRDefault="009F14CE">
      <w:pPr>
        <w:pStyle w:val="Heading2"/>
        <w:rPr>
          <w:lang w:val="en-US"/>
        </w:rPr>
      </w:pPr>
      <w:r w:rsidRPr="007B4B7B">
        <w:rPr>
          <w:lang w:val="en-US" w:eastAsia="ja-JP"/>
        </w:rPr>
        <w:t>7.3</w:t>
      </w:r>
      <w:r w:rsidRPr="007B4B7B">
        <w:rPr>
          <w:lang w:val="en-US" w:eastAsia="ja-JP"/>
        </w:rPr>
        <w:tab/>
      </w:r>
      <w:r w:rsidRPr="007B4B7B">
        <w:rPr>
          <w:lang w:val="en-US"/>
        </w:rPr>
        <w:t xml:space="preserve">System characteristics of </w:t>
      </w:r>
      <w:r w:rsidRPr="007B4B7B">
        <w:rPr>
          <w:lang w:val="en-US" w:eastAsia="ja-JP"/>
        </w:rPr>
        <w:t>earth exploration-satellite service (active)</w:t>
      </w:r>
      <w:r w:rsidRPr="007B4B7B">
        <w:rPr>
          <w:lang w:val="en-US"/>
        </w:rPr>
        <w:t xml:space="preserve"> operating in the frequency range 94-94.1 GHz</w:t>
      </w:r>
    </w:p>
    <w:p w:rsidR="008A3B25" w:rsidRPr="008A3B25" w:rsidRDefault="008A3B25" w:rsidP="008A3B25">
      <w:pPr>
        <w:rPr>
          <w:lang w:val="en-US"/>
        </w:rPr>
      </w:pPr>
    </w:p>
    <w:p w:rsidR="009F14CE" w:rsidRDefault="009F14CE">
      <w:pPr>
        <w:pStyle w:val="Heading2"/>
        <w:rPr>
          <w:lang w:val="en-US"/>
        </w:rPr>
      </w:pPr>
      <w:r w:rsidRPr="007B4B7B">
        <w:rPr>
          <w:lang w:val="en-US"/>
        </w:rPr>
        <w:t>7.4</w:t>
      </w:r>
      <w:r w:rsidRPr="007B4B7B">
        <w:rPr>
          <w:lang w:val="en-US"/>
        </w:rPr>
        <w:tab/>
        <w:t>System characteristics of radio astronomy service operating in the frequency range 86-111.8 GHz</w:t>
      </w:r>
    </w:p>
    <w:p w:rsidR="008A3B25" w:rsidRPr="008A3B25" w:rsidRDefault="008A3B25" w:rsidP="008A3B25">
      <w:pPr>
        <w:rPr>
          <w:lang w:val="en-US"/>
        </w:rPr>
      </w:pPr>
    </w:p>
    <w:p w:rsidR="009F14CE" w:rsidRPr="007B4B7B" w:rsidRDefault="009F14CE">
      <w:pPr>
        <w:pStyle w:val="Heading1"/>
        <w:rPr>
          <w:lang w:val="en-US" w:eastAsia="ja-JP"/>
        </w:rPr>
      </w:pPr>
      <w:r w:rsidRPr="007B4B7B">
        <w:rPr>
          <w:lang w:val="en-US" w:eastAsia="ja-JP"/>
        </w:rPr>
        <w:t>8</w:t>
      </w:r>
      <w:r w:rsidRPr="007B4B7B">
        <w:rPr>
          <w:lang w:val="en-US" w:eastAsia="ja-JP"/>
        </w:rPr>
        <w:tab/>
        <w:t>Interference scenarios</w:t>
      </w:r>
    </w:p>
    <w:p w:rsidR="009F14CE" w:rsidRPr="007B4B7B" w:rsidRDefault="009F14CE">
      <w:pPr>
        <w:rPr>
          <w:lang w:val="en-US" w:eastAsia="ja-JP"/>
        </w:rPr>
      </w:pPr>
      <w:r w:rsidRPr="007B4B7B">
        <w:rPr>
          <w:lang w:val="en-US" w:eastAsia="ja-JP"/>
        </w:rPr>
        <w:t>The four interference scenarios listed in Table 2 and shown in Figure 1 are considered between land mobile service applications (</w:t>
      </w:r>
      <w:proofErr w:type="spellStart"/>
      <w:r w:rsidRPr="007B4B7B">
        <w:rPr>
          <w:lang w:val="en-US" w:eastAsia="ja-JP"/>
        </w:rPr>
        <w:t>RSTT</w:t>
      </w:r>
      <w:proofErr w:type="spellEnd"/>
      <w:r w:rsidRPr="007B4B7B">
        <w:rPr>
          <w:lang w:val="en-US" w:eastAsia="ja-JP"/>
        </w:rPr>
        <w:t>) and passive services.</w:t>
      </w:r>
    </w:p>
    <w:p w:rsidR="009F14CE" w:rsidRPr="007B4B7B" w:rsidRDefault="009F14CE">
      <w:pPr>
        <w:pStyle w:val="TableNo"/>
        <w:rPr>
          <w:lang w:val="en-US"/>
        </w:rPr>
      </w:pPr>
      <w:r w:rsidRPr="007B4B7B">
        <w:rPr>
          <w:lang w:val="en-US"/>
        </w:rPr>
        <w:lastRenderedPageBreak/>
        <w:t>TABLE</w:t>
      </w:r>
      <w:r w:rsidRPr="007B4B7B">
        <w:rPr>
          <w:lang w:val="en-US" w:eastAsia="zh-CN"/>
        </w:rPr>
        <w:t xml:space="preserve"> 2</w:t>
      </w:r>
    </w:p>
    <w:p w:rsidR="009F14CE" w:rsidRPr="007B4B7B" w:rsidRDefault="009F14CE">
      <w:pPr>
        <w:pStyle w:val="Tabletitle"/>
        <w:rPr>
          <w:lang w:val="en-US" w:eastAsia="ja-JP"/>
        </w:rPr>
      </w:pPr>
      <w:r w:rsidRPr="007B4B7B">
        <w:rPr>
          <w:lang w:val="en-US" w:eastAsia="ja-JP"/>
        </w:rPr>
        <w:t>Interference scenarios</w:t>
      </w:r>
    </w:p>
    <w:tbl>
      <w:tblPr>
        <w:tblStyle w:val="TableGrid"/>
        <w:tblW w:w="0" w:type="auto"/>
        <w:tblInd w:w="562" w:type="dxa"/>
        <w:tblLook w:val="04A0" w:firstRow="1" w:lastRow="0" w:firstColumn="1" w:lastColumn="0" w:noHBand="0" w:noVBand="1"/>
      </w:tblPr>
      <w:tblGrid>
        <w:gridCol w:w="1134"/>
        <w:gridCol w:w="2268"/>
        <w:gridCol w:w="2552"/>
        <w:gridCol w:w="2268"/>
      </w:tblGrid>
      <w:tr w:rsidR="009F14CE" w:rsidRPr="007B4B7B">
        <w:tc>
          <w:tcPr>
            <w:tcW w:w="1134" w:type="dxa"/>
          </w:tcPr>
          <w:p w:rsidR="009F14CE" w:rsidRPr="007B4B7B" w:rsidRDefault="009F14CE" w:rsidP="00836A60">
            <w:pPr>
              <w:pStyle w:val="Tablehead"/>
              <w:rPr>
                <w:lang w:val="en-US" w:eastAsia="ja-JP"/>
              </w:rPr>
            </w:pPr>
            <w:r w:rsidRPr="007B4B7B">
              <w:rPr>
                <w:lang w:val="en-US" w:eastAsia="ja-JP"/>
              </w:rPr>
              <w:t>Scenario</w:t>
            </w:r>
          </w:p>
        </w:tc>
        <w:tc>
          <w:tcPr>
            <w:tcW w:w="2268" w:type="dxa"/>
          </w:tcPr>
          <w:p w:rsidR="009F14CE" w:rsidRPr="007B4B7B" w:rsidRDefault="009F14CE" w:rsidP="00836A60">
            <w:pPr>
              <w:pStyle w:val="Tablehead"/>
              <w:rPr>
                <w:lang w:val="en-US" w:eastAsia="ja-JP"/>
              </w:rPr>
            </w:pPr>
            <w:r w:rsidRPr="007B4B7B">
              <w:rPr>
                <w:lang w:val="en-US" w:eastAsia="ja-JP"/>
              </w:rPr>
              <w:t>Interfering</w:t>
            </w:r>
          </w:p>
        </w:tc>
        <w:tc>
          <w:tcPr>
            <w:tcW w:w="2552" w:type="dxa"/>
          </w:tcPr>
          <w:p w:rsidR="009F14CE" w:rsidRPr="007B4B7B" w:rsidRDefault="009F14CE" w:rsidP="00836A60">
            <w:pPr>
              <w:pStyle w:val="Tablehead"/>
              <w:rPr>
                <w:lang w:val="en-US" w:eastAsia="ja-JP"/>
              </w:rPr>
            </w:pPr>
            <w:r w:rsidRPr="007B4B7B">
              <w:rPr>
                <w:lang w:val="en-US" w:eastAsia="ja-JP"/>
              </w:rPr>
              <w:t>Interfered with</w:t>
            </w:r>
          </w:p>
        </w:tc>
        <w:tc>
          <w:tcPr>
            <w:tcW w:w="2268" w:type="dxa"/>
          </w:tcPr>
          <w:p w:rsidR="009F14CE" w:rsidRPr="007B4B7B" w:rsidRDefault="009F14CE" w:rsidP="00836A60">
            <w:pPr>
              <w:pStyle w:val="Tablehead"/>
              <w:rPr>
                <w:lang w:val="en-US" w:eastAsia="ja-JP"/>
              </w:rPr>
            </w:pPr>
            <w:r w:rsidRPr="007B4B7B">
              <w:rPr>
                <w:lang w:val="en-US" w:eastAsia="ja-JP"/>
              </w:rPr>
              <w:t>Propagation model</w:t>
            </w:r>
          </w:p>
        </w:tc>
      </w:tr>
      <w:tr w:rsidR="009F14CE" w:rsidRPr="007B4B7B">
        <w:tc>
          <w:tcPr>
            <w:tcW w:w="1134" w:type="dxa"/>
          </w:tcPr>
          <w:p w:rsidR="009F14CE" w:rsidRPr="007B4B7B" w:rsidRDefault="009F14CE" w:rsidP="00836A60">
            <w:pPr>
              <w:pStyle w:val="TableTextS5"/>
              <w:jc w:val="center"/>
              <w:rPr>
                <w:lang w:val="en-US" w:eastAsia="ja-JP"/>
              </w:rPr>
            </w:pPr>
            <w:r w:rsidRPr="007B4B7B">
              <w:rPr>
                <w:lang w:val="en-US" w:eastAsia="ja-JP"/>
              </w:rPr>
              <w:t>A-1</w:t>
            </w:r>
          </w:p>
        </w:tc>
        <w:tc>
          <w:tcPr>
            <w:tcW w:w="2268" w:type="dxa"/>
          </w:tcPr>
          <w:p w:rsidR="009F14CE" w:rsidRPr="007B4B7B" w:rsidRDefault="009F14CE" w:rsidP="00836A60">
            <w:pPr>
              <w:pStyle w:val="TableTextS5"/>
              <w:rPr>
                <w:lang w:val="en-US" w:eastAsia="ja-JP"/>
              </w:rPr>
            </w:pPr>
            <w:proofErr w:type="spellStart"/>
            <w:r w:rsidRPr="007B4B7B">
              <w:rPr>
                <w:lang w:val="en-US" w:eastAsia="ja-JP"/>
              </w:rPr>
              <w:t>RSTT</w:t>
            </w:r>
            <w:proofErr w:type="spellEnd"/>
            <w:r w:rsidRPr="007B4B7B">
              <w:rPr>
                <w:lang w:val="en-US" w:eastAsia="ja-JP"/>
              </w:rPr>
              <w:t xml:space="preserve"> on-board terminal</w:t>
            </w:r>
          </w:p>
        </w:tc>
        <w:tc>
          <w:tcPr>
            <w:tcW w:w="2552" w:type="dxa"/>
          </w:tcPr>
          <w:p w:rsidR="009F14CE" w:rsidRPr="007B4B7B" w:rsidRDefault="009F14CE" w:rsidP="00836A60">
            <w:pPr>
              <w:pStyle w:val="TableTextS5"/>
              <w:rPr>
                <w:lang w:val="en-US" w:eastAsia="ja-JP"/>
              </w:rPr>
            </w:pPr>
            <w:proofErr w:type="spellStart"/>
            <w:r w:rsidRPr="007B4B7B">
              <w:rPr>
                <w:lang w:val="en-US" w:eastAsia="ja-JP"/>
              </w:rPr>
              <w:t>EESS</w:t>
            </w:r>
            <w:proofErr w:type="spellEnd"/>
            <w:r w:rsidRPr="007B4B7B">
              <w:rPr>
                <w:lang w:val="en-US" w:eastAsia="ja-JP"/>
              </w:rPr>
              <w:t xml:space="preserve"> space station</w:t>
            </w:r>
          </w:p>
        </w:tc>
        <w:tc>
          <w:tcPr>
            <w:tcW w:w="2268" w:type="dxa"/>
          </w:tcPr>
          <w:p w:rsidR="009F14CE" w:rsidRPr="007B4B7B" w:rsidRDefault="009F14CE" w:rsidP="00836A60">
            <w:pPr>
              <w:pStyle w:val="TableTextS5"/>
              <w:rPr>
                <w:lang w:val="en-US" w:eastAsia="ja-JP"/>
              </w:rPr>
            </w:pPr>
            <w:r w:rsidRPr="007B4B7B">
              <w:rPr>
                <w:lang w:val="en-US" w:eastAsia="ja-JP"/>
              </w:rPr>
              <w:t>Free space</w:t>
            </w:r>
          </w:p>
        </w:tc>
      </w:tr>
      <w:tr w:rsidR="009F14CE" w:rsidRPr="007B4B7B">
        <w:tc>
          <w:tcPr>
            <w:tcW w:w="1134" w:type="dxa"/>
          </w:tcPr>
          <w:p w:rsidR="009F14CE" w:rsidRPr="007B4B7B" w:rsidRDefault="009F14CE" w:rsidP="00836A60">
            <w:pPr>
              <w:pStyle w:val="TableTextS5"/>
              <w:jc w:val="center"/>
              <w:rPr>
                <w:lang w:val="en-US" w:eastAsia="ja-JP"/>
              </w:rPr>
            </w:pPr>
            <w:r w:rsidRPr="007B4B7B">
              <w:rPr>
                <w:lang w:val="en-US" w:eastAsia="ja-JP"/>
              </w:rPr>
              <w:t>A-2</w:t>
            </w:r>
          </w:p>
        </w:tc>
        <w:tc>
          <w:tcPr>
            <w:tcW w:w="2268" w:type="dxa"/>
          </w:tcPr>
          <w:p w:rsidR="009F14CE" w:rsidRPr="007B4B7B" w:rsidRDefault="009F14CE" w:rsidP="00836A60">
            <w:pPr>
              <w:pStyle w:val="TableTextS5"/>
              <w:rPr>
                <w:lang w:val="en-US" w:eastAsia="ja-JP"/>
              </w:rPr>
            </w:pPr>
            <w:proofErr w:type="spellStart"/>
            <w:r w:rsidRPr="007B4B7B">
              <w:rPr>
                <w:lang w:val="en-US" w:eastAsia="ja-JP"/>
              </w:rPr>
              <w:t>RSTT</w:t>
            </w:r>
            <w:proofErr w:type="spellEnd"/>
            <w:r w:rsidRPr="007B4B7B">
              <w:rPr>
                <w:lang w:val="en-US" w:eastAsia="ja-JP"/>
              </w:rPr>
              <w:t xml:space="preserve"> trackside station</w:t>
            </w:r>
          </w:p>
        </w:tc>
        <w:tc>
          <w:tcPr>
            <w:tcW w:w="2552" w:type="dxa"/>
          </w:tcPr>
          <w:p w:rsidR="009F14CE" w:rsidRPr="007B4B7B" w:rsidRDefault="009F14CE" w:rsidP="00836A60">
            <w:pPr>
              <w:pStyle w:val="TableTextS5"/>
              <w:rPr>
                <w:lang w:val="en-US" w:eastAsia="ja-JP"/>
              </w:rPr>
            </w:pPr>
            <w:proofErr w:type="spellStart"/>
            <w:r w:rsidRPr="007B4B7B">
              <w:rPr>
                <w:lang w:val="en-US" w:eastAsia="ja-JP"/>
              </w:rPr>
              <w:t>EESS</w:t>
            </w:r>
            <w:proofErr w:type="spellEnd"/>
            <w:r w:rsidRPr="007B4B7B">
              <w:rPr>
                <w:lang w:val="en-US" w:eastAsia="ja-JP"/>
              </w:rPr>
              <w:t xml:space="preserve"> space station</w:t>
            </w:r>
          </w:p>
        </w:tc>
        <w:tc>
          <w:tcPr>
            <w:tcW w:w="2268" w:type="dxa"/>
          </w:tcPr>
          <w:p w:rsidR="009F14CE" w:rsidRPr="007B4B7B" w:rsidRDefault="009F14CE" w:rsidP="00836A60">
            <w:pPr>
              <w:pStyle w:val="TableTextS5"/>
              <w:rPr>
                <w:lang w:val="en-US" w:eastAsia="ja-JP"/>
              </w:rPr>
            </w:pPr>
            <w:r w:rsidRPr="007B4B7B">
              <w:rPr>
                <w:lang w:val="en-US" w:eastAsia="ja-JP"/>
              </w:rPr>
              <w:t>Free space</w:t>
            </w:r>
          </w:p>
        </w:tc>
      </w:tr>
      <w:tr w:rsidR="009F14CE" w:rsidRPr="007B4B7B">
        <w:tc>
          <w:tcPr>
            <w:tcW w:w="1134" w:type="dxa"/>
          </w:tcPr>
          <w:p w:rsidR="009F14CE" w:rsidRPr="007B4B7B" w:rsidRDefault="009F14CE" w:rsidP="00836A60">
            <w:pPr>
              <w:pStyle w:val="TableTextS5"/>
              <w:jc w:val="center"/>
              <w:rPr>
                <w:lang w:val="en-US" w:eastAsia="ja-JP"/>
              </w:rPr>
            </w:pPr>
            <w:r w:rsidRPr="007B4B7B">
              <w:rPr>
                <w:lang w:val="en-US" w:eastAsia="ja-JP"/>
              </w:rPr>
              <w:t>B-1</w:t>
            </w:r>
          </w:p>
        </w:tc>
        <w:tc>
          <w:tcPr>
            <w:tcW w:w="2268" w:type="dxa"/>
          </w:tcPr>
          <w:p w:rsidR="009F14CE" w:rsidRPr="007B4B7B" w:rsidRDefault="009F14CE" w:rsidP="00836A60">
            <w:pPr>
              <w:pStyle w:val="TableTextS5"/>
              <w:rPr>
                <w:lang w:val="en-US" w:eastAsia="ja-JP"/>
              </w:rPr>
            </w:pPr>
            <w:proofErr w:type="spellStart"/>
            <w:r w:rsidRPr="007B4B7B">
              <w:rPr>
                <w:lang w:val="en-US" w:eastAsia="ja-JP"/>
              </w:rPr>
              <w:t>RSTT</w:t>
            </w:r>
            <w:proofErr w:type="spellEnd"/>
            <w:r w:rsidRPr="007B4B7B">
              <w:rPr>
                <w:lang w:val="en-US" w:eastAsia="ja-JP"/>
              </w:rPr>
              <w:t xml:space="preserve"> on-board terminal</w:t>
            </w:r>
          </w:p>
        </w:tc>
        <w:tc>
          <w:tcPr>
            <w:tcW w:w="2552" w:type="dxa"/>
          </w:tcPr>
          <w:p w:rsidR="009F14CE" w:rsidRPr="007B4B7B" w:rsidRDefault="009F14CE" w:rsidP="00836A60">
            <w:pPr>
              <w:pStyle w:val="TableTextS5"/>
              <w:rPr>
                <w:lang w:val="en-US" w:eastAsia="ja-JP"/>
              </w:rPr>
            </w:pPr>
            <w:proofErr w:type="spellStart"/>
            <w:r w:rsidRPr="007B4B7B">
              <w:rPr>
                <w:lang w:val="en-US" w:eastAsia="ja-JP"/>
              </w:rPr>
              <w:t>EESS</w:t>
            </w:r>
            <w:proofErr w:type="spellEnd"/>
            <w:r w:rsidRPr="007B4B7B">
              <w:rPr>
                <w:lang w:val="en-US" w:eastAsia="ja-JP"/>
              </w:rPr>
              <w:t xml:space="preserve"> space station</w:t>
            </w:r>
          </w:p>
        </w:tc>
        <w:tc>
          <w:tcPr>
            <w:tcW w:w="2268" w:type="dxa"/>
          </w:tcPr>
          <w:p w:rsidR="009F14CE" w:rsidRPr="007B4B7B" w:rsidRDefault="009F14CE" w:rsidP="00836A60">
            <w:pPr>
              <w:pStyle w:val="TableTextS5"/>
              <w:rPr>
                <w:lang w:val="en-US" w:eastAsia="ja-JP"/>
              </w:rPr>
            </w:pPr>
            <w:r w:rsidRPr="007B4B7B">
              <w:rPr>
                <w:lang w:val="en-US" w:eastAsia="ja-JP"/>
              </w:rPr>
              <w:t>Free space</w:t>
            </w:r>
          </w:p>
        </w:tc>
      </w:tr>
      <w:tr w:rsidR="009F14CE" w:rsidRPr="007B4B7B">
        <w:tc>
          <w:tcPr>
            <w:tcW w:w="1134" w:type="dxa"/>
          </w:tcPr>
          <w:p w:rsidR="009F14CE" w:rsidRPr="007B4B7B" w:rsidRDefault="009F14CE" w:rsidP="00836A60">
            <w:pPr>
              <w:pStyle w:val="TableTextS5"/>
              <w:jc w:val="center"/>
              <w:rPr>
                <w:lang w:val="en-US" w:eastAsia="ja-JP"/>
              </w:rPr>
            </w:pPr>
            <w:r w:rsidRPr="007B4B7B">
              <w:rPr>
                <w:lang w:val="en-US" w:eastAsia="ja-JP"/>
              </w:rPr>
              <w:t>B-1</w:t>
            </w:r>
          </w:p>
        </w:tc>
        <w:tc>
          <w:tcPr>
            <w:tcW w:w="2268" w:type="dxa"/>
          </w:tcPr>
          <w:p w:rsidR="009F14CE" w:rsidRPr="007B4B7B" w:rsidRDefault="009F14CE" w:rsidP="00836A60">
            <w:pPr>
              <w:pStyle w:val="TableTextS5"/>
              <w:rPr>
                <w:lang w:val="en-US" w:eastAsia="ja-JP"/>
              </w:rPr>
            </w:pPr>
            <w:proofErr w:type="spellStart"/>
            <w:r w:rsidRPr="007B4B7B">
              <w:rPr>
                <w:lang w:val="en-US" w:eastAsia="ja-JP"/>
              </w:rPr>
              <w:t>EESS</w:t>
            </w:r>
            <w:proofErr w:type="spellEnd"/>
            <w:r w:rsidRPr="007B4B7B">
              <w:rPr>
                <w:lang w:val="en-US" w:eastAsia="ja-JP"/>
              </w:rPr>
              <w:t xml:space="preserve"> space station</w:t>
            </w:r>
          </w:p>
        </w:tc>
        <w:tc>
          <w:tcPr>
            <w:tcW w:w="2552" w:type="dxa"/>
          </w:tcPr>
          <w:p w:rsidR="009F14CE" w:rsidRPr="007B4B7B" w:rsidRDefault="009F14CE" w:rsidP="00836A60">
            <w:pPr>
              <w:pStyle w:val="TableTextS5"/>
              <w:rPr>
                <w:lang w:val="en-US" w:eastAsia="ja-JP"/>
              </w:rPr>
            </w:pPr>
            <w:proofErr w:type="spellStart"/>
            <w:r w:rsidRPr="007B4B7B">
              <w:rPr>
                <w:lang w:val="en-US" w:eastAsia="ja-JP"/>
              </w:rPr>
              <w:t>RSTT</w:t>
            </w:r>
            <w:proofErr w:type="spellEnd"/>
            <w:r w:rsidRPr="007B4B7B">
              <w:rPr>
                <w:lang w:val="en-US" w:eastAsia="ja-JP"/>
              </w:rPr>
              <w:t xml:space="preserve"> on-board terminal</w:t>
            </w:r>
          </w:p>
        </w:tc>
        <w:tc>
          <w:tcPr>
            <w:tcW w:w="2268" w:type="dxa"/>
          </w:tcPr>
          <w:p w:rsidR="009F14CE" w:rsidRPr="007B4B7B" w:rsidRDefault="009F14CE" w:rsidP="00836A60">
            <w:pPr>
              <w:pStyle w:val="TableTextS5"/>
              <w:rPr>
                <w:lang w:val="en-US" w:eastAsia="ja-JP"/>
              </w:rPr>
            </w:pPr>
            <w:r w:rsidRPr="007B4B7B">
              <w:rPr>
                <w:lang w:val="en-US" w:eastAsia="ja-JP"/>
              </w:rPr>
              <w:t>Free space</w:t>
            </w:r>
          </w:p>
        </w:tc>
      </w:tr>
      <w:tr w:rsidR="009F14CE" w:rsidRPr="007B4B7B">
        <w:tc>
          <w:tcPr>
            <w:tcW w:w="1134" w:type="dxa"/>
          </w:tcPr>
          <w:p w:rsidR="009F14CE" w:rsidRPr="007B4B7B" w:rsidRDefault="009F14CE" w:rsidP="00836A60">
            <w:pPr>
              <w:pStyle w:val="TableTextS5"/>
              <w:jc w:val="center"/>
              <w:rPr>
                <w:lang w:val="en-US" w:eastAsia="ja-JP"/>
              </w:rPr>
            </w:pPr>
            <w:r w:rsidRPr="007B4B7B">
              <w:rPr>
                <w:lang w:val="en-US" w:eastAsia="ja-JP"/>
              </w:rPr>
              <w:t>B-2</w:t>
            </w:r>
          </w:p>
        </w:tc>
        <w:tc>
          <w:tcPr>
            <w:tcW w:w="2268" w:type="dxa"/>
          </w:tcPr>
          <w:p w:rsidR="009F14CE" w:rsidRPr="007B4B7B" w:rsidRDefault="009F14CE" w:rsidP="00836A60">
            <w:pPr>
              <w:pStyle w:val="TableTextS5"/>
              <w:rPr>
                <w:lang w:val="en-US" w:eastAsia="ja-JP"/>
              </w:rPr>
            </w:pPr>
            <w:proofErr w:type="spellStart"/>
            <w:r w:rsidRPr="007B4B7B">
              <w:rPr>
                <w:lang w:val="en-US" w:eastAsia="ja-JP"/>
              </w:rPr>
              <w:t>RSTT</w:t>
            </w:r>
            <w:proofErr w:type="spellEnd"/>
            <w:r w:rsidRPr="007B4B7B">
              <w:rPr>
                <w:lang w:val="en-US" w:eastAsia="ja-JP"/>
              </w:rPr>
              <w:t xml:space="preserve"> trackside station</w:t>
            </w:r>
          </w:p>
        </w:tc>
        <w:tc>
          <w:tcPr>
            <w:tcW w:w="2552" w:type="dxa"/>
          </w:tcPr>
          <w:p w:rsidR="009F14CE" w:rsidRPr="007B4B7B" w:rsidRDefault="009F14CE" w:rsidP="00836A60">
            <w:pPr>
              <w:pStyle w:val="TableTextS5"/>
              <w:rPr>
                <w:lang w:val="en-US" w:eastAsia="ja-JP"/>
              </w:rPr>
            </w:pPr>
            <w:proofErr w:type="spellStart"/>
            <w:r w:rsidRPr="007B4B7B">
              <w:rPr>
                <w:lang w:val="en-US" w:eastAsia="ja-JP"/>
              </w:rPr>
              <w:t>EESS</w:t>
            </w:r>
            <w:proofErr w:type="spellEnd"/>
            <w:r w:rsidRPr="007B4B7B">
              <w:rPr>
                <w:lang w:val="en-US" w:eastAsia="ja-JP"/>
              </w:rPr>
              <w:t xml:space="preserve"> space station</w:t>
            </w:r>
          </w:p>
        </w:tc>
        <w:tc>
          <w:tcPr>
            <w:tcW w:w="2268" w:type="dxa"/>
          </w:tcPr>
          <w:p w:rsidR="009F14CE" w:rsidRPr="007B4B7B" w:rsidRDefault="009F14CE" w:rsidP="00836A60">
            <w:pPr>
              <w:pStyle w:val="TableTextS5"/>
              <w:rPr>
                <w:lang w:val="en-US" w:eastAsia="ja-JP"/>
              </w:rPr>
            </w:pPr>
            <w:r w:rsidRPr="007B4B7B">
              <w:rPr>
                <w:lang w:val="en-US" w:eastAsia="ja-JP"/>
              </w:rPr>
              <w:t>Free space</w:t>
            </w:r>
          </w:p>
        </w:tc>
      </w:tr>
      <w:tr w:rsidR="009F14CE" w:rsidRPr="007B4B7B">
        <w:tc>
          <w:tcPr>
            <w:tcW w:w="1134" w:type="dxa"/>
          </w:tcPr>
          <w:p w:rsidR="009F14CE" w:rsidRPr="007B4B7B" w:rsidRDefault="009F14CE" w:rsidP="00836A60">
            <w:pPr>
              <w:pStyle w:val="TableTextS5"/>
              <w:jc w:val="center"/>
              <w:rPr>
                <w:lang w:val="en-US" w:eastAsia="ja-JP"/>
              </w:rPr>
            </w:pPr>
            <w:r w:rsidRPr="007B4B7B">
              <w:rPr>
                <w:lang w:val="en-US" w:eastAsia="ja-JP"/>
              </w:rPr>
              <w:t>B-2</w:t>
            </w:r>
          </w:p>
        </w:tc>
        <w:tc>
          <w:tcPr>
            <w:tcW w:w="2268" w:type="dxa"/>
          </w:tcPr>
          <w:p w:rsidR="009F14CE" w:rsidRPr="007B4B7B" w:rsidRDefault="009F14CE" w:rsidP="00836A60">
            <w:pPr>
              <w:pStyle w:val="TableTextS5"/>
              <w:rPr>
                <w:lang w:val="en-US" w:eastAsia="ja-JP"/>
              </w:rPr>
            </w:pPr>
            <w:proofErr w:type="spellStart"/>
            <w:r w:rsidRPr="007B4B7B">
              <w:rPr>
                <w:lang w:val="en-US" w:eastAsia="ja-JP"/>
              </w:rPr>
              <w:t>EESS</w:t>
            </w:r>
            <w:proofErr w:type="spellEnd"/>
            <w:r w:rsidRPr="007B4B7B">
              <w:rPr>
                <w:lang w:val="en-US" w:eastAsia="ja-JP"/>
              </w:rPr>
              <w:t xml:space="preserve"> space station</w:t>
            </w:r>
          </w:p>
        </w:tc>
        <w:tc>
          <w:tcPr>
            <w:tcW w:w="2552" w:type="dxa"/>
          </w:tcPr>
          <w:p w:rsidR="009F14CE" w:rsidRPr="007B4B7B" w:rsidRDefault="009F14CE" w:rsidP="00836A60">
            <w:pPr>
              <w:pStyle w:val="TableTextS5"/>
              <w:rPr>
                <w:lang w:val="en-US" w:eastAsia="ja-JP"/>
              </w:rPr>
            </w:pPr>
            <w:proofErr w:type="spellStart"/>
            <w:r w:rsidRPr="007B4B7B">
              <w:rPr>
                <w:lang w:val="en-US" w:eastAsia="ja-JP"/>
              </w:rPr>
              <w:t>RSTT</w:t>
            </w:r>
            <w:proofErr w:type="spellEnd"/>
            <w:r w:rsidRPr="007B4B7B">
              <w:rPr>
                <w:lang w:val="en-US" w:eastAsia="ja-JP"/>
              </w:rPr>
              <w:t xml:space="preserve"> trackside station</w:t>
            </w:r>
          </w:p>
        </w:tc>
        <w:tc>
          <w:tcPr>
            <w:tcW w:w="2268" w:type="dxa"/>
          </w:tcPr>
          <w:p w:rsidR="009F14CE" w:rsidRPr="007B4B7B" w:rsidRDefault="009F14CE" w:rsidP="00836A60">
            <w:pPr>
              <w:pStyle w:val="TableTextS5"/>
              <w:rPr>
                <w:lang w:val="en-US" w:eastAsia="ja-JP"/>
              </w:rPr>
            </w:pPr>
            <w:r w:rsidRPr="007B4B7B">
              <w:rPr>
                <w:lang w:val="en-US" w:eastAsia="ja-JP"/>
              </w:rPr>
              <w:t>Free space</w:t>
            </w:r>
          </w:p>
        </w:tc>
      </w:tr>
      <w:tr w:rsidR="009F14CE" w:rsidRPr="007B4B7B">
        <w:tc>
          <w:tcPr>
            <w:tcW w:w="1134" w:type="dxa"/>
          </w:tcPr>
          <w:p w:rsidR="009F14CE" w:rsidRPr="007B4B7B" w:rsidRDefault="009F14CE" w:rsidP="00836A60">
            <w:pPr>
              <w:pStyle w:val="TableTextS5"/>
              <w:jc w:val="center"/>
              <w:rPr>
                <w:lang w:val="en-US" w:eastAsia="ja-JP"/>
              </w:rPr>
            </w:pPr>
            <w:r w:rsidRPr="007B4B7B">
              <w:rPr>
                <w:lang w:val="en-US" w:eastAsia="ja-JP"/>
              </w:rPr>
              <w:t>C-1</w:t>
            </w:r>
          </w:p>
        </w:tc>
        <w:tc>
          <w:tcPr>
            <w:tcW w:w="2268" w:type="dxa"/>
          </w:tcPr>
          <w:p w:rsidR="009F14CE" w:rsidRPr="007B4B7B" w:rsidRDefault="009F14CE" w:rsidP="00836A60">
            <w:pPr>
              <w:pStyle w:val="TableTextS5"/>
              <w:rPr>
                <w:lang w:val="en-US" w:eastAsia="ja-JP"/>
              </w:rPr>
            </w:pPr>
            <w:proofErr w:type="spellStart"/>
            <w:r w:rsidRPr="007B4B7B">
              <w:rPr>
                <w:lang w:val="en-US" w:eastAsia="ja-JP"/>
              </w:rPr>
              <w:t>RSTT</w:t>
            </w:r>
            <w:proofErr w:type="spellEnd"/>
            <w:r w:rsidRPr="007B4B7B">
              <w:rPr>
                <w:lang w:val="en-US" w:eastAsia="ja-JP"/>
              </w:rPr>
              <w:t xml:space="preserve"> on-board terminal</w:t>
            </w:r>
          </w:p>
        </w:tc>
        <w:tc>
          <w:tcPr>
            <w:tcW w:w="2552" w:type="dxa"/>
          </w:tcPr>
          <w:p w:rsidR="009F14CE" w:rsidRPr="007B4B7B" w:rsidRDefault="009F14CE" w:rsidP="00836A60">
            <w:pPr>
              <w:pStyle w:val="TableTextS5"/>
              <w:rPr>
                <w:lang w:val="en-US" w:eastAsia="ja-JP"/>
              </w:rPr>
            </w:pPr>
            <w:r w:rsidRPr="007B4B7B">
              <w:rPr>
                <w:lang w:val="en-US" w:eastAsia="ja-JP"/>
              </w:rPr>
              <w:t>RAS earth station</w:t>
            </w:r>
          </w:p>
        </w:tc>
        <w:tc>
          <w:tcPr>
            <w:tcW w:w="2268" w:type="dxa"/>
          </w:tcPr>
          <w:p w:rsidR="009F14CE" w:rsidRPr="007B4B7B" w:rsidRDefault="009F14CE" w:rsidP="00836A60">
            <w:pPr>
              <w:pStyle w:val="TableTextS5"/>
              <w:rPr>
                <w:lang w:val="en-US" w:eastAsia="ja-JP"/>
              </w:rPr>
            </w:pPr>
            <w:proofErr w:type="spellStart"/>
            <w:r w:rsidRPr="007B4B7B">
              <w:rPr>
                <w:lang w:val="en-US" w:eastAsia="ja-JP"/>
              </w:rPr>
              <w:t>P.452</w:t>
            </w:r>
            <w:proofErr w:type="spellEnd"/>
            <w:r w:rsidRPr="007B4B7B">
              <w:rPr>
                <w:lang w:val="en-US" w:eastAsia="ja-JP"/>
              </w:rPr>
              <w:t>-16</w:t>
            </w:r>
          </w:p>
        </w:tc>
      </w:tr>
      <w:tr w:rsidR="009F14CE" w:rsidRPr="007B4B7B">
        <w:tc>
          <w:tcPr>
            <w:tcW w:w="1134" w:type="dxa"/>
          </w:tcPr>
          <w:p w:rsidR="009F14CE" w:rsidRPr="007B4B7B" w:rsidRDefault="009F14CE" w:rsidP="00836A60">
            <w:pPr>
              <w:pStyle w:val="TableTextS5"/>
              <w:jc w:val="center"/>
              <w:rPr>
                <w:lang w:val="en-US" w:eastAsia="ja-JP"/>
              </w:rPr>
            </w:pPr>
            <w:r w:rsidRPr="007B4B7B">
              <w:rPr>
                <w:lang w:val="en-US" w:eastAsia="ja-JP"/>
              </w:rPr>
              <w:t>C-2</w:t>
            </w:r>
          </w:p>
        </w:tc>
        <w:tc>
          <w:tcPr>
            <w:tcW w:w="2268" w:type="dxa"/>
          </w:tcPr>
          <w:p w:rsidR="009F14CE" w:rsidRPr="007B4B7B" w:rsidRDefault="009F14CE" w:rsidP="00836A60">
            <w:pPr>
              <w:pStyle w:val="TableTextS5"/>
              <w:rPr>
                <w:lang w:val="en-US" w:eastAsia="ja-JP"/>
              </w:rPr>
            </w:pPr>
            <w:proofErr w:type="spellStart"/>
            <w:r w:rsidRPr="007B4B7B">
              <w:rPr>
                <w:lang w:val="en-US" w:eastAsia="ja-JP"/>
              </w:rPr>
              <w:t>RSTT</w:t>
            </w:r>
            <w:proofErr w:type="spellEnd"/>
            <w:r w:rsidRPr="007B4B7B">
              <w:rPr>
                <w:lang w:val="en-US" w:eastAsia="ja-JP"/>
              </w:rPr>
              <w:t xml:space="preserve"> trackside station</w:t>
            </w:r>
          </w:p>
        </w:tc>
        <w:tc>
          <w:tcPr>
            <w:tcW w:w="2552" w:type="dxa"/>
          </w:tcPr>
          <w:p w:rsidR="009F14CE" w:rsidRPr="007B4B7B" w:rsidRDefault="009F14CE" w:rsidP="00836A60">
            <w:pPr>
              <w:pStyle w:val="TableTextS5"/>
              <w:rPr>
                <w:lang w:val="en-US" w:eastAsia="ja-JP"/>
              </w:rPr>
            </w:pPr>
            <w:r w:rsidRPr="007B4B7B">
              <w:rPr>
                <w:lang w:val="en-US" w:eastAsia="ja-JP"/>
              </w:rPr>
              <w:t>RAS earth station</w:t>
            </w:r>
          </w:p>
        </w:tc>
        <w:tc>
          <w:tcPr>
            <w:tcW w:w="2268" w:type="dxa"/>
          </w:tcPr>
          <w:p w:rsidR="009F14CE" w:rsidRPr="007B4B7B" w:rsidRDefault="009F14CE" w:rsidP="00836A60">
            <w:pPr>
              <w:pStyle w:val="TableTextS5"/>
              <w:rPr>
                <w:lang w:val="en-US" w:eastAsia="ja-JP"/>
              </w:rPr>
            </w:pPr>
            <w:proofErr w:type="spellStart"/>
            <w:r w:rsidRPr="007B4B7B">
              <w:rPr>
                <w:lang w:val="en-US" w:eastAsia="ja-JP"/>
              </w:rPr>
              <w:t>P.452</w:t>
            </w:r>
            <w:proofErr w:type="spellEnd"/>
            <w:r w:rsidRPr="007B4B7B">
              <w:rPr>
                <w:lang w:val="en-US" w:eastAsia="ja-JP"/>
              </w:rPr>
              <w:t>-16</w:t>
            </w:r>
          </w:p>
        </w:tc>
      </w:tr>
    </w:tbl>
    <w:p w:rsidR="009F14CE" w:rsidRPr="007B4B7B" w:rsidRDefault="009F14CE">
      <w:pPr>
        <w:pStyle w:val="FigureNo"/>
        <w:rPr>
          <w:i/>
          <w:lang w:val="en-US" w:eastAsia="ja-JP"/>
        </w:rPr>
      </w:pPr>
      <w:r w:rsidRPr="007B4B7B">
        <w:rPr>
          <w:lang w:val="en-US"/>
        </w:rPr>
        <w:t xml:space="preserve">FIGURE </w:t>
      </w:r>
      <w:r w:rsidRPr="007B4B7B">
        <w:rPr>
          <w:lang w:val="en-US" w:eastAsia="ja-JP"/>
        </w:rPr>
        <w:t>1</w:t>
      </w:r>
    </w:p>
    <w:p w:rsidR="009F14CE" w:rsidRPr="007B4B7B" w:rsidRDefault="009F14CE" w:rsidP="00836A60">
      <w:pPr>
        <w:pStyle w:val="Figuretitle"/>
        <w:rPr>
          <w:lang w:eastAsia="ja-JP"/>
        </w:rPr>
      </w:pPr>
      <w:r w:rsidRPr="007B4B7B">
        <w:rPr>
          <w:lang w:eastAsia="ja-JP"/>
        </w:rPr>
        <w:t>Illustration of interference scenario</w:t>
      </w:r>
    </w:p>
    <w:p w:rsidR="009F14CE" w:rsidRPr="007B4B7B" w:rsidRDefault="009F14CE" w:rsidP="00836A60">
      <w:pPr>
        <w:pStyle w:val="Figure"/>
        <w:rPr>
          <w:lang w:eastAsia="ja-JP"/>
        </w:rPr>
      </w:pPr>
      <w:r w:rsidRPr="007B4B7B">
        <w:rPr>
          <w:lang w:eastAsia="ja-JP"/>
        </w:rPr>
        <w:t xml:space="preserve"> </w:t>
      </w:r>
      <w:r w:rsidRPr="007B4B7B">
        <w:rPr>
          <w:noProof/>
        </w:rPr>
        <w:drawing>
          <wp:inline distT="0" distB="0" distL="0" distR="0">
            <wp:extent cx="5302250" cy="2692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2250" cy="2692400"/>
                    </a:xfrm>
                    <a:prstGeom prst="rect">
                      <a:avLst/>
                    </a:prstGeom>
                    <a:noFill/>
                    <a:ln>
                      <a:noFill/>
                    </a:ln>
                  </pic:spPr>
                </pic:pic>
              </a:graphicData>
            </a:graphic>
          </wp:inline>
        </w:drawing>
      </w:r>
    </w:p>
    <w:p w:rsidR="009F14CE" w:rsidRPr="007B4B7B" w:rsidRDefault="009F14CE">
      <w:pPr>
        <w:pStyle w:val="Heading2"/>
        <w:rPr>
          <w:bCs/>
          <w:lang w:val="en-US" w:eastAsia="ja-JP"/>
        </w:rPr>
      </w:pPr>
      <w:r w:rsidRPr="007B4B7B">
        <w:rPr>
          <w:lang w:val="en-US" w:eastAsia="ja-JP"/>
        </w:rPr>
        <w:t>8.1</w:t>
      </w:r>
      <w:r w:rsidRPr="007B4B7B">
        <w:rPr>
          <w:lang w:val="en-US"/>
        </w:rPr>
        <w:tab/>
      </w:r>
      <w:r w:rsidRPr="007B4B7B">
        <w:rPr>
          <w:lang w:val="en-US" w:eastAsia="ja-JP"/>
        </w:rPr>
        <w:t>Interference scenario A-1 (</w:t>
      </w:r>
      <w:proofErr w:type="spellStart"/>
      <w:r w:rsidRPr="007B4B7B">
        <w:rPr>
          <w:bCs/>
          <w:lang w:val="en-US" w:eastAsia="ja-JP"/>
        </w:rPr>
        <w:t>RSTT</w:t>
      </w:r>
      <w:proofErr w:type="spellEnd"/>
      <w:r w:rsidRPr="007B4B7B">
        <w:rPr>
          <w:bCs/>
          <w:lang w:val="en-US" w:eastAsia="ja-JP"/>
        </w:rPr>
        <w:t xml:space="preserve"> into</w:t>
      </w:r>
      <w:r w:rsidRPr="007B4B7B">
        <w:rPr>
          <w:lang w:val="en-US"/>
        </w:rPr>
        <w:t xml:space="preserve"> </w:t>
      </w:r>
      <w:proofErr w:type="spellStart"/>
      <w:r w:rsidRPr="007B4B7B">
        <w:rPr>
          <w:bCs/>
          <w:lang w:val="en-US" w:eastAsia="ja-JP"/>
        </w:rPr>
        <w:t>EESS</w:t>
      </w:r>
      <w:proofErr w:type="spellEnd"/>
      <w:r w:rsidRPr="007B4B7B">
        <w:rPr>
          <w:bCs/>
          <w:lang w:val="en-US" w:eastAsia="ja-JP"/>
        </w:rPr>
        <w:t xml:space="preserve"> space station)</w:t>
      </w:r>
    </w:p>
    <w:p w:rsidR="00836A60" w:rsidRPr="007B4B7B" w:rsidRDefault="00836A60" w:rsidP="00836A60">
      <w:pPr>
        <w:rPr>
          <w:lang w:val="en-US" w:eastAsia="ja-JP"/>
        </w:rPr>
      </w:pPr>
    </w:p>
    <w:p w:rsidR="009F14CE" w:rsidRPr="007B4B7B" w:rsidRDefault="009F14CE">
      <w:pPr>
        <w:pStyle w:val="Heading2"/>
        <w:rPr>
          <w:lang w:val="en-US" w:eastAsia="ja-JP"/>
        </w:rPr>
      </w:pPr>
      <w:r w:rsidRPr="007B4B7B">
        <w:rPr>
          <w:lang w:val="en-US" w:eastAsia="ja-JP"/>
        </w:rPr>
        <w:t>8.2</w:t>
      </w:r>
      <w:r w:rsidRPr="007B4B7B">
        <w:rPr>
          <w:lang w:val="en-US"/>
        </w:rPr>
        <w:tab/>
      </w:r>
      <w:r w:rsidRPr="007B4B7B">
        <w:rPr>
          <w:lang w:val="en-US" w:eastAsia="ja-JP"/>
        </w:rPr>
        <w:t>Interference scenario A-2 (</w:t>
      </w:r>
      <w:proofErr w:type="spellStart"/>
      <w:r w:rsidRPr="007B4B7B">
        <w:rPr>
          <w:lang w:val="en-US" w:eastAsia="ja-JP"/>
        </w:rPr>
        <w:t>RSTT</w:t>
      </w:r>
      <w:proofErr w:type="spellEnd"/>
      <w:r w:rsidRPr="007B4B7B">
        <w:rPr>
          <w:lang w:val="en-US" w:eastAsia="ja-JP"/>
        </w:rPr>
        <w:t xml:space="preserve"> FS into </w:t>
      </w:r>
      <w:proofErr w:type="spellStart"/>
      <w:r w:rsidRPr="007B4B7B">
        <w:rPr>
          <w:lang w:val="en-US" w:eastAsia="ja-JP"/>
        </w:rPr>
        <w:t>EESS</w:t>
      </w:r>
      <w:proofErr w:type="spellEnd"/>
      <w:r w:rsidRPr="007B4B7B">
        <w:rPr>
          <w:lang w:val="en-US" w:eastAsia="ja-JP"/>
        </w:rPr>
        <w:t xml:space="preserve"> space station)</w:t>
      </w:r>
    </w:p>
    <w:p w:rsidR="00836A60" w:rsidRPr="007B4B7B" w:rsidRDefault="00836A60" w:rsidP="00836A60">
      <w:pPr>
        <w:rPr>
          <w:lang w:val="en-US" w:eastAsia="ja-JP"/>
        </w:rPr>
      </w:pPr>
    </w:p>
    <w:p w:rsidR="009F14CE" w:rsidRPr="007B4B7B" w:rsidRDefault="009F14CE">
      <w:pPr>
        <w:pStyle w:val="Heading2"/>
        <w:rPr>
          <w:bCs/>
          <w:lang w:val="en-US" w:eastAsia="ja-JP"/>
        </w:rPr>
      </w:pPr>
      <w:r w:rsidRPr="007B4B7B">
        <w:rPr>
          <w:lang w:val="en-US" w:eastAsia="ja-JP"/>
        </w:rPr>
        <w:t>8.3</w:t>
      </w:r>
      <w:r w:rsidRPr="007B4B7B">
        <w:rPr>
          <w:lang w:val="en-US"/>
        </w:rPr>
        <w:tab/>
      </w:r>
      <w:r w:rsidRPr="007B4B7B">
        <w:rPr>
          <w:lang w:val="en-US" w:eastAsia="ja-JP"/>
        </w:rPr>
        <w:t>Interference scenario B-1 (</w:t>
      </w:r>
      <w:proofErr w:type="spellStart"/>
      <w:r w:rsidRPr="007B4B7B">
        <w:rPr>
          <w:bCs/>
          <w:lang w:val="en-US" w:eastAsia="ja-JP"/>
        </w:rPr>
        <w:t>RSTT</w:t>
      </w:r>
      <w:proofErr w:type="spellEnd"/>
      <w:r w:rsidRPr="007B4B7B">
        <w:rPr>
          <w:bCs/>
          <w:lang w:val="en-US" w:eastAsia="ja-JP"/>
        </w:rPr>
        <w:t xml:space="preserve"> into</w:t>
      </w:r>
      <w:r w:rsidRPr="007B4B7B">
        <w:rPr>
          <w:lang w:val="en-US"/>
        </w:rPr>
        <w:t xml:space="preserve"> </w:t>
      </w:r>
      <w:proofErr w:type="spellStart"/>
      <w:r w:rsidRPr="007B4B7B">
        <w:rPr>
          <w:bCs/>
          <w:lang w:val="en-US" w:eastAsia="ja-JP"/>
        </w:rPr>
        <w:t>EESS</w:t>
      </w:r>
      <w:proofErr w:type="spellEnd"/>
      <w:r w:rsidRPr="007B4B7B">
        <w:rPr>
          <w:bCs/>
          <w:lang w:val="en-US" w:eastAsia="ja-JP"/>
        </w:rPr>
        <w:t xml:space="preserve"> space station and vice versa)</w:t>
      </w:r>
    </w:p>
    <w:p w:rsidR="00836A60" w:rsidRPr="007B4B7B" w:rsidRDefault="00836A60" w:rsidP="00836A60">
      <w:pPr>
        <w:rPr>
          <w:lang w:val="en-US" w:eastAsia="ja-JP"/>
        </w:rPr>
      </w:pPr>
    </w:p>
    <w:p w:rsidR="009F14CE" w:rsidRPr="007B4B7B" w:rsidRDefault="009F14CE">
      <w:pPr>
        <w:pStyle w:val="Heading2"/>
        <w:rPr>
          <w:lang w:val="en-US"/>
        </w:rPr>
      </w:pPr>
      <w:r w:rsidRPr="007B4B7B">
        <w:rPr>
          <w:lang w:val="en-US"/>
        </w:rPr>
        <w:t>8.4</w:t>
      </w:r>
      <w:r w:rsidRPr="007B4B7B">
        <w:rPr>
          <w:lang w:val="en-US"/>
        </w:rPr>
        <w:tab/>
        <w:t>Interference scenario B-2 (</w:t>
      </w:r>
      <w:proofErr w:type="spellStart"/>
      <w:r w:rsidRPr="007B4B7B">
        <w:rPr>
          <w:bCs/>
          <w:lang w:val="en-US" w:eastAsia="ja-JP"/>
        </w:rPr>
        <w:t>RSTT</w:t>
      </w:r>
      <w:proofErr w:type="spellEnd"/>
      <w:r w:rsidRPr="007B4B7B">
        <w:rPr>
          <w:bCs/>
          <w:lang w:val="en-US" w:eastAsia="ja-JP"/>
        </w:rPr>
        <w:t xml:space="preserve"> FS into</w:t>
      </w:r>
      <w:r w:rsidRPr="007B4B7B">
        <w:rPr>
          <w:lang w:val="en-US"/>
        </w:rPr>
        <w:t xml:space="preserve"> </w:t>
      </w:r>
      <w:proofErr w:type="spellStart"/>
      <w:r w:rsidRPr="007B4B7B">
        <w:rPr>
          <w:bCs/>
          <w:lang w:val="en-US" w:eastAsia="ja-JP"/>
        </w:rPr>
        <w:t>EESS</w:t>
      </w:r>
      <w:proofErr w:type="spellEnd"/>
      <w:r w:rsidRPr="007B4B7B">
        <w:rPr>
          <w:bCs/>
          <w:lang w:val="en-US" w:eastAsia="ja-JP"/>
        </w:rPr>
        <w:t xml:space="preserve"> station and vice versa</w:t>
      </w:r>
      <w:r w:rsidRPr="007B4B7B">
        <w:rPr>
          <w:lang w:val="en-US"/>
        </w:rPr>
        <w:t>)</w:t>
      </w:r>
    </w:p>
    <w:p w:rsidR="00836A60" w:rsidRPr="007B4B7B" w:rsidRDefault="00836A60" w:rsidP="00836A60">
      <w:pPr>
        <w:rPr>
          <w:lang w:val="en-US"/>
        </w:rPr>
      </w:pPr>
    </w:p>
    <w:p w:rsidR="009F14CE" w:rsidRPr="007B4B7B" w:rsidRDefault="009F14CE">
      <w:pPr>
        <w:pStyle w:val="Heading2"/>
        <w:rPr>
          <w:bCs/>
          <w:lang w:val="en-US" w:eastAsia="ja-JP"/>
        </w:rPr>
      </w:pPr>
      <w:r w:rsidRPr="007B4B7B">
        <w:rPr>
          <w:lang w:val="en-US" w:eastAsia="ja-JP"/>
        </w:rPr>
        <w:t>8.5</w:t>
      </w:r>
      <w:r w:rsidRPr="007B4B7B">
        <w:rPr>
          <w:lang w:val="en-US"/>
        </w:rPr>
        <w:tab/>
      </w:r>
      <w:r w:rsidRPr="007B4B7B">
        <w:rPr>
          <w:lang w:val="en-US" w:eastAsia="ja-JP"/>
        </w:rPr>
        <w:t>Interference scenario C-1 (</w:t>
      </w:r>
      <w:proofErr w:type="spellStart"/>
      <w:r w:rsidRPr="007B4B7B">
        <w:rPr>
          <w:bCs/>
          <w:lang w:val="en-US" w:eastAsia="ja-JP"/>
        </w:rPr>
        <w:t>RSTT</w:t>
      </w:r>
      <w:proofErr w:type="spellEnd"/>
      <w:r w:rsidRPr="007B4B7B">
        <w:rPr>
          <w:bCs/>
          <w:lang w:val="en-US" w:eastAsia="ja-JP"/>
        </w:rPr>
        <w:t xml:space="preserve"> into</w:t>
      </w:r>
      <w:r w:rsidRPr="007B4B7B">
        <w:rPr>
          <w:lang w:val="en-US"/>
        </w:rPr>
        <w:t xml:space="preserve"> </w:t>
      </w:r>
      <w:r w:rsidRPr="007B4B7B">
        <w:rPr>
          <w:bCs/>
          <w:lang w:val="en-US" w:eastAsia="ja-JP"/>
        </w:rPr>
        <w:t>RAS earth station)</w:t>
      </w:r>
    </w:p>
    <w:p w:rsidR="00836A60" w:rsidRPr="007B4B7B" w:rsidRDefault="00836A60" w:rsidP="00836A60">
      <w:pPr>
        <w:rPr>
          <w:lang w:val="en-US" w:eastAsia="ja-JP"/>
        </w:rPr>
      </w:pPr>
    </w:p>
    <w:p w:rsidR="009F14CE" w:rsidRDefault="009F14CE">
      <w:pPr>
        <w:pStyle w:val="Heading2"/>
        <w:rPr>
          <w:lang w:val="en-US"/>
        </w:rPr>
      </w:pPr>
      <w:r w:rsidRPr="007B4B7B">
        <w:rPr>
          <w:lang w:val="en-US"/>
        </w:rPr>
        <w:lastRenderedPageBreak/>
        <w:t>8.6</w:t>
      </w:r>
      <w:r w:rsidRPr="007B4B7B">
        <w:rPr>
          <w:lang w:val="en-US"/>
        </w:rPr>
        <w:tab/>
        <w:t>Interference scenario C-2 (</w:t>
      </w:r>
      <w:proofErr w:type="spellStart"/>
      <w:r w:rsidRPr="007B4B7B">
        <w:rPr>
          <w:bCs/>
          <w:lang w:val="en-US" w:eastAsia="ja-JP"/>
        </w:rPr>
        <w:t>RSTT</w:t>
      </w:r>
      <w:proofErr w:type="spellEnd"/>
      <w:r w:rsidRPr="007B4B7B">
        <w:rPr>
          <w:bCs/>
          <w:lang w:val="en-US" w:eastAsia="ja-JP"/>
        </w:rPr>
        <w:t xml:space="preserve"> FS into</w:t>
      </w:r>
      <w:r w:rsidRPr="007B4B7B">
        <w:rPr>
          <w:lang w:val="en-US"/>
        </w:rPr>
        <w:t xml:space="preserve"> </w:t>
      </w:r>
      <w:r w:rsidRPr="007B4B7B">
        <w:rPr>
          <w:bCs/>
          <w:lang w:val="en-US" w:eastAsia="ja-JP"/>
        </w:rPr>
        <w:t>RAS earth station</w:t>
      </w:r>
      <w:r w:rsidRPr="007B4B7B">
        <w:rPr>
          <w:lang w:val="en-US"/>
        </w:rPr>
        <w:t>)</w:t>
      </w:r>
    </w:p>
    <w:p w:rsidR="008A3B25" w:rsidRPr="008A3B25" w:rsidRDefault="008A3B25" w:rsidP="008A3B25">
      <w:pPr>
        <w:rPr>
          <w:lang w:val="en-US"/>
        </w:rPr>
      </w:pPr>
    </w:p>
    <w:p w:rsidR="009F14CE" w:rsidRPr="007B4B7B" w:rsidRDefault="009F14CE">
      <w:pPr>
        <w:pStyle w:val="Heading1"/>
        <w:rPr>
          <w:lang w:val="en-US"/>
        </w:rPr>
      </w:pPr>
      <w:r w:rsidRPr="007B4B7B">
        <w:rPr>
          <w:lang w:val="en-US"/>
        </w:rPr>
        <w:t>9</w:t>
      </w:r>
      <w:r w:rsidRPr="007B4B7B">
        <w:rPr>
          <w:lang w:val="en-US"/>
        </w:rPr>
        <w:tab/>
        <w:t>Sharing and compatibility studies</w:t>
      </w:r>
    </w:p>
    <w:p w:rsidR="009F14CE" w:rsidRPr="007B4B7B" w:rsidRDefault="009F14CE">
      <w:pPr>
        <w:pStyle w:val="Heading2"/>
        <w:rPr>
          <w:lang w:val="en-US" w:eastAsia="ja-JP"/>
        </w:rPr>
      </w:pPr>
      <w:r w:rsidRPr="007B4B7B">
        <w:rPr>
          <w:lang w:val="en-US"/>
        </w:rPr>
        <w:t>9.1</w:t>
      </w:r>
      <w:r w:rsidRPr="007B4B7B">
        <w:rPr>
          <w:lang w:val="en-US"/>
        </w:rPr>
        <w:tab/>
        <w:t xml:space="preserve">Compatibility studies for </w:t>
      </w:r>
      <w:r w:rsidRPr="007B4B7B">
        <w:rPr>
          <w:lang w:val="en-US" w:eastAsia="ja-JP"/>
        </w:rPr>
        <w:t>earth exploration-satellite service (passive)</w:t>
      </w:r>
    </w:p>
    <w:p w:rsidR="00836A60" w:rsidRPr="007B4B7B" w:rsidRDefault="00836A60" w:rsidP="00836A60">
      <w:pPr>
        <w:rPr>
          <w:lang w:val="en-US" w:eastAsia="ja-JP"/>
        </w:rPr>
      </w:pPr>
    </w:p>
    <w:p w:rsidR="009F14CE" w:rsidRPr="007B4B7B" w:rsidRDefault="009F14CE">
      <w:pPr>
        <w:pStyle w:val="Heading2"/>
        <w:rPr>
          <w:lang w:val="en-US" w:eastAsia="ja-JP"/>
        </w:rPr>
      </w:pPr>
      <w:r w:rsidRPr="007B4B7B">
        <w:rPr>
          <w:lang w:val="en-US"/>
        </w:rPr>
        <w:t>9.2</w:t>
      </w:r>
      <w:r w:rsidRPr="007B4B7B">
        <w:rPr>
          <w:lang w:val="en-US"/>
        </w:rPr>
        <w:tab/>
        <w:t xml:space="preserve">Compatibility studies for </w:t>
      </w:r>
      <w:r w:rsidRPr="007B4B7B">
        <w:rPr>
          <w:lang w:val="en-US" w:eastAsia="ja-JP"/>
        </w:rPr>
        <w:t>earth exploration-satellite service (active)</w:t>
      </w:r>
    </w:p>
    <w:p w:rsidR="00836A60" w:rsidRPr="007B4B7B" w:rsidRDefault="00836A60" w:rsidP="00836A60">
      <w:pPr>
        <w:rPr>
          <w:lang w:val="en-US" w:eastAsia="ja-JP"/>
        </w:rPr>
      </w:pPr>
    </w:p>
    <w:p w:rsidR="009F14CE" w:rsidRPr="007B4B7B" w:rsidRDefault="009F14CE">
      <w:pPr>
        <w:pStyle w:val="Heading2"/>
        <w:rPr>
          <w:lang w:val="en-US"/>
        </w:rPr>
      </w:pPr>
      <w:r w:rsidRPr="007B4B7B">
        <w:rPr>
          <w:lang w:val="en-US"/>
        </w:rPr>
        <w:t>9.3</w:t>
      </w:r>
      <w:r w:rsidRPr="007B4B7B">
        <w:rPr>
          <w:lang w:val="en-US"/>
        </w:rPr>
        <w:tab/>
        <w:t>Sharing studies for radio astronomy service</w:t>
      </w:r>
    </w:p>
    <w:p w:rsidR="009F14CE" w:rsidRPr="007B4B7B" w:rsidRDefault="009F14CE">
      <w:pPr>
        <w:rPr>
          <w:lang w:val="en-US" w:eastAsia="ja-JP" w:bidi="he-IL"/>
        </w:rPr>
      </w:pPr>
      <w:r w:rsidRPr="007B4B7B">
        <w:rPr>
          <w:lang w:val="en-US" w:eastAsia="ja-JP" w:bidi="he-IL"/>
        </w:rPr>
        <w:t xml:space="preserve">The bands 92-94 GHz, 94.1-100 GHz and 102-109.5 GHz are allocated on an equal primary basis to the mobile service and radio astronomy service including other </w:t>
      </w:r>
      <w:proofErr w:type="spellStart"/>
      <w:r w:rsidRPr="007B4B7B">
        <w:rPr>
          <w:lang w:val="en-US" w:eastAsia="ja-JP" w:bidi="he-IL"/>
        </w:rPr>
        <w:t>radiocommunication</w:t>
      </w:r>
      <w:proofErr w:type="spellEnd"/>
      <w:r w:rsidRPr="007B4B7B">
        <w:rPr>
          <w:lang w:val="en-US" w:eastAsia="ja-JP" w:bidi="he-IL"/>
        </w:rPr>
        <w:t xml:space="preserve"> services in all three Regions. The protection criterion used is derived from Recommendation </w:t>
      </w:r>
      <w:proofErr w:type="spellStart"/>
      <w:r w:rsidRPr="007B4B7B">
        <w:rPr>
          <w:lang w:val="en-US" w:eastAsia="ja-JP" w:bidi="he-IL"/>
        </w:rPr>
        <w:t>ITU</w:t>
      </w:r>
      <w:proofErr w:type="spellEnd"/>
      <w:r w:rsidRPr="007B4B7B">
        <w:rPr>
          <w:lang w:val="en-US" w:eastAsia="ja-JP" w:bidi="he-IL"/>
        </w:rPr>
        <w:t xml:space="preserve">-R </w:t>
      </w:r>
      <w:proofErr w:type="spellStart"/>
      <w:r w:rsidRPr="007B4B7B">
        <w:rPr>
          <w:lang w:val="en-US" w:eastAsia="ja-JP" w:bidi="he-IL"/>
        </w:rPr>
        <w:t>RA.769</w:t>
      </w:r>
      <w:proofErr w:type="spellEnd"/>
      <w:r w:rsidRPr="007B4B7B">
        <w:rPr>
          <w:lang w:val="en-US" w:eastAsia="ja-JP" w:bidi="he-IL"/>
        </w:rPr>
        <w:t>-2. The received power level at the radiometer is calculated by the following equation:</w:t>
      </w:r>
    </w:p>
    <w:p w:rsidR="009F14CE" w:rsidRPr="007B4B7B" w:rsidRDefault="009F14CE" w:rsidP="00836A60">
      <w:pPr>
        <w:pStyle w:val="Equation"/>
        <w:rPr>
          <w:lang w:val="en-US"/>
        </w:rPr>
      </w:pPr>
      <w:r w:rsidRPr="007B4B7B">
        <w:rPr>
          <w:lang w:val="en-US" w:eastAsia="ja-JP"/>
        </w:rPr>
        <w:tab/>
      </w:r>
      <w:r w:rsidR="004F34AD" w:rsidRPr="007B4B7B">
        <w:rPr>
          <w:lang w:val="en-US" w:eastAsia="ja-JP"/>
        </w:rPr>
        <w:tab/>
      </w:r>
      <w:proofErr w:type="spellStart"/>
      <w:r w:rsidRPr="007B4B7B">
        <w:rPr>
          <w:i/>
          <w:iCs/>
          <w:lang w:val="en-US" w:eastAsia="ja-JP"/>
        </w:rPr>
        <w:t>P</w:t>
      </w:r>
      <w:r w:rsidRPr="007B4B7B">
        <w:rPr>
          <w:i/>
          <w:iCs/>
          <w:vertAlign w:val="subscript"/>
          <w:lang w:val="en-US" w:eastAsia="ja-JP"/>
        </w:rPr>
        <w:t>769</w:t>
      </w:r>
      <w:r w:rsidRPr="007B4B7B">
        <w:rPr>
          <w:rFonts w:ascii="SimSun" w:eastAsia="SimSun" w:hAnsi="SimSun" w:cs="SimSun"/>
          <w:i/>
          <w:iCs/>
          <w:lang w:val="en-US"/>
        </w:rPr>
        <w:t>＝</w:t>
      </w:r>
      <w:r w:rsidRPr="007B4B7B">
        <w:rPr>
          <w:i/>
          <w:iCs/>
          <w:lang w:val="en-US" w:eastAsia="ja-JP"/>
        </w:rPr>
        <w:t>Pt</w:t>
      </w:r>
      <w:r w:rsidRPr="007B4B7B">
        <w:rPr>
          <w:i/>
          <w:iCs/>
          <w:lang w:val="en-US"/>
        </w:rPr>
        <w:t>+G-Loss-</w:t>
      </w:r>
      <w:proofErr w:type="gramStart"/>
      <w:r w:rsidRPr="007B4B7B">
        <w:rPr>
          <w:i/>
          <w:iCs/>
          <w:lang w:val="en-US"/>
        </w:rPr>
        <w:t>J</w:t>
      </w:r>
      <w:proofErr w:type="spellEnd"/>
      <w:r w:rsidRPr="007B4B7B">
        <w:rPr>
          <w:lang w:val="en-US"/>
        </w:rPr>
        <w:t>(</w:t>
      </w:r>
      <w:proofErr w:type="gramEnd"/>
      <w:r w:rsidRPr="007B4B7B">
        <w:rPr>
          <w:lang w:val="en-US"/>
        </w:rPr>
        <w:t>ν)</w:t>
      </w:r>
    </w:p>
    <w:p w:rsidR="009F14CE" w:rsidRPr="00EF62CC" w:rsidRDefault="004F34AD" w:rsidP="004F34AD">
      <w:pPr>
        <w:pStyle w:val="Equation"/>
        <w:rPr>
          <w:lang w:val="de-CH"/>
        </w:rPr>
      </w:pPr>
      <w:r w:rsidRPr="007B4B7B">
        <w:rPr>
          <w:rFonts w:ascii="SimSun" w:eastAsia="SimSun" w:hAnsi="SimSun" w:cs="SimSun"/>
          <w:lang w:val="en-US"/>
        </w:rPr>
        <w:tab/>
      </w:r>
      <w:r w:rsidRPr="007B4B7B">
        <w:rPr>
          <w:rFonts w:ascii="SimSun" w:eastAsia="SimSun" w:hAnsi="SimSun" w:cs="SimSun"/>
          <w:lang w:val="en-US"/>
        </w:rPr>
        <w:tab/>
      </w:r>
      <w:r w:rsidR="009F14CE" w:rsidRPr="00EF62CC">
        <w:rPr>
          <w:rFonts w:ascii="SimSun" w:eastAsia="SimSun" w:hAnsi="SimSun" w:cs="SimSun"/>
          <w:lang w:val="de-CH"/>
        </w:rPr>
        <w:t>＝</w:t>
      </w:r>
      <w:r w:rsidR="009F14CE" w:rsidRPr="00EF62CC">
        <w:rPr>
          <w:i/>
          <w:iCs/>
          <w:lang w:val="de-CH" w:eastAsia="ja-JP"/>
        </w:rPr>
        <w:t>Pt</w:t>
      </w:r>
      <w:r w:rsidR="009F14CE" w:rsidRPr="00EF62CC">
        <w:rPr>
          <w:i/>
          <w:iCs/>
          <w:lang w:val="de-CH"/>
        </w:rPr>
        <w:t>+G</w:t>
      </w:r>
      <w:r w:rsidR="009F14CE" w:rsidRPr="00EF62CC">
        <w:rPr>
          <w:lang w:val="de-CH"/>
        </w:rPr>
        <w:t>-(92.5+20*</w:t>
      </w:r>
      <w:proofErr w:type="gramStart"/>
      <w:r w:rsidR="009F14CE" w:rsidRPr="00EF62CC">
        <w:rPr>
          <w:lang w:val="de-CH"/>
        </w:rPr>
        <w:t>log(</w:t>
      </w:r>
      <w:proofErr w:type="gramEnd"/>
      <w:r w:rsidR="009F14CE" w:rsidRPr="00EF62CC">
        <w:rPr>
          <w:i/>
          <w:iCs/>
          <w:lang w:val="de-CH"/>
        </w:rPr>
        <w:t>f</w:t>
      </w:r>
      <w:r w:rsidR="009F14CE" w:rsidRPr="00EF62CC">
        <w:rPr>
          <w:lang w:val="de-CH"/>
        </w:rPr>
        <w:t>)+20*log(</w:t>
      </w:r>
      <w:r w:rsidR="009F14CE" w:rsidRPr="00EF62CC">
        <w:rPr>
          <w:i/>
          <w:iCs/>
          <w:lang w:val="de-CH"/>
        </w:rPr>
        <w:t>d</w:t>
      </w:r>
      <w:r w:rsidR="009F14CE" w:rsidRPr="00EF62CC">
        <w:rPr>
          <w:lang w:val="de-CH"/>
        </w:rPr>
        <w:t>)+</w:t>
      </w:r>
      <w:r w:rsidR="009F14CE" w:rsidRPr="00EF62CC">
        <w:rPr>
          <w:i/>
          <w:iCs/>
          <w:lang w:val="de-CH"/>
        </w:rPr>
        <w:t>Ag</w:t>
      </w:r>
      <w:r w:rsidR="009F14CE" w:rsidRPr="00EF62CC">
        <w:rPr>
          <w:lang w:val="de-CH"/>
        </w:rPr>
        <w:t>)-</w:t>
      </w:r>
      <w:r w:rsidR="009F14CE" w:rsidRPr="00EF62CC">
        <w:rPr>
          <w:i/>
          <w:iCs/>
          <w:lang w:val="de-CH"/>
        </w:rPr>
        <w:t>J</w:t>
      </w:r>
      <w:r w:rsidR="009F14CE" w:rsidRPr="00EF62CC">
        <w:rPr>
          <w:lang w:val="de-CH"/>
        </w:rPr>
        <w:t>(</w:t>
      </w:r>
      <w:r w:rsidR="009F14CE" w:rsidRPr="007B4B7B">
        <w:rPr>
          <w:lang w:val="en-US"/>
        </w:rPr>
        <w:t>ν</w:t>
      </w:r>
      <w:r w:rsidR="009F14CE" w:rsidRPr="00EF62CC">
        <w:rPr>
          <w:lang w:val="de-CH"/>
        </w:rPr>
        <w:t xml:space="preserve">) </w:t>
      </w:r>
    </w:p>
    <w:p w:rsidR="009F14CE" w:rsidRPr="007B4B7B" w:rsidRDefault="009F14CE">
      <w:pPr>
        <w:spacing w:before="0"/>
        <w:rPr>
          <w:rFonts w:asciiTheme="majorBidi" w:hAnsiTheme="majorBidi" w:cstheme="majorBidi"/>
          <w:lang w:val="en-US" w:eastAsia="ja-JP"/>
        </w:rPr>
      </w:pPr>
      <w:proofErr w:type="gramStart"/>
      <w:r w:rsidRPr="007B4B7B">
        <w:rPr>
          <w:rFonts w:asciiTheme="majorBidi" w:hAnsiTheme="majorBidi" w:cstheme="majorBidi"/>
          <w:lang w:val="en-US" w:eastAsia="ja-JP"/>
        </w:rPr>
        <w:t>where</w:t>
      </w:r>
      <w:proofErr w:type="gramEnd"/>
      <w:r w:rsidR="00D07FF2" w:rsidRPr="007B4B7B">
        <w:rPr>
          <w:rFonts w:asciiTheme="majorBidi" w:hAnsiTheme="majorBidi" w:cstheme="majorBidi"/>
          <w:lang w:val="en-US" w:eastAsia="ja-JP"/>
        </w:rPr>
        <w:t>:</w:t>
      </w:r>
    </w:p>
    <w:p w:rsidR="009F14CE" w:rsidRPr="007B4B7B" w:rsidRDefault="009F14CE">
      <w:pPr>
        <w:pStyle w:val="Equationlegend"/>
        <w:spacing w:before="0"/>
        <w:ind w:left="0" w:firstLine="0"/>
        <w:rPr>
          <w:rFonts w:eastAsia="SimSun"/>
          <w:lang w:val="en-US" w:eastAsia="zh-CN"/>
        </w:rPr>
      </w:pPr>
      <w:r w:rsidRPr="007B4B7B">
        <w:rPr>
          <w:rFonts w:eastAsia="SimSun"/>
          <w:lang w:val="en-US" w:eastAsia="zh-CN"/>
        </w:rPr>
        <w:tab/>
      </w:r>
      <w:r w:rsidRPr="007B4B7B">
        <w:rPr>
          <w:rFonts w:eastAsia="SimSun"/>
          <w:i/>
          <w:lang w:val="en-US" w:eastAsia="zh-CN"/>
        </w:rPr>
        <w:t>Pt</w:t>
      </w:r>
      <w:r w:rsidRPr="007B4B7B">
        <w:rPr>
          <w:rFonts w:eastAsia="SimSun"/>
          <w:lang w:val="en-US" w:eastAsia="zh-CN"/>
        </w:rPr>
        <w:t xml:space="preserve">: </w:t>
      </w:r>
      <w:r w:rsidRPr="007B4B7B">
        <w:rPr>
          <w:rFonts w:eastAsia="SimSun"/>
          <w:lang w:val="en-US" w:eastAsia="zh-CN"/>
        </w:rPr>
        <w:tab/>
        <w:t>transmission power of on-board equipment;</w:t>
      </w:r>
    </w:p>
    <w:p w:rsidR="009F14CE" w:rsidRPr="007B4B7B" w:rsidRDefault="009F14CE">
      <w:pPr>
        <w:pStyle w:val="Equationlegend"/>
        <w:rPr>
          <w:rFonts w:asciiTheme="majorBidi" w:eastAsia="SimSun" w:hAnsiTheme="majorBidi" w:cstheme="majorBidi"/>
          <w:lang w:val="en-US" w:eastAsia="zh-CN"/>
        </w:rPr>
      </w:pPr>
      <w:r w:rsidRPr="007B4B7B">
        <w:rPr>
          <w:rFonts w:asciiTheme="majorBidi" w:eastAsia="SimSun" w:hAnsiTheme="majorBidi" w:cstheme="majorBidi"/>
          <w:szCs w:val="24"/>
          <w:lang w:val="en-US" w:eastAsia="zh-CN"/>
        </w:rPr>
        <w:tab/>
      </w:r>
      <w:r w:rsidRPr="007B4B7B">
        <w:rPr>
          <w:rFonts w:asciiTheme="majorBidi" w:eastAsia="SimSun" w:hAnsiTheme="majorBidi" w:cstheme="majorBidi"/>
          <w:i/>
          <w:szCs w:val="24"/>
          <w:lang w:val="en-US" w:eastAsia="zh-CN"/>
        </w:rPr>
        <w:t>G</w:t>
      </w:r>
      <w:r w:rsidRPr="007B4B7B">
        <w:rPr>
          <w:rFonts w:asciiTheme="majorBidi" w:eastAsia="SimSun" w:hAnsiTheme="majorBidi" w:cstheme="majorBidi"/>
          <w:szCs w:val="24"/>
          <w:lang w:val="en-US" w:eastAsia="zh-CN"/>
        </w:rPr>
        <w:t xml:space="preserve">: </w:t>
      </w:r>
      <w:r w:rsidRPr="007B4B7B">
        <w:rPr>
          <w:rFonts w:asciiTheme="majorBidi" w:eastAsia="SimSun" w:hAnsiTheme="majorBidi" w:cstheme="majorBidi"/>
          <w:szCs w:val="24"/>
          <w:lang w:val="en-US" w:eastAsia="zh-CN"/>
        </w:rPr>
        <w:tab/>
        <w:t xml:space="preserve">Antenna </w:t>
      </w:r>
      <w:r w:rsidRPr="007B4B7B">
        <w:rPr>
          <w:rFonts w:eastAsia="SimSun"/>
          <w:lang w:val="en-US" w:eastAsia="zh-CN"/>
        </w:rPr>
        <w:t>gain</w:t>
      </w:r>
      <w:r w:rsidRPr="007B4B7B">
        <w:rPr>
          <w:rFonts w:asciiTheme="majorBidi" w:eastAsia="SimSun" w:hAnsiTheme="majorBidi" w:cstheme="majorBidi"/>
          <w:szCs w:val="24"/>
          <w:lang w:val="en-US" w:eastAsia="zh-CN"/>
        </w:rPr>
        <w:t>;</w:t>
      </w:r>
    </w:p>
    <w:p w:rsidR="009F14CE" w:rsidRPr="007B4B7B" w:rsidRDefault="009F14CE">
      <w:pPr>
        <w:pStyle w:val="Equationlegend"/>
        <w:rPr>
          <w:rFonts w:asciiTheme="majorBidi" w:eastAsia="SimSun" w:hAnsiTheme="majorBidi" w:cstheme="majorBidi"/>
          <w:lang w:val="en-US" w:eastAsia="zh-CN"/>
        </w:rPr>
      </w:pPr>
      <w:r w:rsidRPr="007B4B7B">
        <w:rPr>
          <w:rFonts w:asciiTheme="majorBidi" w:eastAsia="SimSun" w:hAnsiTheme="majorBidi" w:cstheme="majorBidi"/>
          <w:szCs w:val="24"/>
          <w:lang w:val="en-US" w:eastAsia="zh-CN"/>
        </w:rPr>
        <w:tab/>
      </w:r>
      <w:proofErr w:type="gramStart"/>
      <w:r w:rsidRPr="007B4B7B">
        <w:rPr>
          <w:rFonts w:asciiTheme="majorBidi" w:eastAsia="SimSun" w:hAnsiTheme="majorBidi" w:cstheme="majorBidi"/>
          <w:i/>
          <w:szCs w:val="24"/>
          <w:lang w:val="en-US" w:eastAsia="zh-CN"/>
        </w:rPr>
        <w:t>d</w:t>
      </w:r>
      <w:proofErr w:type="gramEnd"/>
      <w:r w:rsidRPr="007B4B7B">
        <w:rPr>
          <w:rFonts w:asciiTheme="majorBidi" w:eastAsia="SimSun" w:hAnsiTheme="majorBidi" w:cstheme="majorBidi"/>
          <w:szCs w:val="24"/>
          <w:lang w:val="en-US" w:eastAsia="zh-CN"/>
        </w:rPr>
        <w:t xml:space="preserve">: </w:t>
      </w:r>
      <w:r w:rsidRPr="007B4B7B">
        <w:rPr>
          <w:rFonts w:asciiTheme="majorBidi" w:eastAsia="SimSun" w:hAnsiTheme="majorBidi" w:cstheme="majorBidi"/>
          <w:szCs w:val="24"/>
          <w:lang w:val="en-US" w:eastAsia="zh-CN"/>
        </w:rPr>
        <w:tab/>
        <w:t xml:space="preserve">Separation </w:t>
      </w:r>
      <w:r w:rsidRPr="007B4B7B">
        <w:rPr>
          <w:rFonts w:eastAsia="SimSun"/>
          <w:lang w:val="en-US" w:eastAsia="zh-CN"/>
        </w:rPr>
        <w:t>distance</w:t>
      </w:r>
      <w:r w:rsidRPr="007B4B7B">
        <w:rPr>
          <w:rFonts w:asciiTheme="majorBidi" w:eastAsia="SimSun" w:hAnsiTheme="majorBidi" w:cstheme="majorBidi"/>
          <w:szCs w:val="24"/>
          <w:lang w:val="en-US" w:eastAsia="zh-CN"/>
        </w:rPr>
        <w:t>;</w:t>
      </w:r>
    </w:p>
    <w:p w:rsidR="009F14CE" w:rsidRPr="007B4B7B" w:rsidRDefault="009F14CE">
      <w:pPr>
        <w:pStyle w:val="Equationlegend"/>
        <w:rPr>
          <w:rFonts w:asciiTheme="majorBidi" w:hAnsiTheme="majorBidi" w:cstheme="majorBidi"/>
          <w:lang w:val="en-US" w:eastAsia="zh-CN"/>
        </w:rPr>
      </w:pPr>
      <w:r w:rsidRPr="007B4B7B">
        <w:rPr>
          <w:rFonts w:asciiTheme="majorBidi" w:eastAsia="SimSun" w:hAnsiTheme="majorBidi" w:cstheme="majorBidi"/>
          <w:szCs w:val="24"/>
          <w:lang w:val="en-US" w:eastAsia="zh-CN"/>
        </w:rPr>
        <w:tab/>
      </w:r>
      <w:r w:rsidRPr="007B4B7B">
        <w:rPr>
          <w:rFonts w:asciiTheme="majorBidi" w:hAnsiTheme="majorBidi" w:cstheme="majorBidi"/>
          <w:i/>
          <w:iCs/>
          <w:szCs w:val="24"/>
          <w:lang w:val="en-US" w:eastAsia="zh-CN"/>
        </w:rPr>
        <w:t>L</w:t>
      </w:r>
      <w:r w:rsidRPr="007B4B7B">
        <w:rPr>
          <w:rFonts w:asciiTheme="majorBidi" w:hAnsiTheme="majorBidi" w:cstheme="majorBidi"/>
          <w:sz w:val="16"/>
          <w:szCs w:val="16"/>
          <w:lang w:val="en-US" w:eastAsia="zh-CN"/>
        </w:rPr>
        <w:t>oss</w:t>
      </w:r>
      <w:r w:rsidRPr="007B4B7B">
        <w:rPr>
          <w:rFonts w:asciiTheme="majorBidi" w:hAnsiTheme="majorBidi" w:cstheme="majorBidi"/>
          <w:szCs w:val="24"/>
          <w:lang w:val="en-US" w:eastAsia="zh-CN"/>
        </w:rPr>
        <w:t xml:space="preserve">: </w:t>
      </w:r>
      <w:r w:rsidRPr="007B4B7B">
        <w:rPr>
          <w:rFonts w:asciiTheme="majorBidi" w:hAnsiTheme="majorBidi" w:cstheme="majorBidi"/>
          <w:szCs w:val="24"/>
          <w:lang w:val="en-US" w:eastAsia="zh-CN"/>
        </w:rPr>
        <w:tab/>
        <w:t xml:space="preserve">Propagation </w:t>
      </w:r>
      <w:r w:rsidRPr="007B4B7B">
        <w:rPr>
          <w:rFonts w:eastAsia="SimSun"/>
          <w:lang w:val="en-US" w:eastAsia="zh-CN"/>
        </w:rPr>
        <w:t>loss</w:t>
      </w:r>
      <w:r w:rsidRPr="007B4B7B">
        <w:rPr>
          <w:rFonts w:asciiTheme="majorBidi" w:hAnsiTheme="majorBidi" w:cstheme="majorBidi"/>
          <w:szCs w:val="24"/>
          <w:lang w:val="en-US" w:eastAsia="zh-CN"/>
        </w:rPr>
        <w:t xml:space="preserve"> given by Recommendation </w:t>
      </w:r>
      <w:proofErr w:type="spellStart"/>
      <w:r w:rsidRPr="007B4B7B">
        <w:rPr>
          <w:rFonts w:asciiTheme="majorBidi" w:hAnsiTheme="majorBidi" w:cstheme="majorBidi"/>
          <w:szCs w:val="24"/>
          <w:lang w:val="en-US" w:eastAsia="zh-CN"/>
        </w:rPr>
        <w:t>ITU</w:t>
      </w:r>
      <w:proofErr w:type="spellEnd"/>
      <w:r w:rsidRPr="007B4B7B">
        <w:rPr>
          <w:rFonts w:asciiTheme="majorBidi" w:hAnsiTheme="majorBidi" w:cstheme="majorBidi"/>
          <w:szCs w:val="24"/>
          <w:lang w:val="en-US" w:eastAsia="zh-CN"/>
        </w:rPr>
        <w:t xml:space="preserve">-R </w:t>
      </w:r>
      <w:proofErr w:type="spellStart"/>
      <w:r w:rsidRPr="007B4B7B">
        <w:rPr>
          <w:rFonts w:asciiTheme="majorBidi" w:hAnsiTheme="majorBidi" w:cstheme="majorBidi"/>
          <w:szCs w:val="24"/>
          <w:lang w:val="en-US" w:eastAsia="zh-CN"/>
        </w:rPr>
        <w:t>P.452</w:t>
      </w:r>
      <w:proofErr w:type="spellEnd"/>
      <w:r w:rsidRPr="007B4B7B">
        <w:rPr>
          <w:rFonts w:asciiTheme="majorBidi" w:hAnsiTheme="majorBidi" w:cstheme="majorBidi"/>
          <w:szCs w:val="24"/>
          <w:lang w:val="en-US" w:eastAsia="zh-CN"/>
        </w:rPr>
        <w:t>-16;</w:t>
      </w:r>
    </w:p>
    <w:p w:rsidR="009F14CE" w:rsidRPr="007B4B7B" w:rsidRDefault="009F14CE">
      <w:pPr>
        <w:pStyle w:val="Equationlegend"/>
        <w:rPr>
          <w:sz w:val="23"/>
          <w:szCs w:val="23"/>
          <w:lang w:val="en-US"/>
        </w:rPr>
      </w:pPr>
      <w:r w:rsidRPr="007B4B7B">
        <w:rPr>
          <w:rFonts w:ascii="TimesNewRoman" w:eastAsia="SimSun" w:hAnsi="TimesNewRoman" w:cs="TimesNewRoman"/>
          <w:szCs w:val="24"/>
          <w:lang w:val="en-US" w:eastAsia="zh-CN"/>
        </w:rPr>
        <w:tab/>
      </w:r>
      <w:proofErr w:type="gramStart"/>
      <w:r w:rsidRPr="007B4B7B">
        <w:rPr>
          <w:rFonts w:ascii="SimSun" w:hAnsi="SimSun"/>
          <w:i/>
          <w:lang w:val="en-US"/>
        </w:rPr>
        <w:t>J(</w:t>
      </w:r>
      <w:proofErr w:type="gramEnd"/>
      <w:r w:rsidRPr="007B4B7B">
        <w:rPr>
          <w:rFonts w:ascii="SimSun" w:hAnsi="SimSun"/>
          <w:i/>
          <w:lang w:val="en-US"/>
        </w:rPr>
        <w:t>ν)</w:t>
      </w:r>
      <w:r w:rsidRPr="007B4B7B">
        <w:rPr>
          <w:rFonts w:ascii="SimSun" w:hAnsi="SimSun"/>
          <w:lang w:val="en-US"/>
        </w:rPr>
        <w:t>:</w:t>
      </w:r>
      <w:r w:rsidRPr="007B4B7B">
        <w:rPr>
          <w:sz w:val="23"/>
          <w:szCs w:val="23"/>
          <w:lang w:val="en-US"/>
        </w:rPr>
        <w:t xml:space="preserve"> </w:t>
      </w:r>
      <w:r w:rsidRPr="007B4B7B">
        <w:rPr>
          <w:sz w:val="23"/>
          <w:szCs w:val="23"/>
          <w:lang w:val="en-US"/>
        </w:rPr>
        <w:tab/>
        <w:t>Knife-</w:t>
      </w:r>
      <w:r w:rsidRPr="007B4B7B">
        <w:rPr>
          <w:rFonts w:eastAsia="SimSun"/>
          <w:lang w:val="en-US" w:eastAsia="zh-CN"/>
        </w:rPr>
        <w:t>edge</w:t>
      </w:r>
      <w:r w:rsidRPr="007B4B7B">
        <w:rPr>
          <w:sz w:val="23"/>
          <w:szCs w:val="23"/>
          <w:lang w:val="en-US"/>
        </w:rPr>
        <w:t xml:space="preserve"> diffraction loss given by Recommendation </w:t>
      </w:r>
      <w:proofErr w:type="spellStart"/>
      <w:r w:rsidRPr="007B4B7B">
        <w:rPr>
          <w:sz w:val="23"/>
          <w:szCs w:val="23"/>
          <w:lang w:val="en-US"/>
        </w:rPr>
        <w:t>ITU</w:t>
      </w:r>
      <w:proofErr w:type="spellEnd"/>
      <w:r w:rsidRPr="007B4B7B">
        <w:rPr>
          <w:sz w:val="23"/>
          <w:szCs w:val="23"/>
          <w:lang w:val="en-US"/>
        </w:rPr>
        <w:t xml:space="preserve">-R </w:t>
      </w:r>
      <w:proofErr w:type="spellStart"/>
      <w:r w:rsidRPr="007B4B7B">
        <w:rPr>
          <w:sz w:val="23"/>
          <w:szCs w:val="23"/>
          <w:lang w:val="en-US"/>
        </w:rPr>
        <w:t>P.452</w:t>
      </w:r>
      <w:proofErr w:type="spellEnd"/>
      <w:r w:rsidRPr="007B4B7B">
        <w:rPr>
          <w:sz w:val="23"/>
          <w:szCs w:val="23"/>
          <w:lang w:val="en-US"/>
        </w:rPr>
        <w:t>-16.</w:t>
      </w:r>
    </w:p>
    <w:p w:rsidR="009F14CE" w:rsidRPr="007B4B7B" w:rsidRDefault="004F34AD" w:rsidP="004F34AD">
      <w:pPr>
        <w:pStyle w:val="Equation"/>
        <w:rPr>
          <w:lang w:val="en-US"/>
        </w:rPr>
      </w:pPr>
      <w:r w:rsidRPr="007B4B7B">
        <w:rPr>
          <w:lang w:val="en-US"/>
        </w:rPr>
        <w:tab/>
      </w:r>
      <w:r w:rsidRPr="007B4B7B">
        <w:rPr>
          <w:lang w:val="en-US"/>
        </w:rPr>
        <w:tab/>
      </w:r>
      <w:r w:rsidR="009F14CE" w:rsidRPr="007B4B7B">
        <w:rPr>
          <w:i/>
          <w:iCs/>
          <w:lang w:val="en-US"/>
        </w:rPr>
        <w:t>Ag</w:t>
      </w:r>
      <w:r w:rsidRPr="007B4B7B">
        <w:rPr>
          <w:lang w:val="en-US"/>
        </w:rPr>
        <w:t> </w:t>
      </w:r>
      <w:r w:rsidR="009F14CE" w:rsidRPr="007B4B7B">
        <w:rPr>
          <w:lang w:val="en-US"/>
        </w:rPr>
        <w:t>=</w:t>
      </w:r>
      <w:r w:rsidRPr="007B4B7B">
        <w:rPr>
          <w:lang w:val="en-US"/>
        </w:rPr>
        <w:t> </w:t>
      </w:r>
      <w:r w:rsidR="009F14CE" w:rsidRPr="007B4B7B">
        <w:rPr>
          <w:lang w:val="en-US"/>
        </w:rPr>
        <w:t>(</w:t>
      </w:r>
      <w:r w:rsidR="009F14CE" w:rsidRPr="007B4B7B">
        <w:rPr>
          <w:rFonts w:ascii="Symbol" w:hAnsi="Symbol"/>
          <w:lang w:val="en-US"/>
        </w:rPr>
        <w:t></w:t>
      </w:r>
      <w:r w:rsidR="009F14CE" w:rsidRPr="007B4B7B">
        <w:rPr>
          <w:vertAlign w:val="subscript"/>
          <w:lang w:val="en-US"/>
        </w:rPr>
        <w:t>o</w:t>
      </w:r>
      <w:r w:rsidR="009F14CE" w:rsidRPr="007B4B7B">
        <w:rPr>
          <w:lang w:val="en-US"/>
        </w:rPr>
        <w:t>+</w:t>
      </w:r>
      <w:r w:rsidR="009F14CE" w:rsidRPr="007B4B7B">
        <w:rPr>
          <w:rFonts w:ascii="Symbol" w:hAnsi="Symbol"/>
          <w:lang w:val="en-US"/>
        </w:rPr>
        <w:t></w:t>
      </w:r>
      <w:proofErr w:type="gramStart"/>
      <w:r w:rsidR="009F14CE" w:rsidRPr="007B4B7B">
        <w:rPr>
          <w:i/>
          <w:iCs/>
          <w:vertAlign w:val="subscript"/>
          <w:lang w:val="en-US"/>
        </w:rPr>
        <w:t>w</w:t>
      </w:r>
      <w:r w:rsidR="009F14CE" w:rsidRPr="007B4B7B">
        <w:rPr>
          <w:lang w:val="en-US"/>
        </w:rPr>
        <w:t>(</w:t>
      </w:r>
      <w:proofErr w:type="gramEnd"/>
      <w:r w:rsidR="009F14CE" w:rsidRPr="007B4B7B">
        <w:rPr>
          <w:rFonts w:ascii="Symbol" w:hAnsi="Symbol"/>
          <w:lang w:val="en-US"/>
        </w:rPr>
        <w:t></w:t>
      </w:r>
      <w:r w:rsidR="009F14CE" w:rsidRPr="007B4B7B">
        <w:rPr>
          <w:lang w:val="en-US"/>
        </w:rPr>
        <w:t>))</w:t>
      </w:r>
      <w:r w:rsidR="009F14CE" w:rsidRPr="007B4B7B">
        <w:rPr>
          <w:i/>
          <w:iCs/>
          <w:lang w:val="en-US"/>
        </w:rPr>
        <w:t>d</w:t>
      </w:r>
    </w:p>
    <w:p w:rsidR="009F14CE" w:rsidRPr="007B4B7B" w:rsidRDefault="009F14CE">
      <w:pPr>
        <w:spacing w:before="0"/>
        <w:rPr>
          <w:lang w:val="en-US"/>
        </w:rPr>
      </w:pPr>
      <w:proofErr w:type="gramStart"/>
      <w:r w:rsidRPr="007B4B7B">
        <w:rPr>
          <w:lang w:val="en-US"/>
        </w:rPr>
        <w:t>where</w:t>
      </w:r>
      <w:proofErr w:type="gramEnd"/>
      <w:r w:rsidR="00D07FF2" w:rsidRPr="007B4B7B">
        <w:rPr>
          <w:lang w:val="en-US"/>
        </w:rPr>
        <w:t>:</w:t>
      </w:r>
    </w:p>
    <w:p w:rsidR="009F14CE" w:rsidRPr="007B4B7B" w:rsidRDefault="009F14CE">
      <w:pPr>
        <w:pStyle w:val="Equationlegend"/>
        <w:spacing w:before="0"/>
        <w:ind w:left="0" w:firstLine="0"/>
        <w:rPr>
          <w:sz w:val="23"/>
          <w:szCs w:val="23"/>
          <w:lang w:val="en-US"/>
        </w:rPr>
      </w:pPr>
      <w:r w:rsidRPr="007B4B7B">
        <w:rPr>
          <w:rFonts w:ascii="SimSun" w:hAnsi="SimSun"/>
          <w:i/>
          <w:lang w:val="en-US"/>
        </w:rPr>
        <w:tab/>
        <w:t>Ag</w:t>
      </w:r>
      <w:r w:rsidRPr="007B4B7B">
        <w:rPr>
          <w:rFonts w:ascii="SimSun" w:hAnsi="SimSun"/>
          <w:lang w:val="en-US" w:eastAsia="ja-JP"/>
        </w:rPr>
        <w:t>:</w:t>
      </w:r>
      <w:r w:rsidRPr="007B4B7B">
        <w:rPr>
          <w:sz w:val="23"/>
          <w:szCs w:val="23"/>
          <w:lang w:val="en-US"/>
        </w:rPr>
        <w:t xml:space="preserve"> </w:t>
      </w:r>
      <w:r w:rsidR="004F34AD" w:rsidRPr="007B4B7B">
        <w:rPr>
          <w:sz w:val="23"/>
          <w:szCs w:val="23"/>
          <w:lang w:val="en-US"/>
        </w:rPr>
        <w:t xml:space="preserve"> </w:t>
      </w:r>
      <w:r w:rsidR="004F34AD" w:rsidRPr="007B4B7B">
        <w:rPr>
          <w:sz w:val="23"/>
          <w:szCs w:val="23"/>
          <w:lang w:val="en-US"/>
        </w:rPr>
        <w:tab/>
        <w:t>Total gaseous absorption (dB);</w:t>
      </w:r>
    </w:p>
    <w:p w:rsidR="009F14CE" w:rsidRPr="007B4B7B" w:rsidRDefault="009F14CE">
      <w:pPr>
        <w:pStyle w:val="Equationlegend"/>
        <w:rPr>
          <w:sz w:val="23"/>
          <w:szCs w:val="23"/>
          <w:lang w:val="en-US"/>
        </w:rPr>
      </w:pPr>
      <w:r w:rsidRPr="007B4B7B">
        <w:rPr>
          <w:rFonts w:ascii="Symbol" w:hAnsi="Symbol"/>
          <w:lang w:val="en-US"/>
        </w:rPr>
        <w:tab/>
      </w:r>
      <w:r w:rsidRPr="007B4B7B">
        <w:rPr>
          <w:rFonts w:ascii="Symbol" w:hAnsi="Symbol"/>
          <w:lang w:val="en-US"/>
        </w:rPr>
        <w:t></w:t>
      </w:r>
      <w:r w:rsidRPr="007B4B7B">
        <w:rPr>
          <w:i/>
          <w:vertAlign w:val="subscript"/>
          <w:lang w:val="en-US"/>
        </w:rPr>
        <w:t>o</w:t>
      </w:r>
      <w:r w:rsidRPr="007B4B7B">
        <w:rPr>
          <w:rFonts w:ascii="SimSun" w:hAnsi="SimSun"/>
          <w:i/>
          <w:lang w:val="en-US"/>
        </w:rPr>
        <w:t>+</w:t>
      </w:r>
      <w:r w:rsidRPr="007B4B7B">
        <w:rPr>
          <w:rFonts w:ascii="Symbol" w:hAnsi="Symbol"/>
          <w:lang w:val="en-US"/>
        </w:rPr>
        <w:t></w:t>
      </w:r>
      <w:proofErr w:type="gramStart"/>
      <w:r w:rsidRPr="007B4B7B">
        <w:rPr>
          <w:rFonts w:ascii="SimSun" w:hAnsi="SimSun"/>
          <w:i/>
          <w:vertAlign w:val="subscript"/>
          <w:lang w:val="en-US"/>
        </w:rPr>
        <w:t>w</w:t>
      </w:r>
      <w:r w:rsidRPr="007B4B7B">
        <w:rPr>
          <w:rFonts w:ascii="SimSun" w:hAnsi="SimSun"/>
          <w:lang w:val="en-US"/>
        </w:rPr>
        <w:t>(</w:t>
      </w:r>
      <w:proofErr w:type="gramEnd"/>
      <w:r w:rsidRPr="007B4B7B">
        <w:rPr>
          <w:rFonts w:ascii="Symbol" w:hAnsi="Symbol"/>
          <w:lang w:val="en-US"/>
        </w:rPr>
        <w:t></w:t>
      </w:r>
      <w:r w:rsidRPr="007B4B7B">
        <w:rPr>
          <w:rFonts w:ascii="SimSun" w:hAnsi="SimSun"/>
          <w:lang w:val="en-US"/>
        </w:rPr>
        <w:t>)</w:t>
      </w:r>
      <w:r w:rsidRPr="007B4B7B">
        <w:rPr>
          <w:sz w:val="23"/>
          <w:szCs w:val="23"/>
          <w:lang w:val="en-US"/>
        </w:rPr>
        <w:t xml:space="preserve">:  </w:t>
      </w:r>
      <w:r w:rsidRPr="007B4B7B">
        <w:rPr>
          <w:sz w:val="23"/>
          <w:szCs w:val="23"/>
          <w:lang w:val="en-US"/>
        </w:rPr>
        <w:tab/>
        <w:t xml:space="preserve">specific attenuation due to dry air and water </w:t>
      </w:r>
      <w:proofErr w:type="spellStart"/>
      <w:r w:rsidRPr="007B4B7B">
        <w:rPr>
          <w:sz w:val="23"/>
          <w:szCs w:val="23"/>
          <w:lang w:val="en-US"/>
        </w:rPr>
        <w:t>vapour</w:t>
      </w:r>
      <w:proofErr w:type="spellEnd"/>
      <w:r w:rsidRPr="007B4B7B">
        <w:rPr>
          <w:sz w:val="23"/>
          <w:szCs w:val="23"/>
          <w:lang w:val="en-US"/>
        </w:rPr>
        <w:t xml:space="preserve">, respectively, and are found from the equations in Recommendation </w:t>
      </w:r>
      <w:proofErr w:type="spellStart"/>
      <w:r w:rsidRPr="007B4B7B">
        <w:rPr>
          <w:sz w:val="23"/>
          <w:szCs w:val="23"/>
          <w:lang w:val="en-US"/>
        </w:rPr>
        <w:t>ITU</w:t>
      </w:r>
      <w:proofErr w:type="spellEnd"/>
      <w:r w:rsidRPr="007B4B7B">
        <w:rPr>
          <w:sz w:val="23"/>
          <w:szCs w:val="23"/>
          <w:lang w:val="en-US"/>
        </w:rPr>
        <w:t xml:space="preserve">-R </w:t>
      </w:r>
      <w:proofErr w:type="spellStart"/>
      <w:r w:rsidRPr="007B4B7B">
        <w:rPr>
          <w:sz w:val="23"/>
          <w:szCs w:val="23"/>
          <w:lang w:val="en-US"/>
        </w:rPr>
        <w:t>P.676</w:t>
      </w:r>
      <w:proofErr w:type="spellEnd"/>
      <w:r w:rsidR="004F34AD" w:rsidRPr="007B4B7B">
        <w:rPr>
          <w:sz w:val="23"/>
          <w:szCs w:val="23"/>
          <w:lang w:val="en-US"/>
        </w:rPr>
        <w:t>;</w:t>
      </w:r>
    </w:p>
    <w:p w:rsidR="009F14CE" w:rsidRPr="007B4B7B" w:rsidRDefault="009F14CE">
      <w:pPr>
        <w:pStyle w:val="Equationlegend"/>
        <w:rPr>
          <w:sz w:val="23"/>
          <w:szCs w:val="23"/>
          <w:lang w:val="en-US"/>
        </w:rPr>
      </w:pPr>
      <w:r w:rsidRPr="007B4B7B">
        <w:rPr>
          <w:rFonts w:ascii="TimesNewRoman" w:hAnsi="TimesNewRoman" w:cs="TimesNewRoman"/>
          <w:lang w:val="en-US" w:eastAsia="ja-JP"/>
        </w:rPr>
        <w:tab/>
      </w:r>
      <w:r w:rsidRPr="007B4B7B">
        <w:rPr>
          <w:rFonts w:ascii="Symbol" w:hAnsi="Symbol"/>
          <w:lang w:val="en-US"/>
        </w:rPr>
        <w:t></w:t>
      </w:r>
      <w:r w:rsidRPr="007B4B7B">
        <w:rPr>
          <w:lang w:val="en-US"/>
        </w:rPr>
        <w:t xml:space="preserve">:  </w:t>
      </w:r>
      <w:r w:rsidRPr="007B4B7B">
        <w:rPr>
          <w:lang w:val="en-US"/>
        </w:rPr>
        <w:tab/>
      </w:r>
      <w:r w:rsidRPr="007B4B7B">
        <w:rPr>
          <w:sz w:val="23"/>
          <w:szCs w:val="23"/>
          <w:lang w:val="en-US"/>
        </w:rPr>
        <w:t xml:space="preserve">water </w:t>
      </w:r>
      <w:proofErr w:type="spellStart"/>
      <w:r w:rsidRPr="007B4B7B">
        <w:rPr>
          <w:sz w:val="23"/>
          <w:szCs w:val="23"/>
          <w:lang w:val="en-US"/>
        </w:rPr>
        <w:t>vapour</w:t>
      </w:r>
      <w:proofErr w:type="spellEnd"/>
      <w:r w:rsidRPr="007B4B7B">
        <w:rPr>
          <w:sz w:val="23"/>
          <w:szCs w:val="23"/>
          <w:lang w:val="en-US"/>
        </w:rPr>
        <w:t xml:space="preserve"> density:</w:t>
      </w:r>
    </w:p>
    <w:p w:rsidR="009F14CE" w:rsidRPr="007B4B7B" w:rsidRDefault="004F34AD" w:rsidP="004F34AD">
      <w:pPr>
        <w:pStyle w:val="Equation"/>
        <w:rPr>
          <w:lang w:val="en-US"/>
        </w:rPr>
      </w:pPr>
      <w:r w:rsidRPr="007B4B7B">
        <w:rPr>
          <w:rFonts w:ascii="Symbol" w:hAnsi="Symbol"/>
          <w:lang w:val="en-US"/>
        </w:rPr>
        <w:tab/>
      </w:r>
      <w:r w:rsidRPr="007B4B7B">
        <w:rPr>
          <w:rFonts w:ascii="Symbol" w:hAnsi="Symbol"/>
          <w:lang w:val="en-US"/>
        </w:rPr>
        <w:tab/>
      </w:r>
      <w:r w:rsidR="009F14CE" w:rsidRPr="007B4B7B">
        <w:rPr>
          <w:rFonts w:ascii="Symbol" w:hAnsi="Symbol"/>
          <w:lang w:val="en-US"/>
        </w:rPr>
        <w:t></w:t>
      </w:r>
      <w:r w:rsidR="009F14CE" w:rsidRPr="007B4B7B">
        <w:rPr>
          <w:lang w:val="en-US"/>
        </w:rPr>
        <w:t>=7.5+2.5</w:t>
      </w:r>
      <w:r w:rsidR="009F14CE" w:rsidRPr="007B4B7B">
        <w:rPr>
          <w:rFonts w:ascii="Symbol" w:hAnsi="Symbol"/>
          <w:lang w:val="en-US"/>
        </w:rPr>
        <w:t></w:t>
      </w:r>
      <w:r w:rsidRPr="007B4B7B">
        <w:rPr>
          <w:lang w:val="en-US"/>
        </w:rPr>
        <w:t>     </w:t>
      </w:r>
      <w:r w:rsidR="009F14CE" w:rsidRPr="007B4B7B">
        <w:rPr>
          <w:lang w:val="en-US"/>
        </w:rPr>
        <w:t>g/</w:t>
      </w:r>
      <w:proofErr w:type="spellStart"/>
      <w:r w:rsidR="009F14CE" w:rsidRPr="007B4B7B">
        <w:rPr>
          <w:lang w:val="en-US"/>
        </w:rPr>
        <w:t>m</w:t>
      </w:r>
      <w:r w:rsidR="009F14CE" w:rsidRPr="007B4B7B">
        <w:rPr>
          <w:vertAlign w:val="superscript"/>
          <w:lang w:val="en-US"/>
        </w:rPr>
        <w:t>3</w:t>
      </w:r>
      <w:proofErr w:type="spellEnd"/>
    </w:p>
    <w:p w:rsidR="009F14CE" w:rsidRPr="007B4B7B" w:rsidRDefault="009F14CE">
      <w:pPr>
        <w:pStyle w:val="Equationlegend"/>
        <w:rPr>
          <w:sz w:val="23"/>
          <w:szCs w:val="23"/>
          <w:lang w:val="en-US"/>
        </w:rPr>
      </w:pPr>
      <w:r w:rsidRPr="007B4B7B">
        <w:rPr>
          <w:rFonts w:ascii="Symbol" w:hAnsi="Symbol"/>
          <w:lang w:val="en-US"/>
        </w:rPr>
        <w:tab/>
      </w:r>
      <w:r w:rsidRPr="007B4B7B">
        <w:rPr>
          <w:rFonts w:ascii="Symbol" w:hAnsi="Symbol"/>
          <w:lang w:val="en-US"/>
        </w:rPr>
        <w:t></w:t>
      </w:r>
      <w:r w:rsidRPr="007B4B7B">
        <w:rPr>
          <w:lang w:val="en-US"/>
        </w:rPr>
        <w:t xml:space="preserve">: </w:t>
      </w:r>
      <w:r w:rsidRPr="007B4B7B">
        <w:rPr>
          <w:lang w:val="en-US"/>
        </w:rPr>
        <w:tab/>
      </w:r>
      <w:r w:rsidRPr="007B4B7B">
        <w:rPr>
          <w:sz w:val="23"/>
          <w:szCs w:val="23"/>
          <w:lang w:val="en-US"/>
        </w:rPr>
        <w:t>fraction of the total path over water.</w:t>
      </w:r>
    </w:p>
    <w:p w:rsidR="009F14CE" w:rsidRPr="007B4B7B" w:rsidRDefault="009F14CE">
      <w:pPr>
        <w:rPr>
          <w:lang w:val="en-US" w:eastAsia="ja-JP" w:bidi="he-IL"/>
        </w:rPr>
      </w:pPr>
      <w:r w:rsidRPr="007B4B7B">
        <w:rPr>
          <w:lang w:val="en-US" w:eastAsia="zh-CN"/>
        </w:rPr>
        <w:t>T</w:t>
      </w:r>
      <w:r w:rsidRPr="007B4B7B">
        <w:rPr>
          <w:lang w:val="en-US" w:eastAsia="ja-JP" w:bidi="he-IL"/>
        </w:rPr>
        <w:t>he separation distance which satisfies with the requirement of protection level is calculated from the above equation. The line-of-sight scenario from the on-board equipment to the radio astronomy antenna gives the worst case.</w:t>
      </w:r>
    </w:p>
    <w:p w:rsidR="009F14CE" w:rsidRPr="007B4B7B" w:rsidRDefault="009F14CE">
      <w:pPr>
        <w:pStyle w:val="Heading1"/>
        <w:rPr>
          <w:lang w:val="en-US"/>
        </w:rPr>
      </w:pPr>
      <w:r w:rsidRPr="007B4B7B">
        <w:rPr>
          <w:lang w:val="en-US"/>
        </w:rPr>
        <w:t>10</w:t>
      </w:r>
      <w:r w:rsidRPr="007B4B7B">
        <w:rPr>
          <w:lang w:val="en-US"/>
        </w:rPr>
        <w:tab/>
        <w:t>Bibliograph</w:t>
      </w:r>
      <w:r w:rsidR="009142B6" w:rsidRPr="007B4B7B">
        <w:rPr>
          <w:lang w:val="en-US"/>
        </w:rPr>
        <w:t>y</w:t>
      </w:r>
    </w:p>
    <w:p w:rsidR="009F14CE" w:rsidRPr="007B4B7B" w:rsidRDefault="009F14CE">
      <w:pPr>
        <w:tabs>
          <w:tab w:val="clear" w:pos="1134"/>
          <w:tab w:val="clear" w:pos="1871"/>
          <w:tab w:val="clear" w:pos="2268"/>
        </w:tabs>
        <w:overflowPunct/>
        <w:autoSpaceDE/>
        <w:autoSpaceDN/>
        <w:adjustRightInd/>
        <w:spacing w:before="0"/>
        <w:textAlignment w:val="auto"/>
        <w:rPr>
          <w:lang w:val="en-US"/>
        </w:rPr>
      </w:pPr>
      <w:r w:rsidRPr="007B4B7B">
        <w:rPr>
          <w:lang w:val="en-US"/>
        </w:rPr>
        <w:br w:type="page"/>
      </w:r>
    </w:p>
    <w:p w:rsidR="009F14CE" w:rsidRPr="007B4B7B" w:rsidRDefault="009F14CE" w:rsidP="009142B6">
      <w:pPr>
        <w:pStyle w:val="AnnexNo"/>
        <w:rPr>
          <w:sz w:val="24"/>
          <w:lang w:val="en-US" w:eastAsia="ja-JP"/>
        </w:rPr>
      </w:pPr>
      <w:r w:rsidRPr="007B4B7B">
        <w:rPr>
          <w:lang w:val="en-US" w:eastAsia="ja-JP"/>
        </w:rPr>
        <w:lastRenderedPageBreak/>
        <w:t>Annex 1</w:t>
      </w:r>
    </w:p>
    <w:p w:rsidR="009F14CE" w:rsidRPr="007B4B7B" w:rsidRDefault="00D07FF2" w:rsidP="009142B6">
      <w:pPr>
        <w:pStyle w:val="Annextitle"/>
        <w:rPr>
          <w:sz w:val="24"/>
          <w:lang w:val="en-US" w:eastAsia="ja-JP"/>
        </w:rPr>
      </w:pPr>
      <w:r w:rsidRPr="007B4B7B">
        <w:rPr>
          <w:lang w:val="en-US" w:eastAsia="ja-JP"/>
        </w:rPr>
        <w:t>Measurement</w:t>
      </w:r>
      <w:r w:rsidR="009F14CE" w:rsidRPr="007B4B7B">
        <w:rPr>
          <w:lang w:val="en-US" w:eastAsia="ja-JP"/>
        </w:rPr>
        <w:t xml:space="preserve"> results of radiation pattern at 90 GHz band</w:t>
      </w:r>
    </w:p>
    <w:p w:rsidR="009F14CE" w:rsidRPr="007B4B7B" w:rsidRDefault="009F14CE" w:rsidP="009142B6">
      <w:pPr>
        <w:pStyle w:val="Normalaftertitle"/>
        <w:rPr>
          <w:lang w:val="en-US" w:eastAsia="ja-JP"/>
        </w:rPr>
      </w:pPr>
      <w:r w:rsidRPr="007B4B7B">
        <w:rPr>
          <w:lang w:val="en-US" w:eastAsia="ja-JP"/>
        </w:rPr>
        <w:t xml:space="preserve">This Annex provides the antenna radiation pattern to be used for 90 GHz </w:t>
      </w:r>
      <w:proofErr w:type="spellStart"/>
      <w:r w:rsidRPr="007B4B7B">
        <w:rPr>
          <w:lang w:val="en-US" w:eastAsia="ja-JP"/>
        </w:rPr>
        <w:t>RSTT</w:t>
      </w:r>
      <w:proofErr w:type="spellEnd"/>
      <w:r w:rsidRPr="007B4B7B">
        <w:rPr>
          <w:lang w:val="en-US" w:eastAsia="ja-JP"/>
        </w:rPr>
        <w:t>.</w:t>
      </w:r>
    </w:p>
    <w:p w:rsidR="009F14CE" w:rsidRPr="007B4B7B" w:rsidRDefault="009F14CE">
      <w:pPr>
        <w:pStyle w:val="FigureNo"/>
        <w:rPr>
          <w:i/>
          <w:lang w:val="en-US" w:eastAsia="ja-JP"/>
        </w:rPr>
      </w:pPr>
      <w:r w:rsidRPr="007B4B7B">
        <w:rPr>
          <w:lang w:val="en-US"/>
        </w:rPr>
        <w:t xml:space="preserve">FIGURE </w:t>
      </w:r>
      <w:proofErr w:type="spellStart"/>
      <w:r w:rsidRPr="007B4B7B">
        <w:rPr>
          <w:lang w:val="en-US"/>
        </w:rPr>
        <w:t>A</w:t>
      </w:r>
      <w:r w:rsidRPr="007B4B7B">
        <w:rPr>
          <w:lang w:val="en-US" w:eastAsia="ja-JP"/>
        </w:rPr>
        <w:t>3</w:t>
      </w:r>
      <w:proofErr w:type="spellEnd"/>
      <w:r w:rsidRPr="007B4B7B">
        <w:rPr>
          <w:lang w:val="en-US" w:eastAsia="ja-JP"/>
        </w:rPr>
        <w:t>-1</w:t>
      </w:r>
    </w:p>
    <w:p w:rsidR="009F14CE" w:rsidRPr="007B4B7B" w:rsidRDefault="009F14CE" w:rsidP="009142B6">
      <w:pPr>
        <w:pStyle w:val="Figuretitle"/>
      </w:pPr>
      <w:r w:rsidRPr="007B4B7B">
        <w:t>Measured characteristics of 44-</w:t>
      </w:r>
      <w:proofErr w:type="spellStart"/>
      <w:r w:rsidRPr="007B4B7B">
        <w:t>dBi</w:t>
      </w:r>
      <w:proofErr w:type="spellEnd"/>
      <w:r w:rsidRPr="007B4B7B">
        <w:t xml:space="preserve"> antenna</w:t>
      </w:r>
    </w:p>
    <w:p w:rsidR="009F14CE" w:rsidRPr="007B4B7B" w:rsidRDefault="009F14CE" w:rsidP="009142B6">
      <w:pPr>
        <w:pStyle w:val="Figure"/>
      </w:pPr>
      <w:r w:rsidRPr="007B4B7B">
        <w:rPr>
          <w:noProof/>
        </w:rPr>
        <w:drawing>
          <wp:inline distT="0" distB="0" distL="0" distR="0">
            <wp:extent cx="5454650" cy="37465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4650" cy="3746500"/>
                    </a:xfrm>
                    <a:prstGeom prst="rect">
                      <a:avLst/>
                    </a:prstGeom>
                    <a:noFill/>
                    <a:ln>
                      <a:noFill/>
                    </a:ln>
                  </pic:spPr>
                </pic:pic>
              </a:graphicData>
            </a:graphic>
          </wp:inline>
        </w:drawing>
      </w:r>
    </w:p>
    <w:p w:rsidR="000069D4" w:rsidRPr="007B4B7B" w:rsidRDefault="000069D4" w:rsidP="00DD4BED">
      <w:pPr>
        <w:rPr>
          <w:lang w:val="en-US"/>
        </w:rPr>
      </w:pPr>
    </w:p>
    <w:p w:rsidR="004F34AD" w:rsidRPr="007B4B7B" w:rsidRDefault="004F34AD" w:rsidP="0032202E">
      <w:pPr>
        <w:pStyle w:val="Reasons"/>
        <w:rPr>
          <w:lang w:val="en-US"/>
        </w:rPr>
      </w:pPr>
    </w:p>
    <w:sectPr w:rsidR="004F34AD" w:rsidRPr="007B4B7B"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AC" w:rsidRDefault="00A074AC">
      <w:r>
        <w:separator/>
      </w:r>
    </w:p>
  </w:endnote>
  <w:endnote w:type="continuationSeparator" w:id="0">
    <w:p w:rsidR="00A074AC" w:rsidRDefault="00A0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8A3B25">
    <w:pPr>
      <w:pStyle w:val="Footer"/>
      <w:rPr>
        <w:lang w:val="en-US"/>
      </w:rPr>
    </w:pPr>
    <w:fldSimple w:instr=" FILENAME \p \* MERGEFORMAT ">
      <w:r w:rsidR="00074AB0" w:rsidRPr="00074AB0">
        <w:rPr>
          <w:lang w:val="en-US"/>
        </w:rPr>
        <w:t>M</w:t>
      </w:r>
      <w:r w:rsidR="00074AB0">
        <w:t>:\BRSGD\TEXT2017\SG05\WP5A\DT\222e.docx</w:t>
      </w:r>
    </w:fldSimple>
    <w:r w:rsidR="00FA124A" w:rsidRPr="002F7CB3">
      <w:rPr>
        <w:lang w:val="en-US"/>
      </w:rPr>
      <w:tab/>
    </w:r>
    <w:r w:rsidR="00D02712">
      <w:fldChar w:fldCharType="begin"/>
    </w:r>
    <w:r w:rsidR="00FA124A">
      <w:instrText xml:space="preserve"> savedate \@ dd.MM.yy </w:instrText>
    </w:r>
    <w:r w:rsidR="00D02712">
      <w:fldChar w:fldCharType="separate"/>
    </w:r>
    <w:r w:rsidR="00EF62CC">
      <w:t>21.11.17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F14CE">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8A3B25" w:rsidP="00E6257C">
    <w:pPr>
      <w:pStyle w:val="Footer"/>
      <w:rPr>
        <w:lang w:val="en-US"/>
      </w:rPr>
    </w:pPr>
    <w:fldSimple w:instr=" FILENAME \p \* MERGEFORMAT ">
      <w:r w:rsidR="00074AB0" w:rsidRPr="00074AB0">
        <w:rPr>
          <w:lang w:val="en-US"/>
        </w:rPr>
        <w:t>M</w:t>
      </w:r>
      <w:r w:rsidR="00074AB0">
        <w:t>:\BRSGD\TEXT2017\SG05\WP5A\DT\222e.docx</w:t>
      </w:r>
    </w:fldSimple>
    <w:r w:rsidR="00FA124A" w:rsidRPr="002F7CB3">
      <w:rPr>
        <w:lang w:val="en-US"/>
      </w:rPr>
      <w:tab/>
    </w:r>
    <w:r w:rsidR="00D02712">
      <w:fldChar w:fldCharType="begin"/>
    </w:r>
    <w:r w:rsidR="00FA124A">
      <w:instrText xml:space="preserve"> savedate \@ dd.MM.yy </w:instrText>
    </w:r>
    <w:r w:rsidR="00D02712">
      <w:fldChar w:fldCharType="separate"/>
    </w:r>
    <w:r w:rsidR="00EF62CC">
      <w:t>21.11.17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F14CE">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AC" w:rsidRDefault="00A074AC">
      <w:r>
        <w:t>____________________</w:t>
      </w:r>
    </w:p>
  </w:footnote>
  <w:footnote w:type="continuationSeparator" w:id="0">
    <w:p w:rsidR="00A074AC" w:rsidRDefault="00A07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F62CC">
      <w:rPr>
        <w:rStyle w:val="PageNumber"/>
        <w:noProof/>
      </w:rPr>
      <w:t>2</w:t>
    </w:r>
    <w:r w:rsidR="00D02712">
      <w:rPr>
        <w:rStyle w:val="PageNumber"/>
      </w:rPr>
      <w:fldChar w:fldCharType="end"/>
    </w:r>
    <w:r>
      <w:rPr>
        <w:rStyle w:val="PageNumber"/>
      </w:rPr>
      <w:t xml:space="preserve"> -</w:t>
    </w:r>
  </w:p>
  <w:p w:rsidR="00FA124A" w:rsidRDefault="009F14CE">
    <w:pPr>
      <w:pStyle w:val="Header"/>
      <w:rPr>
        <w:lang w:val="en-US"/>
      </w:rPr>
    </w:pPr>
    <w:r>
      <w:rPr>
        <w:lang w:val="en-US"/>
      </w:rPr>
      <w:t>5A/</w:t>
    </w:r>
    <w:r w:rsidR="009142B6">
      <w:rPr>
        <w:lang w:val="en-US"/>
      </w:rPr>
      <w:t>650 (Annex 28)</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72F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722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864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BA5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B8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7211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8827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1650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8BB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48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CE"/>
    <w:rsid w:val="000069D4"/>
    <w:rsid w:val="000174AD"/>
    <w:rsid w:val="00047A1D"/>
    <w:rsid w:val="000604B9"/>
    <w:rsid w:val="00074AB0"/>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1B7"/>
    <w:rsid w:val="003E2518"/>
    <w:rsid w:val="003E7CEF"/>
    <w:rsid w:val="004B1EF7"/>
    <w:rsid w:val="004B3FAD"/>
    <w:rsid w:val="004C5749"/>
    <w:rsid w:val="004F34AD"/>
    <w:rsid w:val="00501DCA"/>
    <w:rsid w:val="00513A47"/>
    <w:rsid w:val="005408DF"/>
    <w:rsid w:val="00573344"/>
    <w:rsid w:val="00583F9B"/>
    <w:rsid w:val="005E5C10"/>
    <w:rsid w:val="005F2C78"/>
    <w:rsid w:val="006144E4"/>
    <w:rsid w:val="00650299"/>
    <w:rsid w:val="00655FC5"/>
    <w:rsid w:val="007B4B7B"/>
    <w:rsid w:val="00814E0A"/>
    <w:rsid w:val="00822581"/>
    <w:rsid w:val="008309DD"/>
    <w:rsid w:val="0083227A"/>
    <w:rsid w:val="00836A60"/>
    <w:rsid w:val="00866900"/>
    <w:rsid w:val="00876A8A"/>
    <w:rsid w:val="00881BA1"/>
    <w:rsid w:val="008A3B25"/>
    <w:rsid w:val="008C2302"/>
    <w:rsid w:val="008C26B8"/>
    <w:rsid w:val="008F208F"/>
    <w:rsid w:val="009142B6"/>
    <w:rsid w:val="00982084"/>
    <w:rsid w:val="00995963"/>
    <w:rsid w:val="009B61EB"/>
    <w:rsid w:val="009C2064"/>
    <w:rsid w:val="009D1697"/>
    <w:rsid w:val="009F14CE"/>
    <w:rsid w:val="009F3A46"/>
    <w:rsid w:val="009F6520"/>
    <w:rsid w:val="00A014F8"/>
    <w:rsid w:val="00A074AC"/>
    <w:rsid w:val="00A5173C"/>
    <w:rsid w:val="00A61AEF"/>
    <w:rsid w:val="00AD2345"/>
    <w:rsid w:val="00AF173A"/>
    <w:rsid w:val="00B066A4"/>
    <w:rsid w:val="00B07A13"/>
    <w:rsid w:val="00B4279B"/>
    <w:rsid w:val="00B45FC9"/>
    <w:rsid w:val="00B76F35"/>
    <w:rsid w:val="00B81138"/>
    <w:rsid w:val="00BA067C"/>
    <w:rsid w:val="00BC7CCF"/>
    <w:rsid w:val="00BE470B"/>
    <w:rsid w:val="00C57A91"/>
    <w:rsid w:val="00CC01C2"/>
    <w:rsid w:val="00CF21F2"/>
    <w:rsid w:val="00D02712"/>
    <w:rsid w:val="00D046A7"/>
    <w:rsid w:val="00D07FF2"/>
    <w:rsid w:val="00D214D0"/>
    <w:rsid w:val="00D6546B"/>
    <w:rsid w:val="00DB178B"/>
    <w:rsid w:val="00DC17D3"/>
    <w:rsid w:val="00DD4BED"/>
    <w:rsid w:val="00DE2498"/>
    <w:rsid w:val="00DE39F0"/>
    <w:rsid w:val="00DF0AF3"/>
    <w:rsid w:val="00DF7E9F"/>
    <w:rsid w:val="00E27D7E"/>
    <w:rsid w:val="00E42E13"/>
    <w:rsid w:val="00E56D5C"/>
    <w:rsid w:val="00E6257C"/>
    <w:rsid w:val="00E63C59"/>
    <w:rsid w:val="00EF62CC"/>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FD00686-30F3-4F38-A29A-D39A679E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2498"/>
    <w:pPr>
      <w:spacing w:before="20" w:after="240"/>
    </w:pPr>
    <w:rPr>
      <w:sz w:val="18"/>
    </w:rPr>
  </w:style>
  <w:style w:type="paragraph" w:customStyle="1" w:styleId="Tabletext">
    <w:name w:val="Table_text"/>
    <w:basedOn w:val="Normal"/>
    <w:link w:val="TabletextChar"/>
    <w:uiPriority w:val="99"/>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36A60"/>
    <w:pPr>
      <w:tabs>
        <w:tab w:val="left" w:pos="284"/>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DE2498"/>
    <w:pPr>
      <w:spacing w:after="240"/>
      <w:jc w:val="center"/>
    </w:pPr>
    <w:rPr>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DE2498"/>
    <w:pPr>
      <w:keepNext/>
      <w:keepLines/>
      <w:spacing w:before="0" w:after="120"/>
      <w:jc w:val="center"/>
    </w:pPr>
    <w:rPr>
      <w:rFonts w:ascii="Times New Roman Bold" w:hAnsi="Times New Roman Bold"/>
      <w:b/>
      <w:sz w:val="20"/>
      <w:lang w:val="en-US"/>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uiPriority w:val="99"/>
    <w:rsid w:val="009F14CE"/>
    <w:rPr>
      <w:rFonts w:ascii="Times New Roman" w:hAnsi="Times New Roman"/>
      <w:b/>
      <w:sz w:val="28"/>
      <w:lang w:val="en-GB" w:eastAsia="en-US"/>
    </w:rPr>
  </w:style>
  <w:style w:type="character" w:customStyle="1" w:styleId="Heading2Char">
    <w:name w:val="Heading 2 Char"/>
    <w:basedOn w:val="DefaultParagraphFont"/>
    <w:link w:val="Heading2"/>
    <w:uiPriority w:val="99"/>
    <w:rsid w:val="009F14CE"/>
    <w:rPr>
      <w:rFonts w:ascii="Times New Roman" w:hAnsi="Times New Roman"/>
      <w:b/>
      <w:sz w:val="24"/>
      <w:lang w:val="en-GB" w:eastAsia="en-US"/>
    </w:rPr>
  </w:style>
  <w:style w:type="character" w:customStyle="1" w:styleId="TabletextChar">
    <w:name w:val="Table_text Char"/>
    <w:link w:val="Tabletext"/>
    <w:uiPriority w:val="99"/>
    <w:qFormat/>
    <w:locked/>
    <w:rsid w:val="009F14CE"/>
    <w:rPr>
      <w:rFonts w:ascii="Times New Roman" w:hAnsi="Times New Roman"/>
      <w:lang w:val="en-GB" w:eastAsia="en-US"/>
    </w:rPr>
  </w:style>
  <w:style w:type="character" w:customStyle="1" w:styleId="FigureNoChar">
    <w:name w:val="Figure_No Char"/>
    <w:link w:val="FigureNo"/>
    <w:locked/>
    <w:rsid w:val="009F14CE"/>
    <w:rPr>
      <w:rFonts w:ascii="Times New Roman" w:hAnsi="Times New Roman"/>
      <w:caps/>
      <w:lang w:val="en-GB" w:eastAsia="en-US"/>
    </w:rPr>
  </w:style>
  <w:style w:type="character" w:customStyle="1" w:styleId="TableheadChar">
    <w:name w:val="Table_head Char"/>
    <w:link w:val="Tablehead"/>
    <w:uiPriority w:val="99"/>
    <w:locked/>
    <w:rsid w:val="009F14CE"/>
    <w:rPr>
      <w:rFonts w:ascii="Times New Roman Bold" w:hAnsi="Times New Roman Bold" w:cs="Times New Roman Bold"/>
      <w:b/>
      <w:lang w:val="en-GB" w:eastAsia="en-US"/>
    </w:rPr>
  </w:style>
  <w:style w:type="character" w:customStyle="1" w:styleId="TableNoChar">
    <w:name w:val="Table_No Char"/>
    <w:link w:val="TableNo"/>
    <w:locked/>
    <w:rsid w:val="009F14CE"/>
    <w:rPr>
      <w:rFonts w:ascii="Times New Roman" w:hAnsi="Times New Roman"/>
      <w:caps/>
      <w:lang w:val="en-GB" w:eastAsia="en-US"/>
    </w:rPr>
  </w:style>
  <w:style w:type="character" w:customStyle="1" w:styleId="TabletitleChar">
    <w:name w:val="Table_title Char"/>
    <w:link w:val="Tabletitle"/>
    <w:locked/>
    <w:rsid w:val="009F14CE"/>
    <w:rPr>
      <w:rFonts w:ascii="Times New Roman Bold" w:hAnsi="Times New Roman Bold"/>
      <w:b/>
      <w:lang w:val="en-GB" w:eastAsia="en-US"/>
    </w:rPr>
  </w:style>
  <w:style w:type="character" w:customStyle="1" w:styleId="FiguretitleChar">
    <w:name w:val="Figure_title Char"/>
    <w:link w:val="Figuretitle"/>
    <w:locked/>
    <w:rsid w:val="00DE2498"/>
    <w:rPr>
      <w:rFonts w:ascii="Times New Roman Bold" w:hAnsi="Times New Roman Bold"/>
      <w:b/>
      <w:lang w:eastAsia="en-US"/>
    </w:rPr>
  </w:style>
  <w:style w:type="table" w:styleId="TableGrid">
    <w:name w:val="Table Grid"/>
    <w:basedOn w:val="TableNormal"/>
    <w:rsid w:val="009F14C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F14CE"/>
    <w:pPr>
      <w:spacing w:before="0"/>
    </w:pPr>
    <w:rPr>
      <w:rFonts w:eastAsia="MS Mincho"/>
      <w:kern w:val="2"/>
      <w:sz w:val="20"/>
      <w:szCs w:val="24"/>
      <w:lang w:eastAsia="ja-JP"/>
    </w:rPr>
  </w:style>
  <w:style w:type="character" w:styleId="Hyperlink">
    <w:name w:val="Hyperlink"/>
    <w:basedOn w:val="DefaultParagraphFont"/>
    <w:unhideWhenUsed/>
    <w:rsid w:val="009F14CE"/>
    <w:rPr>
      <w:color w:val="0000FF" w:themeColor="hyperlink"/>
      <w:u w:val="single"/>
    </w:rPr>
  </w:style>
  <w:style w:type="character" w:customStyle="1" w:styleId="SourceChar">
    <w:name w:val="Source Char"/>
    <w:basedOn w:val="DefaultParagraphFont"/>
    <w:link w:val="Source"/>
    <w:locked/>
    <w:rsid w:val="009142B6"/>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kitan.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D514A-11D7-4244-B55A-B0DACDD05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4420F-6CB7-4606-B6CE-F82A3E1B1EDB}">
  <ds:schemaRefs>
    <ds:schemaRef ds:uri="http://purl.org/dc/dcmitype/"/>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4c6a61cb-1973-4fc6-92ae-f4d7a4471404"/>
    <ds:schemaRef ds:uri="http://schemas.microsoft.com/office/2006/metadata/properties"/>
  </ds:schemaRefs>
</ds:datastoreItem>
</file>

<file path=customXml/itemProps3.xml><?xml version="1.0" encoding="utf-8"?>
<ds:datastoreItem xmlns:ds="http://schemas.openxmlformats.org/officeDocument/2006/customXml" ds:itemID="{7EE7AB8C-924C-48FB-B964-687576D93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PE_BR_90.dotm</Template>
  <TotalTime>7</TotalTime>
  <Pages>10</Pages>
  <Words>1991</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^_^</cp:lastModifiedBy>
  <cp:revision>5</cp:revision>
  <cp:lastPrinted>2008-02-21T14:04:00Z</cp:lastPrinted>
  <dcterms:created xsi:type="dcterms:W3CDTF">2017-11-21T08:11:00Z</dcterms:created>
  <dcterms:modified xsi:type="dcterms:W3CDTF">2017-11-21T08:17:00Z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