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2176F6" w:rsidRPr="00DB251D">
        <w:trPr>
          <w:cantSplit/>
        </w:trPr>
        <w:tc>
          <w:tcPr>
            <w:tcW w:w="6487" w:type="dxa"/>
            <w:vAlign w:val="center"/>
          </w:tcPr>
          <w:p w:rsidR="002176F6" w:rsidRPr="00DB251D" w:rsidRDefault="001E1BC0">
            <w:pPr>
              <w:shd w:val="solid" w:color="FFFFFF" w:fill="FFFFFF"/>
              <w:spacing w:before="0"/>
              <w:rPr>
                <w:rFonts w:ascii="Verdana" w:hAnsi="Verdana" w:cs="Times New Roman Bold"/>
                <w:b/>
                <w:bCs/>
                <w:sz w:val="26"/>
                <w:szCs w:val="26"/>
                <w:lang w:val="en-US"/>
              </w:rPr>
            </w:pPr>
            <w:proofErr w:type="spellStart"/>
            <w:r w:rsidRPr="00DB251D">
              <w:rPr>
                <w:rFonts w:ascii="Verdana" w:hAnsi="Verdana" w:cs="Times New Roman Bold"/>
                <w:b/>
                <w:bCs/>
                <w:sz w:val="26"/>
                <w:szCs w:val="26"/>
                <w:lang w:val="en-US"/>
              </w:rPr>
              <w:t>Radiocommunication</w:t>
            </w:r>
            <w:proofErr w:type="spellEnd"/>
            <w:r w:rsidRPr="00DB251D">
              <w:rPr>
                <w:rFonts w:ascii="Verdana" w:hAnsi="Verdana" w:cs="Times New Roman Bold"/>
                <w:b/>
                <w:bCs/>
                <w:sz w:val="26"/>
                <w:szCs w:val="26"/>
                <w:lang w:val="en-US"/>
              </w:rPr>
              <w:t xml:space="preserve"> Study Groups</w:t>
            </w:r>
          </w:p>
        </w:tc>
        <w:tc>
          <w:tcPr>
            <w:tcW w:w="3402" w:type="dxa"/>
          </w:tcPr>
          <w:p w:rsidR="002176F6" w:rsidRPr="00DB251D" w:rsidRDefault="001E1BC0">
            <w:pPr>
              <w:shd w:val="solid" w:color="FFFFFF" w:fill="FFFFFF"/>
              <w:spacing w:before="0" w:line="240" w:lineRule="atLeast"/>
              <w:rPr>
                <w:lang w:val="en-US"/>
              </w:rPr>
            </w:pPr>
            <w:r w:rsidRPr="00DB251D">
              <w:rPr>
                <w:b/>
                <w:bCs/>
                <w:noProof/>
                <w:sz w:val="20"/>
                <w:lang w:val="en-US" w:eastAsia="zh-CN"/>
              </w:rPr>
              <w:drawing>
                <wp:inline distT="0" distB="0" distL="0" distR="0">
                  <wp:extent cx="579396" cy="657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2176F6" w:rsidRPr="00DB251D">
        <w:trPr>
          <w:cantSplit/>
        </w:trPr>
        <w:tc>
          <w:tcPr>
            <w:tcW w:w="6487" w:type="dxa"/>
            <w:tcBorders>
              <w:bottom w:val="single" w:sz="12" w:space="0" w:color="auto"/>
            </w:tcBorders>
          </w:tcPr>
          <w:p w:rsidR="002176F6" w:rsidRPr="00DB251D" w:rsidRDefault="002176F6">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2176F6" w:rsidRPr="00DB251D" w:rsidRDefault="002176F6">
            <w:pPr>
              <w:shd w:val="solid" w:color="FFFFFF" w:fill="FFFFFF"/>
              <w:spacing w:before="0" w:after="48" w:line="240" w:lineRule="atLeast"/>
              <w:rPr>
                <w:sz w:val="22"/>
                <w:szCs w:val="22"/>
                <w:lang w:val="en-US"/>
              </w:rPr>
            </w:pPr>
          </w:p>
        </w:tc>
      </w:tr>
      <w:tr w:rsidR="002176F6" w:rsidRPr="00DB251D">
        <w:trPr>
          <w:cantSplit/>
        </w:trPr>
        <w:tc>
          <w:tcPr>
            <w:tcW w:w="6487" w:type="dxa"/>
            <w:tcBorders>
              <w:top w:val="single" w:sz="12" w:space="0" w:color="auto"/>
            </w:tcBorders>
          </w:tcPr>
          <w:p w:rsidR="002176F6" w:rsidRPr="00DB251D" w:rsidRDefault="002176F6">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2176F6" w:rsidRPr="00DB251D" w:rsidRDefault="002176F6">
            <w:pPr>
              <w:shd w:val="solid" w:color="FFFFFF" w:fill="FFFFFF"/>
              <w:spacing w:before="0" w:after="48" w:line="240" w:lineRule="atLeast"/>
              <w:rPr>
                <w:b/>
                <w:lang w:val="en-US"/>
              </w:rPr>
            </w:pPr>
          </w:p>
        </w:tc>
      </w:tr>
      <w:tr w:rsidR="002176F6" w:rsidRPr="00DB251D">
        <w:trPr>
          <w:cantSplit/>
        </w:trPr>
        <w:tc>
          <w:tcPr>
            <w:tcW w:w="6487" w:type="dxa"/>
            <w:vMerge w:val="restart"/>
          </w:tcPr>
          <w:p w:rsidR="002176F6" w:rsidRPr="00DB251D" w:rsidRDefault="001E1BC0">
            <w:pPr>
              <w:shd w:val="solid" w:color="FFFFFF" w:fill="FFFFFF"/>
              <w:tabs>
                <w:tab w:val="clear" w:pos="1134"/>
                <w:tab w:val="clear" w:pos="1871"/>
                <w:tab w:val="clear" w:pos="2268"/>
              </w:tabs>
              <w:spacing w:before="0" w:after="240"/>
              <w:ind w:left="1134" w:hanging="1134"/>
              <w:rPr>
                <w:rFonts w:ascii="Verdana" w:hAnsi="Verdana"/>
                <w:sz w:val="20"/>
                <w:lang w:val="en-US"/>
              </w:rPr>
            </w:pPr>
            <w:r w:rsidRPr="00DB251D">
              <w:rPr>
                <w:rFonts w:ascii="Verdana" w:hAnsi="Verdana"/>
                <w:sz w:val="20"/>
                <w:lang w:val="en-US"/>
              </w:rPr>
              <w:t>Source:</w:t>
            </w:r>
            <w:r w:rsidRPr="00DB251D">
              <w:rPr>
                <w:rFonts w:ascii="Verdana" w:hAnsi="Verdana"/>
                <w:sz w:val="20"/>
                <w:lang w:val="en-US"/>
              </w:rPr>
              <w:tab/>
            </w:r>
            <w:r w:rsidR="002E7775" w:rsidRPr="00DB251D">
              <w:rPr>
                <w:rFonts w:ascii="Verdana" w:hAnsi="Verdana"/>
                <w:sz w:val="20"/>
                <w:lang w:val="en-US"/>
              </w:rPr>
              <w:t xml:space="preserve">Document </w:t>
            </w:r>
            <w:proofErr w:type="spellStart"/>
            <w:r w:rsidR="002E7775" w:rsidRPr="00DB251D">
              <w:rPr>
                <w:rFonts w:ascii="Verdana" w:hAnsi="Verdana"/>
                <w:sz w:val="20"/>
                <w:lang w:val="en-US"/>
              </w:rPr>
              <w:t>5A</w:t>
            </w:r>
            <w:proofErr w:type="spellEnd"/>
            <w:r w:rsidR="002E7775" w:rsidRPr="00DB251D">
              <w:rPr>
                <w:rFonts w:ascii="Verdana" w:hAnsi="Verdana"/>
                <w:sz w:val="20"/>
                <w:lang w:val="en-US"/>
              </w:rPr>
              <w:t>/TEMP/240</w:t>
            </w:r>
          </w:p>
        </w:tc>
        <w:tc>
          <w:tcPr>
            <w:tcW w:w="3402" w:type="dxa"/>
          </w:tcPr>
          <w:p w:rsidR="002176F6" w:rsidRPr="00DB251D" w:rsidRDefault="002E7775" w:rsidP="00E65EC6">
            <w:pPr>
              <w:shd w:val="solid" w:color="FFFFFF" w:fill="FFFFFF"/>
              <w:spacing w:before="0" w:line="240" w:lineRule="atLeast"/>
              <w:rPr>
                <w:rFonts w:ascii="Verdana" w:hAnsi="Verdana"/>
                <w:sz w:val="20"/>
                <w:lang w:val="en-US" w:eastAsia="zh-CN"/>
              </w:rPr>
            </w:pPr>
            <w:r w:rsidRPr="00DB251D">
              <w:rPr>
                <w:rFonts w:ascii="Verdana" w:hAnsi="Verdana"/>
                <w:b/>
                <w:sz w:val="20"/>
                <w:lang w:val="en-US" w:eastAsia="zh-CN"/>
              </w:rPr>
              <w:t>Annex 27 to</w:t>
            </w:r>
            <w:r w:rsidR="00E65EC6" w:rsidRPr="00DB251D">
              <w:rPr>
                <w:rFonts w:ascii="Verdana" w:hAnsi="Verdana"/>
                <w:b/>
                <w:sz w:val="20"/>
                <w:lang w:val="en-US" w:eastAsia="zh-CN"/>
              </w:rPr>
              <w:br/>
            </w:r>
            <w:r w:rsidR="001E1BC0" w:rsidRPr="00DB251D">
              <w:rPr>
                <w:rFonts w:ascii="Verdana" w:hAnsi="Verdana"/>
                <w:b/>
                <w:sz w:val="20"/>
                <w:lang w:val="en-US" w:eastAsia="zh-CN"/>
              </w:rPr>
              <w:t xml:space="preserve">Document </w:t>
            </w:r>
            <w:proofErr w:type="spellStart"/>
            <w:r w:rsidR="001E1BC0" w:rsidRPr="00DB251D">
              <w:rPr>
                <w:rFonts w:ascii="Verdana" w:hAnsi="Verdana"/>
                <w:b/>
                <w:sz w:val="20"/>
                <w:lang w:val="en-US" w:eastAsia="zh-CN"/>
              </w:rPr>
              <w:t>5A</w:t>
            </w:r>
            <w:proofErr w:type="spellEnd"/>
            <w:r w:rsidR="001E1BC0" w:rsidRPr="00DB251D">
              <w:rPr>
                <w:rFonts w:ascii="Verdana" w:hAnsi="Verdana"/>
                <w:b/>
                <w:sz w:val="20"/>
                <w:lang w:val="en-US" w:eastAsia="zh-CN"/>
              </w:rPr>
              <w:t>/</w:t>
            </w:r>
            <w:r w:rsidRPr="00DB251D">
              <w:rPr>
                <w:rFonts w:ascii="Verdana" w:hAnsi="Verdana"/>
                <w:b/>
                <w:sz w:val="20"/>
                <w:lang w:val="en-US" w:eastAsia="zh-CN"/>
              </w:rPr>
              <w:t>650</w:t>
            </w:r>
            <w:r w:rsidR="00402307" w:rsidRPr="00DB251D">
              <w:rPr>
                <w:rFonts w:ascii="Verdana" w:hAnsi="Verdana"/>
                <w:b/>
                <w:sz w:val="20"/>
                <w:lang w:val="en-US" w:eastAsia="zh-CN"/>
              </w:rPr>
              <w:t>-E</w:t>
            </w:r>
          </w:p>
        </w:tc>
      </w:tr>
      <w:tr w:rsidR="002176F6" w:rsidRPr="00DB251D">
        <w:trPr>
          <w:cantSplit/>
        </w:trPr>
        <w:tc>
          <w:tcPr>
            <w:tcW w:w="6487" w:type="dxa"/>
            <w:vMerge/>
          </w:tcPr>
          <w:p w:rsidR="002176F6" w:rsidRPr="00DB251D" w:rsidRDefault="002176F6">
            <w:pPr>
              <w:spacing w:before="60"/>
              <w:jc w:val="center"/>
              <w:rPr>
                <w:b/>
                <w:smallCaps/>
                <w:sz w:val="32"/>
                <w:lang w:val="en-US" w:eastAsia="zh-CN"/>
              </w:rPr>
            </w:pPr>
          </w:p>
        </w:tc>
        <w:tc>
          <w:tcPr>
            <w:tcW w:w="3402" w:type="dxa"/>
          </w:tcPr>
          <w:p w:rsidR="002176F6" w:rsidRPr="00DB251D" w:rsidRDefault="00E65EC6">
            <w:pPr>
              <w:shd w:val="solid" w:color="FFFFFF" w:fill="FFFFFF"/>
              <w:spacing w:before="0" w:line="240" w:lineRule="atLeast"/>
              <w:rPr>
                <w:rFonts w:ascii="Verdana" w:hAnsi="Verdana"/>
                <w:sz w:val="20"/>
                <w:lang w:val="en-US" w:eastAsia="zh-CN"/>
              </w:rPr>
            </w:pPr>
            <w:r w:rsidRPr="00DB251D">
              <w:rPr>
                <w:rFonts w:ascii="Verdana" w:hAnsi="Verdana"/>
                <w:b/>
                <w:sz w:val="20"/>
                <w:lang w:val="en-US" w:eastAsia="zh-CN"/>
              </w:rPr>
              <w:t>21</w:t>
            </w:r>
            <w:r w:rsidR="001E1BC0" w:rsidRPr="00DB251D">
              <w:rPr>
                <w:rFonts w:ascii="Verdana" w:hAnsi="Verdana"/>
                <w:b/>
                <w:sz w:val="20"/>
                <w:lang w:val="en-US" w:eastAsia="zh-CN"/>
              </w:rPr>
              <w:t xml:space="preserve"> November 2017</w:t>
            </w:r>
          </w:p>
        </w:tc>
      </w:tr>
      <w:tr w:rsidR="002176F6" w:rsidRPr="00DB251D">
        <w:trPr>
          <w:cantSplit/>
        </w:trPr>
        <w:tc>
          <w:tcPr>
            <w:tcW w:w="6487" w:type="dxa"/>
            <w:vMerge/>
          </w:tcPr>
          <w:p w:rsidR="002176F6" w:rsidRPr="00DB251D" w:rsidRDefault="002176F6">
            <w:pPr>
              <w:spacing w:before="60"/>
              <w:jc w:val="center"/>
              <w:rPr>
                <w:b/>
                <w:smallCaps/>
                <w:sz w:val="32"/>
                <w:lang w:val="en-US" w:eastAsia="zh-CN"/>
              </w:rPr>
            </w:pPr>
          </w:p>
        </w:tc>
        <w:tc>
          <w:tcPr>
            <w:tcW w:w="3402" w:type="dxa"/>
          </w:tcPr>
          <w:p w:rsidR="002176F6" w:rsidRPr="00DB251D" w:rsidRDefault="001E1BC0">
            <w:pPr>
              <w:shd w:val="solid" w:color="FFFFFF" w:fill="FFFFFF"/>
              <w:spacing w:before="0" w:line="240" w:lineRule="atLeast"/>
              <w:rPr>
                <w:rFonts w:ascii="Verdana" w:eastAsia="SimSun" w:hAnsi="Verdana"/>
                <w:sz w:val="20"/>
                <w:lang w:val="en-US" w:eastAsia="zh-CN"/>
              </w:rPr>
            </w:pPr>
            <w:r w:rsidRPr="00DB251D">
              <w:rPr>
                <w:rFonts w:ascii="Verdana" w:eastAsia="SimSun" w:hAnsi="Verdana"/>
                <w:b/>
                <w:sz w:val="20"/>
                <w:lang w:val="en-US" w:eastAsia="zh-CN"/>
              </w:rPr>
              <w:t>English only</w:t>
            </w:r>
          </w:p>
        </w:tc>
      </w:tr>
      <w:tr w:rsidR="002E7775" w:rsidRPr="00DB251D">
        <w:trPr>
          <w:cantSplit/>
        </w:trPr>
        <w:tc>
          <w:tcPr>
            <w:tcW w:w="9889" w:type="dxa"/>
            <w:gridSpan w:val="2"/>
          </w:tcPr>
          <w:p w:rsidR="002E7775" w:rsidRPr="00DB251D" w:rsidRDefault="002E7775" w:rsidP="002E7775">
            <w:pPr>
              <w:pStyle w:val="Source"/>
              <w:rPr>
                <w:lang w:val="en-US" w:eastAsia="zh-CN"/>
              </w:rPr>
            </w:pPr>
            <w:bookmarkStart w:id="0" w:name="ditulogo"/>
            <w:bookmarkStart w:id="1" w:name="dsource" w:colFirst="0" w:colLast="0"/>
            <w:bookmarkEnd w:id="0"/>
            <w:r w:rsidRPr="00DB251D">
              <w:rPr>
                <w:lang w:val="en-US" w:eastAsia="zh-CN"/>
              </w:rPr>
              <w:t xml:space="preserve">Annex 27 to Working Party </w:t>
            </w:r>
            <w:proofErr w:type="spellStart"/>
            <w:r w:rsidRPr="00DB251D">
              <w:rPr>
                <w:lang w:val="en-US" w:eastAsia="zh-CN"/>
              </w:rPr>
              <w:t>5A</w:t>
            </w:r>
            <w:proofErr w:type="spellEnd"/>
            <w:r w:rsidRPr="00DB251D">
              <w:rPr>
                <w:lang w:val="en-US" w:eastAsia="zh-CN"/>
              </w:rPr>
              <w:t xml:space="preserve"> Chairman’s Report</w:t>
            </w:r>
          </w:p>
        </w:tc>
      </w:tr>
      <w:tr w:rsidR="002E7775" w:rsidRPr="00DB251D">
        <w:trPr>
          <w:cantSplit/>
        </w:trPr>
        <w:tc>
          <w:tcPr>
            <w:tcW w:w="9889" w:type="dxa"/>
            <w:gridSpan w:val="2"/>
          </w:tcPr>
          <w:p w:rsidR="002E7775" w:rsidRPr="00DB251D" w:rsidRDefault="00CB1236" w:rsidP="00CB1236">
            <w:pPr>
              <w:pStyle w:val="Title1"/>
              <w:framePr w:hSpace="0" w:wrap="auto" w:hAnchor="text" w:yAlign="inline"/>
              <w:rPr>
                <w:strike/>
              </w:rPr>
            </w:pPr>
            <w:bookmarkStart w:id="2" w:name="drec" w:colFirst="0" w:colLast="0"/>
            <w:bookmarkStart w:id="3" w:name="_GoBack"/>
            <w:bookmarkEnd w:id="1"/>
            <w:r w:rsidRPr="00DB251D">
              <w:t>Elements of sharing and compatibility studies of WAS/</w:t>
            </w:r>
            <w:proofErr w:type="spellStart"/>
            <w:r w:rsidRPr="00DB251D">
              <w:t>RLAN</w:t>
            </w:r>
            <w:proofErr w:type="spellEnd"/>
            <w:r w:rsidRPr="00DB251D">
              <w:t xml:space="preserve"> </w:t>
            </w:r>
            <w:r w:rsidRPr="00DB251D">
              <w:br/>
              <w:t>in the 5 850-5 925 MHz frequency range</w:t>
            </w:r>
            <w:bookmarkEnd w:id="3"/>
          </w:p>
        </w:tc>
      </w:tr>
      <w:tr w:rsidR="002E7775" w:rsidRPr="00DB251D">
        <w:trPr>
          <w:cantSplit/>
        </w:trPr>
        <w:tc>
          <w:tcPr>
            <w:tcW w:w="9889" w:type="dxa"/>
            <w:gridSpan w:val="2"/>
          </w:tcPr>
          <w:p w:rsidR="002E7775" w:rsidRPr="00DB251D" w:rsidRDefault="002E7775" w:rsidP="006A6CD7">
            <w:pPr>
              <w:pStyle w:val="Reptitle"/>
              <w:rPr>
                <w:lang w:val="en-US" w:eastAsia="zh-CN"/>
              </w:rPr>
            </w:pPr>
            <w:bookmarkStart w:id="4" w:name="dtitle1" w:colFirst="0" w:colLast="0"/>
            <w:bookmarkEnd w:id="2"/>
          </w:p>
        </w:tc>
      </w:tr>
    </w:tbl>
    <w:p w:rsidR="002176F6" w:rsidRPr="00DB251D" w:rsidRDefault="001E1BC0">
      <w:pPr>
        <w:pStyle w:val="Normalaftertitle"/>
        <w:spacing w:before="600"/>
        <w:rPr>
          <w:i/>
          <w:iCs/>
          <w:lang w:val="en-US" w:eastAsia="zh-CN"/>
        </w:rPr>
      </w:pPr>
      <w:bookmarkStart w:id="5" w:name="dbreak"/>
      <w:bookmarkEnd w:id="4"/>
      <w:bookmarkEnd w:id="5"/>
      <w:r w:rsidRPr="00DB251D">
        <w:rPr>
          <w:i/>
          <w:iCs/>
          <w:lang w:val="en-US" w:eastAsia="zh-CN"/>
        </w:rPr>
        <w:t xml:space="preserve">[Editor’s </w:t>
      </w:r>
      <w:r w:rsidR="00952138" w:rsidRPr="00DB251D">
        <w:rPr>
          <w:i/>
          <w:iCs/>
          <w:lang w:val="en-US" w:eastAsia="zh-CN"/>
        </w:rPr>
        <w:t>note</w:t>
      </w:r>
      <w:r w:rsidRPr="00DB251D">
        <w:rPr>
          <w:i/>
          <w:iCs/>
          <w:lang w:val="en-US" w:eastAsia="zh-CN"/>
        </w:rPr>
        <w:t xml:space="preserve">: This document is a compilation of material presented in contributions submitted to May and November 2016, and the May and November 2017 WP </w:t>
      </w:r>
      <w:proofErr w:type="spellStart"/>
      <w:r w:rsidRPr="00DB251D">
        <w:rPr>
          <w:i/>
          <w:iCs/>
          <w:lang w:val="en-US" w:eastAsia="zh-CN"/>
        </w:rPr>
        <w:t>5A</w:t>
      </w:r>
      <w:proofErr w:type="spellEnd"/>
      <w:r w:rsidRPr="00DB251D">
        <w:rPr>
          <w:i/>
          <w:iCs/>
          <w:lang w:val="en-US" w:eastAsia="zh-CN"/>
        </w:rPr>
        <w:t xml:space="preserve"> meetings (see </w:t>
      </w:r>
      <w:r w:rsidR="00952138" w:rsidRPr="00DB251D">
        <w:rPr>
          <w:i/>
          <w:iCs/>
          <w:lang w:val="en-US" w:eastAsia="zh-CN"/>
        </w:rPr>
        <w:t xml:space="preserve">source indication </w:t>
      </w:r>
      <w:r w:rsidRPr="00DB251D">
        <w:rPr>
          <w:i/>
          <w:iCs/>
          <w:lang w:val="en-US" w:eastAsia="zh-CN"/>
        </w:rPr>
        <w:t>below) that the submitting administrations requested to be considered in developing this document. The content of this document need to be supported by corresponding sharing studies. The material contained in this document has not been agreed by WP </w:t>
      </w:r>
      <w:proofErr w:type="spellStart"/>
      <w:r w:rsidRPr="00DB251D">
        <w:rPr>
          <w:i/>
          <w:iCs/>
          <w:lang w:val="en-US" w:eastAsia="zh-CN"/>
        </w:rPr>
        <w:t>5A</w:t>
      </w:r>
      <w:proofErr w:type="spellEnd"/>
      <w:r w:rsidRPr="00DB251D">
        <w:rPr>
          <w:i/>
          <w:iCs/>
          <w:lang w:val="en-US" w:eastAsia="zh-CN"/>
        </w:rPr>
        <w:t>.</w:t>
      </w:r>
      <w:r w:rsidR="002E7775" w:rsidRPr="00DB251D">
        <w:rPr>
          <w:i/>
          <w:iCs/>
          <w:lang w:val="en-US" w:eastAsia="zh-CN"/>
        </w:rPr>
        <w:t xml:space="preserve"> </w:t>
      </w:r>
      <w:r w:rsidRPr="00DB251D">
        <w:rPr>
          <w:i/>
          <w:iCs/>
          <w:lang w:val="en-US" w:eastAsia="zh-CN"/>
        </w:rPr>
        <w:t>The material if agreed could be used to satisfy the objective of agenda item 1.16.]</w:t>
      </w:r>
    </w:p>
    <w:p w:rsidR="002176F6" w:rsidRPr="00DB251D" w:rsidRDefault="001E1BC0">
      <w:pPr>
        <w:pStyle w:val="Heading1"/>
        <w:rPr>
          <w:lang w:val="en-US"/>
        </w:rPr>
      </w:pPr>
      <w:r w:rsidRPr="00DB251D">
        <w:rPr>
          <w:lang w:val="en-US"/>
        </w:rPr>
        <w:t>1</w:t>
      </w:r>
      <w:r w:rsidRPr="00DB251D">
        <w:rPr>
          <w:lang w:val="en-US"/>
        </w:rPr>
        <w:tab/>
        <w:t>Introduction</w:t>
      </w:r>
    </w:p>
    <w:p w:rsidR="002176F6" w:rsidRPr="00DB251D" w:rsidRDefault="001E1BC0" w:rsidP="006A6CD7">
      <w:pPr>
        <w:rPr>
          <w:color w:val="000000"/>
          <w:szCs w:val="24"/>
          <w:lang w:val="en-US"/>
        </w:rPr>
      </w:pPr>
      <w:r w:rsidRPr="00DB251D">
        <w:rPr>
          <w:szCs w:val="24"/>
          <w:lang w:val="en-US" w:eastAsia="ja-JP"/>
        </w:rPr>
        <w:t>This Report includes the sharing and compatibilities studies of WAS/</w:t>
      </w:r>
      <w:proofErr w:type="spellStart"/>
      <w:r w:rsidRPr="00DB251D">
        <w:rPr>
          <w:szCs w:val="24"/>
          <w:lang w:val="en-US" w:eastAsia="ja-JP"/>
        </w:rPr>
        <w:t>RLAN</w:t>
      </w:r>
      <w:proofErr w:type="spellEnd"/>
      <w:r w:rsidRPr="00DB251D">
        <w:rPr>
          <w:szCs w:val="24"/>
          <w:lang w:val="en-US" w:eastAsia="ja-JP"/>
        </w:rPr>
        <w:t xml:space="preserve"> </w:t>
      </w:r>
      <w:r w:rsidRPr="00DB251D">
        <w:rPr>
          <w:color w:val="000000"/>
          <w:szCs w:val="24"/>
          <w:lang w:val="en-US"/>
        </w:rPr>
        <w:t>in the 5</w:t>
      </w:r>
      <w:r w:rsidR="006A6CD7" w:rsidRPr="00DB251D">
        <w:rPr>
          <w:color w:val="000000"/>
          <w:szCs w:val="24"/>
          <w:lang w:val="en-US"/>
        </w:rPr>
        <w:t> </w:t>
      </w:r>
      <w:r w:rsidRPr="00DB251D">
        <w:rPr>
          <w:color w:val="000000"/>
          <w:szCs w:val="24"/>
          <w:lang w:val="en-US"/>
        </w:rPr>
        <w:t>850</w:t>
      </w:r>
      <w:r w:rsidR="006A6CD7" w:rsidRPr="00DB251D">
        <w:rPr>
          <w:color w:val="000000"/>
          <w:szCs w:val="24"/>
          <w:lang w:val="en-US"/>
        </w:rPr>
        <w:noBreakHyphen/>
      </w:r>
      <w:r w:rsidRPr="00DB251D">
        <w:rPr>
          <w:color w:val="000000"/>
          <w:szCs w:val="24"/>
          <w:lang w:val="en-US"/>
        </w:rPr>
        <w:t>5</w:t>
      </w:r>
      <w:r w:rsidR="006A6CD7" w:rsidRPr="00DB251D">
        <w:rPr>
          <w:color w:val="000000"/>
          <w:szCs w:val="24"/>
          <w:lang w:val="en-US"/>
        </w:rPr>
        <w:t> </w:t>
      </w:r>
      <w:r w:rsidRPr="00DB251D">
        <w:rPr>
          <w:color w:val="000000"/>
          <w:szCs w:val="24"/>
          <w:lang w:val="en-US"/>
        </w:rPr>
        <w:t>925</w:t>
      </w:r>
      <w:r w:rsidR="006A6CD7" w:rsidRPr="00DB251D">
        <w:rPr>
          <w:color w:val="000000"/>
          <w:szCs w:val="24"/>
          <w:lang w:val="en-US"/>
        </w:rPr>
        <w:t> </w:t>
      </w:r>
      <w:r w:rsidRPr="00DB251D">
        <w:rPr>
          <w:color w:val="000000"/>
          <w:szCs w:val="24"/>
          <w:lang w:val="en-US"/>
        </w:rPr>
        <w:t>MHz frequency range.</w:t>
      </w:r>
    </w:p>
    <w:p w:rsidR="002176F6" w:rsidRPr="00DB251D" w:rsidRDefault="001E1BC0">
      <w:pPr>
        <w:rPr>
          <w:b/>
          <w:sz w:val="28"/>
          <w:lang w:val="en-US"/>
        </w:rPr>
      </w:pPr>
      <w:r w:rsidRPr="00DB251D">
        <w:rPr>
          <w:color w:val="000000"/>
          <w:szCs w:val="24"/>
          <w:lang w:val="en-US"/>
        </w:rPr>
        <w:t xml:space="preserve">It is intended to represent the response to </w:t>
      </w:r>
      <w:r w:rsidRPr="00DB251D">
        <w:rPr>
          <w:i/>
          <w:color w:val="000000"/>
          <w:szCs w:val="24"/>
          <w:lang w:val="en-US"/>
        </w:rPr>
        <w:t xml:space="preserve">invites </w:t>
      </w:r>
      <w:proofErr w:type="spellStart"/>
      <w:r w:rsidRPr="00DB251D">
        <w:rPr>
          <w:i/>
          <w:color w:val="000000"/>
          <w:szCs w:val="24"/>
          <w:lang w:val="en-US"/>
        </w:rPr>
        <w:t>ITU</w:t>
      </w:r>
      <w:proofErr w:type="spellEnd"/>
      <w:r w:rsidRPr="00DB251D">
        <w:rPr>
          <w:i/>
          <w:color w:val="000000"/>
          <w:szCs w:val="24"/>
          <w:lang w:val="en-US"/>
        </w:rPr>
        <w:t>-R</w:t>
      </w:r>
      <w:r w:rsidRPr="00DB251D">
        <w:rPr>
          <w:color w:val="000000"/>
          <w:szCs w:val="24"/>
          <w:lang w:val="en-US"/>
        </w:rPr>
        <w:t xml:space="preserve"> </w:t>
      </w:r>
      <w:r w:rsidRPr="00DB251D">
        <w:rPr>
          <w:i/>
          <w:iCs/>
          <w:color w:val="000000"/>
          <w:szCs w:val="24"/>
          <w:lang w:val="en-US"/>
        </w:rPr>
        <w:t>f)</w:t>
      </w:r>
      <w:r w:rsidRPr="00DB251D">
        <w:rPr>
          <w:color w:val="000000"/>
          <w:szCs w:val="24"/>
          <w:lang w:val="en-US"/>
        </w:rPr>
        <w:t xml:space="preserve"> of </w:t>
      </w:r>
      <w:r w:rsidRPr="00DB251D">
        <w:rPr>
          <w:szCs w:val="24"/>
          <w:lang w:val="en-US" w:eastAsia="ja-JP"/>
        </w:rPr>
        <w:t xml:space="preserve">Resolution </w:t>
      </w:r>
      <w:r w:rsidRPr="00DB251D">
        <w:rPr>
          <w:b/>
          <w:szCs w:val="24"/>
          <w:lang w:val="en-US"/>
        </w:rPr>
        <w:t>239 (</w:t>
      </w:r>
      <w:proofErr w:type="spellStart"/>
      <w:r w:rsidRPr="00DB251D">
        <w:rPr>
          <w:b/>
          <w:szCs w:val="24"/>
          <w:lang w:val="en-US"/>
        </w:rPr>
        <w:t>WRC</w:t>
      </w:r>
      <w:proofErr w:type="spellEnd"/>
      <w:r w:rsidRPr="00DB251D">
        <w:rPr>
          <w:b/>
          <w:szCs w:val="24"/>
          <w:lang w:val="en-US"/>
        </w:rPr>
        <w:noBreakHyphen/>
        <w:t xml:space="preserve">15) </w:t>
      </w:r>
      <w:r w:rsidRPr="00DB251D">
        <w:rPr>
          <w:szCs w:val="24"/>
          <w:lang w:val="en-US"/>
        </w:rPr>
        <w:t xml:space="preserve">under </w:t>
      </w:r>
      <w:proofErr w:type="spellStart"/>
      <w:r w:rsidRPr="00DB251D">
        <w:rPr>
          <w:szCs w:val="24"/>
          <w:lang w:val="en-US"/>
        </w:rPr>
        <w:t>WRC</w:t>
      </w:r>
      <w:proofErr w:type="spellEnd"/>
      <w:r w:rsidRPr="00DB251D">
        <w:rPr>
          <w:szCs w:val="24"/>
          <w:lang w:val="en-US"/>
        </w:rPr>
        <w:t>-19 agenda item 1.16.</w:t>
      </w:r>
    </w:p>
    <w:p w:rsidR="002176F6" w:rsidRPr="00DB251D" w:rsidRDefault="001E1BC0">
      <w:pPr>
        <w:pStyle w:val="Heading1"/>
        <w:rPr>
          <w:lang w:val="en-US"/>
        </w:rPr>
      </w:pPr>
      <w:r w:rsidRPr="00DB251D">
        <w:rPr>
          <w:lang w:val="en-US"/>
        </w:rPr>
        <w:t>2</w:t>
      </w:r>
      <w:r w:rsidRPr="00DB251D">
        <w:rPr>
          <w:lang w:val="en-US"/>
        </w:rPr>
        <w:tab/>
        <w:t>Scope of the sharing and compatibility of WAS/</w:t>
      </w:r>
      <w:proofErr w:type="spellStart"/>
      <w:r w:rsidRPr="00DB251D">
        <w:rPr>
          <w:lang w:val="en-US"/>
        </w:rPr>
        <w:t>RLAN</w:t>
      </w:r>
      <w:proofErr w:type="spellEnd"/>
      <w:r w:rsidRPr="00DB251D">
        <w:rPr>
          <w:lang w:val="en-US"/>
        </w:rPr>
        <w:t xml:space="preserve"> with other services in the 5 850-5 925 MHz range.</w:t>
      </w:r>
    </w:p>
    <w:p w:rsidR="002176F6" w:rsidRPr="00DB251D" w:rsidRDefault="001E1BC0" w:rsidP="005045C2">
      <w:pPr>
        <w:rPr>
          <w:rFonts w:eastAsia="SimSun"/>
          <w:lang w:val="en-US"/>
        </w:rPr>
      </w:pPr>
      <w:r w:rsidRPr="00DB251D">
        <w:rPr>
          <w:rFonts w:eastAsia="SimSun"/>
          <w:lang w:val="en-US"/>
        </w:rPr>
        <w:t xml:space="preserve">The World </w:t>
      </w:r>
      <w:proofErr w:type="spellStart"/>
      <w:r w:rsidRPr="00DB251D">
        <w:rPr>
          <w:rFonts w:eastAsia="SimSun"/>
          <w:lang w:val="en-US"/>
        </w:rPr>
        <w:t>Radiocommunications</w:t>
      </w:r>
      <w:proofErr w:type="spellEnd"/>
      <w:r w:rsidRPr="00DB251D">
        <w:rPr>
          <w:rFonts w:eastAsia="SimSun"/>
          <w:lang w:val="en-US"/>
        </w:rPr>
        <w:t xml:space="preserve"> Conference 2015 decided on the draft agenda for the upcoming World </w:t>
      </w:r>
      <w:proofErr w:type="spellStart"/>
      <w:r w:rsidRPr="00DB251D">
        <w:rPr>
          <w:rFonts w:eastAsia="SimSun"/>
          <w:lang w:val="en-US"/>
        </w:rPr>
        <w:t>Radiocommunications</w:t>
      </w:r>
      <w:proofErr w:type="spellEnd"/>
      <w:r w:rsidRPr="00DB251D">
        <w:rPr>
          <w:rFonts w:eastAsia="SimSun"/>
          <w:lang w:val="en-US"/>
        </w:rPr>
        <w:t xml:space="preserve"> Conference scheduled for 2019. Among other items, </w:t>
      </w:r>
      <w:proofErr w:type="spellStart"/>
      <w:r w:rsidRPr="00DB251D">
        <w:rPr>
          <w:rFonts w:eastAsia="SimSun"/>
          <w:lang w:val="en-US"/>
        </w:rPr>
        <w:t>WRC</w:t>
      </w:r>
      <w:proofErr w:type="spellEnd"/>
      <w:r w:rsidRPr="00DB251D">
        <w:rPr>
          <w:rFonts w:eastAsia="SimSun"/>
          <w:lang w:val="en-US"/>
        </w:rPr>
        <w:t>-19 agenda item 1.16 addresses the need of studies on regulatory actions and possible additional spectrum allocations to the mobile service, including radio local area networks (WAS/</w:t>
      </w:r>
      <w:proofErr w:type="spellStart"/>
      <w:r w:rsidRPr="00DB251D">
        <w:rPr>
          <w:rFonts w:eastAsia="SimSun"/>
          <w:lang w:val="en-US"/>
        </w:rPr>
        <w:t>RLAN</w:t>
      </w:r>
      <w:proofErr w:type="spellEnd"/>
      <w:r w:rsidRPr="00DB251D">
        <w:rPr>
          <w:rFonts w:eastAsia="SimSun"/>
          <w:lang w:val="en-US"/>
        </w:rPr>
        <w:t xml:space="preserve">). Indeed, </w:t>
      </w:r>
      <w:proofErr w:type="spellStart"/>
      <w:r w:rsidRPr="00DB251D">
        <w:rPr>
          <w:rFonts w:eastAsia="SimSun"/>
          <w:lang w:val="en-US"/>
        </w:rPr>
        <w:t>WRC</w:t>
      </w:r>
      <w:proofErr w:type="spellEnd"/>
      <w:r w:rsidR="005045C2" w:rsidRPr="00DB251D">
        <w:rPr>
          <w:rFonts w:eastAsia="SimSun"/>
          <w:lang w:val="en-US"/>
        </w:rPr>
        <w:noBreakHyphen/>
      </w:r>
      <w:r w:rsidRPr="00DB251D">
        <w:rPr>
          <w:rFonts w:eastAsia="SimSun"/>
          <w:lang w:val="en-US"/>
        </w:rPr>
        <w:t xml:space="preserve">19 agenda item 1.16 reads: </w:t>
      </w:r>
    </w:p>
    <w:p w:rsidR="002176F6" w:rsidRPr="00DB251D" w:rsidRDefault="001E1BC0">
      <w:pPr>
        <w:pStyle w:val="enumlev1"/>
        <w:rPr>
          <w:i/>
          <w:iCs/>
          <w:lang w:val="en-US"/>
        </w:rPr>
      </w:pPr>
      <w:r w:rsidRPr="00DB251D">
        <w:rPr>
          <w:lang w:val="en-US"/>
        </w:rPr>
        <w:tab/>
      </w:r>
      <w:r w:rsidRPr="00DB251D">
        <w:rPr>
          <w:i/>
          <w:iCs/>
          <w:lang w:val="en-US"/>
        </w:rPr>
        <w:t>1.16</w:t>
      </w:r>
      <w:r w:rsidRPr="00DB251D">
        <w:rPr>
          <w:i/>
          <w:iCs/>
          <w:lang w:val="en-US"/>
        </w:rPr>
        <w:tab/>
        <w:t>to consider issues related to wireless access systems, including radio local area networks (WAS/</w:t>
      </w:r>
      <w:proofErr w:type="spellStart"/>
      <w:r w:rsidRPr="00DB251D">
        <w:rPr>
          <w:i/>
          <w:iCs/>
          <w:lang w:val="en-US"/>
        </w:rPr>
        <w:t>RLAN</w:t>
      </w:r>
      <w:proofErr w:type="spellEnd"/>
      <w:r w:rsidRPr="00DB251D">
        <w:rPr>
          <w:i/>
          <w:iCs/>
          <w:lang w:val="en-US"/>
        </w:rPr>
        <w:t>), in the frequency bands between 5 150 MHz and 5 925 MHz, and take the appropriate regulatory actions, including additional spectrum allocations to the mobile service, in accordance with Resolution </w:t>
      </w:r>
      <w:r w:rsidRPr="00DB251D">
        <w:rPr>
          <w:b/>
          <w:i/>
          <w:iCs/>
          <w:lang w:val="en-US"/>
        </w:rPr>
        <w:t>239 (</w:t>
      </w:r>
      <w:proofErr w:type="spellStart"/>
      <w:r w:rsidRPr="00DB251D">
        <w:rPr>
          <w:b/>
          <w:i/>
          <w:iCs/>
          <w:lang w:val="en-US"/>
        </w:rPr>
        <w:t>WRC</w:t>
      </w:r>
      <w:proofErr w:type="spellEnd"/>
      <w:r w:rsidRPr="00DB251D">
        <w:rPr>
          <w:b/>
          <w:i/>
          <w:iCs/>
          <w:lang w:val="en-US"/>
        </w:rPr>
        <w:noBreakHyphen/>
        <w:t>15)</w:t>
      </w:r>
      <w:r w:rsidRPr="00DB251D">
        <w:rPr>
          <w:bCs/>
          <w:i/>
          <w:iCs/>
          <w:lang w:val="en-US"/>
        </w:rPr>
        <w:t>.</w:t>
      </w:r>
    </w:p>
    <w:p w:rsidR="002176F6" w:rsidRPr="00DB251D" w:rsidRDefault="001E1BC0">
      <w:pPr>
        <w:pStyle w:val="Normalaftertitle"/>
        <w:keepNext/>
        <w:keepLines/>
        <w:rPr>
          <w:lang w:val="en-US"/>
        </w:rPr>
      </w:pPr>
      <w:r w:rsidRPr="00DB251D">
        <w:rPr>
          <w:lang w:val="en-US"/>
        </w:rPr>
        <w:lastRenderedPageBreak/>
        <w:t>The related Resolution </w:t>
      </w:r>
      <w:r w:rsidRPr="00DB251D">
        <w:rPr>
          <w:b/>
          <w:lang w:val="en-US"/>
        </w:rPr>
        <w:t>239 (</w:t>
      </w:r>
      <w:proofErr w:type="spellStart"/>
      <w:r w:rsidRPr="00DB251D">
        <w:rPr>
          <w:b/>
          <w:lang w:val="en-US"/>
        </w:rPr>
        <w:t>WRC</w:t>
      </w:r>
      <w:proofErr w:type="spellEnd"/>
      <w:r w:rsidRPr="00DB251D">
        <w:rPr>
          <w:b/>
          <w:lang w:val="en-US"/>
        </w:rPr>
        <w:noBreakHyphen/>
        <w:t xml:space="preserve">15) </w:t>
      </w:r>
      <w:r w:rsidRPr="00DB251D">
        <w:rPr>
          <w:lang w:val="en-US"/>
        </w:rPr>
        <w:t xml:space="preserve">to the </w:t>
      </w:r>
      <w:proofErr w:type="spellStart"/>
      <w:r w:rsidRPr="00DB251D">
        <w:rPr>
          <w:rFonts w:eastAsia="SimSun"/>
          <w:lang w:val="en-US"/>
        </w:rPr>
        <w:t>WRC</w:t>
      </w:r>
      <w:proofErr w:type="spellEnd"/>
      <w:r w:rsidRPr="00DB251D">
        <w:rPr>
          <w:rFonts w:eastAsia="SimSun"/>
          <w:lang w:val="en-US"/>
        </w:rPr>
        <w:t xml:space="preserve">-19 </w:t>
      </w:r>
      <w:r w:rsidRPr="00DB251D">
        <w:rPr>
          <w:lang w:val="en-US"/>
        </w:rPr>
        <w:t>agenda item 1.16 deals with studies concerning Wireless Access Systems including radio local area networks in the frequency bands between 5 150 MHz and 5 925 </w:t>
      </w:r>
      <w:proofErr w:type="spellStart"/>
      <w:r w:rsidRPr="00DB251D">
        <w:rPr>
          <w:lang w:val="en-US"/>
        </w:rPr>
        <w:t>MHz.</w:t>
      </w:r>
      <w:proofErr w:type="spellEnd"/>
      <w:r w:rsidRPr="00DB251D">
        <w:rPr>
          <w:lang w:val="en-US"/>
        </w:rPr>
        <w:t xml:space="preserve"> The Resolution invites </w:t>
      </w:r>
      <w:proofErr w:type="spellStart"/>
      <w:r w:rsidRPr="00DB251D">
        <w:rPr>
          <w:lang w:val="en-US"/>
        </w:rPr>
        <w:t>ITU</w:t>
      </w:r>
      <w:proofErr w:type="spellEnd"/>
      <w:r w:rsidRPr="00DB251D">
        <w:rPr>
          <w:lang w:val="en-US"/>
        </w:rPr>
        <w:t xml:space="preserve">-R to conduct and complete the following in time for </w:t>
      </w:r>
      <w:proofErr w:type="spellStart"/>
      <w:r w:rsidRPr="00DB251D">
        <w:rPr>
          <w:lang w:val="en-US"/>
        </w:rPr>
        <w:t>WRC</w:t>
      </w:r>
      <w:proofErr w:type="spellEnd"/>
      <w:r w:rsidRPr="00DB251D">
        <w:rPr>
          <w:lang w:val="en-US"/>
        </w:rPr>
        <w:noBreakHyphen/>
        <w:t>19:</w:t>
      </w:r>
    </w:p>
    <w:p w:rsidR="002176F6" w:rsidRPr="00DB251D" w:rsidRDefault="001E1BC0">
      <w:pPr>
        <w:pStyle w:val="enumlev1"/>
        <w:rPr>
          <w:rFonts w:eastAsia="Calibri"/>
          <w:lang w:val="en-US"/>
        </w:rPr>
      </w:pPr>
      <w:r w:rsidRPr="00DB251D">
        <w:rPr>
          <w:lang w:val="en-US"/>
        </w:rPr>
        <w:t>a)</w:t>
      </w:r>
      <w:r w:rsidRPr="00DB251D">
        <w:rPr>
          <w:lang w:val="en-US"/>
        </w:rPr>
        <w:tab/>
      </w:r>
      <w:proofErr w:type="gramStart"/>
      <w:r w:rsidRPr="00DB251D">
        <w:rPr>
          <w:lang w:val="en-US"/>
        </w:rPr>
        <w:t>to</w:t>
      </w:r>
      <w:proofErr w:type="gramEnd"/>
      <w:r w:rsidRPr="00DB251D">
        <w:rPr>
          <w:lang w:val="en-US"/>
        </w:rPr>
        <w:t xml:space="preserve"> study </w:t>
      </w:r>
      <w:r w:rsidRPr="00DB251D">
        <w:rPr>
          <w:rFonts w:eastAsia="Calibri"/>
          <w:lang w:val="en-US"/>
        </w:rPr>
        <w:t>WAS/</w:t>
      </w:r>
      <w:proofErr w:type="spellStart"/>
      <w:r w:rsidRPr="00DB251D">
        <w:rPr>
          <w:rFonts w:eastAsia="Calibri"/>
          <w:lang w:val="en-US"/>
        </w:rPr>
        <w:t>RLAN</w:t>
      </w:r>
      <w:proofErr w:type="spellEnd"/>
      <w:r w:rsidRPr="00DB251D">
        <w:rPr>
          <w:rFonts w:eastAsia="Calibri"/>
          <w:lang w:val="en-US"/>
        </w:rPr>
        <w:t xml:space="preserve"> technical characteristics and operational requirements in the 5 GHz frequency range;</w:t>
      </w:r>
    </w:p>
    <w:p w:rsidR="002176F6" w:rsidRPr="00DB251D" w:rsidRDefault="001E1BC0">
      <w:pPr>
        <w:pStyle w:val="enumlev1"/>
        <w:rPr>
          <w:rFonts w:eastAsia="Calibri"/>
          <w:lang w:val="en-US"/>
        </w:rPr>
      </w:pPr>
      <w:r w:rsidRPr="00DB251D">
        <w:rPr>
          <w:rFonts w:eastAsia="Calibri"/>
          <w:lang w:val="en-US"/>
        </w:rPr>
        <w:t>b)</w:t>
      </w:r>
      <w:r w:rsidRPr="00DB251D">
        <w:rPr>
          <w:rFonts w:eastAsia="Calibri"/>
          <w:lang w:val="en-US"/>
        </w:rPr>
        <w:tab/>
      </w:r>
      <w:proofErr w:type="gramStart"/>
      <w:r w:rsidRPr="00DB251D">
        <w:rPr>
          <w:rFonts w:eastAsia="Calibri"/>
          <w:lang w:val="en-US"/>
        </w:rPr>
        <w:t>to</w:t>
      </w:r>
      <w:proofErr w:type="gramEnd"/>
      <w:r w:rsidRPr="00DB251D">
        <w:rPr>
          <w:rFonts w:eastAsia="Calibri"/>
          <w:lang w:val="en-US"/>
        </w:rPr>
        <w:t xml:space="preserve"> conduct studies with a view to identify potential WAS/</w:t>
      </w:r>
      <w:proofErr w:type="spellStart"/>
      <w:r w:rsidRPr="00DB251D">
        <w:rPr>
          <w:rFonts w:eastAsia="Calibri"/>
          <w:lang w:val="en-US"/>
        </w:rPr>
        <w:t>RLAN</w:t>
      </w:r>
      <w:proofErr w:type="spellEnd"/>
      <w:r w:rsidRPr="00DB251D">
        <w:rPr>
          <w:rFonts w:eastAsia="Calibri"/>
          <w:lang w:val="en-US"/>
        </w:rPr>
        <w:t xml:space="preserve"> mitigation techniques to facilitate sharing with incumbent systems in the frequency bands 5 150-5 350 MHz, 5 350-5 470 MHz, 5 725-5 850 MHz and 5 850-5 925 MHz, while ensuring the protection of incumbent services including their current and planned use;</w:t>
      </w:r>
    </w:p>
    <w:p w:rsidR="002176F6" w:rsidRPr="00DB251D" w:rsidRDefault="001E1BC0">
      <w:pPr>
        <w:pStyle w:val="enumlev1"/>
        <w:rPr>
          <w:rFonts w:eastAsia="Calibri"/>
          <w:lang w:val="en-US"/>
        </w:rPr>
      </w:pPr>
      <w:r w:rsidRPr="00DB251D">
        <w:rPr>
          <w:lang w:val="en-US"/>
        </w:rPr>
        <w:t>c)</w:t>
      </w:r>
      <w:r w:rsidRPr="00DB251D">
        <w:rPr>
          <w:lang w:val="en-US"/>
        </w:rPr>
        <w:tab/>
      </w:r>
      <w:proofErr w:type="gramStart"/>
      <w:r w:rsidRPr="00DB251D">
        <w:rPr>
          <w:lang w:val="en-US"/>
        </w:rPr>
        <w:t>to</w:t>
      </w:r>
      <w:proofErr w:type="gramEnd"/>
      <w:r w:rsidRPr="00DB251D">
        <w:rPr>
          <w:lang w:val="en-US"/>
        </w:rPr>
        <w:t xml:space="preserve"> </w:t>
      </w:r>
      <w:r w:rsidRPr="00DB251D">
        <w:rPr>
          <w:bCs/>
          <w:lang w:val="en-US"/>
        </w:rPr>
        <w:t>perform</w:t>
      </w:r>
      <w:r w:rsidRPr="00DB251D">
        <w:rPr>
          <w:b/>
          <w:bCs/>
          <w:lang w:val="en-US"/>
        </w:rPr>
        <w:t xml:space="preserve"> </w:t>
      </w:r>
      <w:r w:rsidRPr="00DB251D">
        <w:rPr>
          <w:lang w:val="en-US"/>
        </w:rPr>
        <w:t>sharing and compatibility studies</w:t>
      </w:r>
      <w:r w:rsidRPr="00DB251D">
        <w:rPr>
          <w:bCs/>
          <w:lang w:val="en-US"/>
        </w:rPr>
        <w:t xml:space="preserve"> </w:t>
      </w:r>
      <w:r w:rsidRPr="00DB251D">
        <w:rPr>
          <w:lang w:val="en-US" w:eastAsia="fr-FR"/>
        </w:rPr>
        <w:t>between WAS/</w:t>
      </w:r>
      <w:proofErr w:type="spellStart"/>
      <w:r w:rsidRPr="00DB251D">
        <w:rPr>
          <w:lang w:val="en-US" w:eastAsia="fr-FR"/>
        </w:rPr>
        <w:t>RLAN</w:t>
      </w:r>
      <w:proofErr w:type="spellEnd"/>
      <w:r w:rsidRPr="00DB251D">
        <w:rPr>
          <w:lang w:val="en-US" w:eastAsia="fr-FR"/>
        </w:rPr>
        <w:t xml:space="preserve"> applications and incumbent services </w:t>
      </w:r>
      <w:r w:rsidRPr="00DB251D">
        <w:rPr>
          <w:lang w:val="en-US"/>
        </w:rPr>
        <w:t xml:space="preserve">in the </w:t>
      </w:r>
      <w:r w:rsidRPr="00DB251D">
        <w:rPr>
          <w:rFonts w:eastAsia="Calibri"/>
          <w:lang w:val="en-US"/>
        </w:rPr>
        <w:t>frequency band</w:t>
      </w:r>
      <w:r w:rsidRPr="00DB251D">
        <w:rPr>
          <w:lang w:val="en-US"/>
        </w:rPr>
        <w:t xml:space="preserve"> 5 150-5 350 MHz </w:t>
      </w:r>
      <w:r w:rsidRPr="00DB251D">
        <w:rPr>
          <w:bCs/>
          <w:lang w:val="en-US"/>
        </w:rPr>
        <w:t>with the possibility of enabling outdoor WAS/</w:t>
      </w:r>
      <w:proofErr w:type="spellStart"/>
      <w:r w:rsidRPr="00DB251D">
        <w:rPr>
          <w:bCs/>
          <w:lang w:val="en-US"/>
        </w:rPr>
        <w:t>RLAN</w:t>
      </w:r>
      <w:proofErr w:type="spellEnd"/>
      <w:r w:rsidRPr="00DB251D">
        <w:rPr>
          <w:bCs/>
          <w:lang w:val="en-US"/>
        </w:rPr>
        <w:t xml:space="preserve"> operations</w:t>
      </w:r>
      <w:r w:rsidRPr="00DB251D">
        <w:rPr>
          <w:lang w:val="en-US"/>
        </w:rPr>
        <w:t xml:space="preserve"> </w:t>
      </w:r>
      <w:r w:rsidRPr="00DB251D">
        <w:rPr>
          <w:bCs/>
          <w:lang w:val="en-US"/>
        </w:rPr>
        <w:t>including possible associated conditions;</w:t>
      </w:r>
    </w:p>
    <w:p w:rsidR="002176F6" w:rsidRPr="00DB251D" w:rsidRDefault="001E1BC0">
      <w:pPr>
        <w:pStyle w:val="enumlev1"/>
        <w:rPr>
          <w:rFonts w:eastAsia="Calibri"/>
          <w:lang w:val="en-US"/>
        </w:rPr>
      </w:pPr>
      <w:r w:rsidRPr="00DB251D">
        <w:rPr>
          <w:lang w:val="en-US" w:eastAsia="fr-FR"/>
        </w:rPr>
        <w:t>d)</w:t>
      </w:r>
      <w:r w:rsidRPr="00DB251D">
        <w:rPr>
          <w:lang w:val="en-US" w:eastAsia="fr-FR"/>
        </w:rPr>
        <w:tab/>
      </w:r>
      <w:proofErr w:type="gramStart"/>
      <w:r w:rsidRPr="00DB251D">
        <w:rPr>
          <w:lang w:val="en-US" w:eastAsia="fr-FR"/>
        </w:rPr>
        <w:t>to</w:t>
      </w:r>
      <w:proofErr w:type="gramEnd"/>
      <w:r w:rsidRPr="00DB251D">
        <w:rPr>
          <w:lang w:val="en-US" w:eastAsia="fr-FR"/>
        </w:rPr>
        <w:t xml:space="preserve"> conduct further sharing and compatibility studies between WAS/</w:t>
      </w:r>
      <w:proofErr w:type="spellStart"/>
      <w:r w:rsidRPr="00DB251D">
        <w:rPr>
          <w:lang w:val="en-US" w:eastAsia="fr-FR"/>
        </w:rPr>
        <w:t>RLAN</w:t>
      </w:r>
      <w:proofErr w:type="spellEnd"/>
      <w:r w:rsidRPr="00DB251D">
        <w:rPr>
          <w:lang w:val="en-US" w:eastAsia="fr-FR"/>
        </w:rPr>
        <w:t xml:space="preserve"> applications and incumbent services addressing:</w:t>
      </w:r>
    </w:p>
    <w:p w:rsidR="002176F6" w:rsidRPr="00DB251D" w:rsidRDefault="001E1BC0">
      <w:pPr>
        <w:pStyle w:val="enumlev2"/>
        <w:rPr>
          <w:lang w:val="en-US"/>
        </w:rPr>
      </w:pPr>
      <w:proofErr w:type="spellStart"/>
      <w:r w:rsidRPr="00DB251D">
        <w:rPr>
          <w:lang w:val="en-US"/>
        </w:rPr>
        <w:t>i</w:t>
      </w:r>
      <w:proofErr w:type="spellEnd"/>
      <w:r w:rsidRPr="00DB251D">
        <w:rPr>
          <w:lang w:val="en-US"/>
        </w:rPr>
        <w:t>)</w:t>
      </w:r>
      <w:r w:rsidRPr="00DB251D">
        <w:rPr>
          <w:lang w:val="en-US"/>
        </w:rPr>
        <w:tab/>
        <w:t>whether any additional mitigation techniques in the frequency band 5 350</w:t>
      </w:r>
      <w:r w:rsidRPr="00DB251D">
        <w:rPr>
          <w:lang w:val="en-US"/>
        </w:rPr>
        <w:noBreakHyphen/>
        <w:t xml:space="preserve">5 470 MHz beyond those </w:t>
      </w:r>
      <w:proofErr w:type="spellStart"/>
      <w:r w:rsidRPr="00DB251D">
        <w:rPr>
          <w:lang w:val="en-US"/>
        </w:rPr>
        <w:t>analysed</w:t>
      </w:r>
      <w:proofErr w:type="spellEnd"/>
      <w:r w:rsidRPr="00DB251D">
        <w:rPr>
          <w:lang w:val="en-US"/>
        </w:rPr>
        <w:t xml:space="preserve"> in the studies referred to in </w:t>
      </w:r>
      <w:r w:rsidRPr="00DB251D">
        <w:rPr>
          <w:i/>
          <w:iCs/>
          <w:lang w:val="en-US"/>
        </w:rPr>
        <w:t>recognizing a)</w:t>
      </w:r>
      <w:r w:rsidRPr="00DB251D">
        <w:rPr>
          <w:lang w:val="en-US"/>
        </w:rPr>
        <w:t xml:space="preserve"> would provide coexistence between WAS/</w:t>
      </w:r>
      <w:proofErr w:type="spellStart"/>
      <w:r w:rsidRPr="00DB251D">
        <w:rPr>
          <w:lang w:val="en-US"/>
        </w:rPr>
        <w:t>RLAN</w:t>
      </w:r>
      <w:proofErr w:type="spellEnd"/>
      <w:r w:rsidRPr="00DB251D">
        <w:rPr>
          <w:lang w:val="en-US"/>
        </w:rPr>
        <w:t xml:space="preserve"> systems and </w:t>
      </w:r>
      <w:proofErr w:type="spellStart"/>
      <w:r w:rsidRPr="00DB251D">
        <w:rPr>
          <w:lang w:val="en-US"/>
        </w:rPr>
        <w:t>EESS</w:t>
      </w:r>
      <w:proofErr w:type="spellEnd"/>
      <w:r w:rsidRPr="00DB251D">
        <w:rPr>
          <w:lang w:val="en-US"/>
        </w:rPr>
        <w:t xml:space="preserve"> (active) and SRS (active) systems;</w:t>
      </w:r>
    </w:p>
    <w:p w:rsidR="002176F6" w:rsidRPr="00DB251D" w:rsidRDefault="001E1BC0">
      <w:pPr>
        <w:pStyle w:val="enumlev2"/>
        <w:rPr>
          <w:lang w:val="en-US"/>
        </w:rPr>
      </w:pPr>
      <w:r w:rsidRPr="00DB251D">
        <w:rPr>
          <w:lang w:val="en-US"/>
        </w:rPr>
        <w:t>ii)</w:t>
      </w:r>
      <w:r w:rsidRPr="00DB251D">
        <w:rPr>
          <w:lang w:val="en-US"/>
        </w:rPr>
        <w:tab/>
      </w:r>
      <w:proofErr w:type="gramStart"/>
      <w:r w:rsidRPr="00DB251D">
        <w:rPr>
          <w:lang w:val="en-US"/>
        </w:rPr>
        <w:t>whether</w:t>
      </w:r>
      <w:proofErr w:type="gramEnd"/>
      <w:r w:rsidRPr="00DB251D">
        <w:rPr>
          <w:lang w:val="en-US"/>
        </w:rPr>
        <w:t xml:space="preserve"> any mitigation techniques in the frequency band 5 350-5 470 MHz would provide compatibility between WAS/</w:t>
      </w:r>
      <w:proofErr w:type="spellStart"/>
      <w:r w:rsidRPr="00DB251D">
        <w:rPr>
          <w:lang w:val="en-US"/>
        </w:rPr>
        <w:t>RLAN</w:t>
      </w:r>
      <w:proofErr w:type="spellEnd"/>
      <w:r w:rsidRPr="00DB251D">
        <w:rPr>
          <w:lang w:val="en-US"/>
        </w:rPr>
        <w:t xml:space="preserve"> systems and radio determination systems;</w:t>
      </w:r>
    </w:p>
    <w:p w:rsidR="002176F6" w:rsidRPr="00DB251D" w:rsidRDefault="001E1BC0">
      <w:pPr>
        <w:pStyle w:val="enumlev2"/>
        <w:rPr>
          <w:lang w:val="en-US"/>
        </w:rPr>
      </w:pPr>
      <w:r w:rsidRPr="00DB251D">
        <w:rPr>
          <w:lang w:val="en-US"/>
        </w:rPr>
        <w:t>iii)</w:t>
      </w:r>
      <w:r w:rsidRPr="00DB251D">
        <w:rPr>
          <w:lang w:val="en-US"/>
        </w:rPr>
        <w:tab/>
      </w:r>
      <w:proofErr w:type="gramStart"/>
      <w:r w:rsidRPr="00DB251D">
        <w:rPr>
          <w:lang w:val="en-US"/>
        </w:rPr>
        <w:t>whether</w:t>
      </w:r>
      <w:proofErr w:type="gramEnd"/>
      <w:r w:rsidRPr="00DB251D">
        <w:rPr>
          <w:lang w:val="en-US"/>
        </w:rPr>
        <w:t xml:space="preserve"> the results of studies under points </w:t>
      </w:r>
      <w:proofErr w:type="spellStart"/>
      <w:r w:rsidRPr="00DB251D">
        <w:rPr>
          <w:lang w:val="en-US"/>
        </w:rPr>
        <w:t>i</w:t>
      </w:r>
      <w:proofErr w:type="spellEnd"/>
      <w:r w:rsidRPr="00DB251D">
        <w:rPr>
          <w:lang w:val="en-US"/>
        </w:rPr>
        <w:t>) and ii) would enable an allocation of the frequency band 5 350-5 470 MHz to the mobile service with a view to accommodating WAS/</w:t>
      </w:r>
      <w:proofErr w:type="spellStart"/>
      <w:r w:rsidRPr="00DB251D">
        <w:rPr>
          <w:lang w:val="en-US"/>
        </w:rPr>
        <w:t>RLAN</w:t>
      </w:r>
      <w:proofErr w:type="spellEnd"/>
      <w:r w:rsidRPr="00DB251D">
        <w:rPr>
          <w:lang w:val="en-US"/>
        </w:rPr>
        <w:t xml:space="preserve"> use;</w:t>
      </w:r>
    </w:p>
    <w:p w:rsidR="002176F6" w:rsidRPr="00DB251D" w:rsidRDefault="001E1BC0">
      <w:pPr>
        <w:pStyle w:val="enumlev1"/>
        <w:rPr>
          <w:rFonts w:eastAsia="Calibri"/>
          <w:lang w:val="en-US"/>
        </w:rPr>
      </w:pPr>
      <w:r w:rsidRPr="00DB251D">
        <w:rPr>
          <w:lang w:val="en-US" w:eastAsia="fr-FR"/>
        </w:rPr>
        <w:t>e)</w:t>
      </w:r>
      <w:r w:rsidRPr="00DB251D">
        <w:rPr>
          <w:lang w:val="en-US" w:eastAsia="fr-FR"/>
        </w:rPr>
        <w:tab/>
        <w:t>to also conduct detailed sharing and compatibility studies, including mitigation techniques, between WAS/</w:t>
      </w:r>
      <w:proofErr w:type="spellStart"/>
      <w:r w:rsidRPr="00DB251D">
        <w:rPr>
          <w:lang w:val="en-US" w:eastAsia="fr-FR"/>
        </w:rPr>
        <w:t>RLAN</w:t>
      </w:r>
      <w:proofErr w:type="spellEnd"/>
      <w:r w:rsidRPr="00DB251D">
        <w:rPr>
          <w:lang w:val="en-US" w:eastAsia="fr-FR"/>
        </w:rPr>
        <w:t xml:space="preserve"> and incumbent services in the frequency band 5 725</w:t>
      </w:r>
      <w:r w:rsidRPr="00DB251D">
        <w:rPr>
          <w:lang w:val="en-US" w:eastAsia="fr-FR"/>
        </w:rPr>
        <w:noBreakHyphen/>
        <w:t xml:space="preserve">5 850 MHz with a view to enabling a mobile service allocation </w:t>
      </w:r>
      <w:r w:rsidRPr="00DB251D">
        <w:rPr>
          <w:lang w:val="en-US"/>
        </w:rPr>
        <w:t>to accommodate WAS/</w:t>
      </w:r>
      <w:proofErr w:type="spellStart"/>
      <w:r w:rsidRPr="00DB251D">
        <w:rPr>
          <w:lang w:val="en-US"/>
        </w:rPr>
        <w:t>RLAN</w:t>
      </w:r>
      <w:proofErr w:type="spellEnd"/>
      <w:r w:rsidRPr="00DB251D">
        <w:rPr>
          <w:lang w:val="en-US"/>
        </w:rPr>
        <w:t xml:space="preserve"> use</w:t>
      </w:r>
      <w:r w:rsidRPr="00DB251D">
        <w:rPr>
          <w:lang w:val="en-US" w:eastAsia="fr-FR"/>
        </w:rPr>
        <w:t>;</w:t>
      </w:r>
    </w:p>
    <w:p w:rsidR="002176F6" w:rsidRPr="00DB251D" w:rsidRDefault="001E1BC0">
      <w:pPr>
        <w:pStyle w:val="enumlev1"/>
        <w:rPr>
          <w:lang w:val="en-US"/>
        </w:rPr>
      </w:pPr>
      <w:r w:rsidRPr="00DB251D">
        <w:rPr>
          <w:lang w:val="en-US"/>
        </w:rPr>
        <w:t>f)</w:t>
      </w:r>
      <w:r w:rsidRPr="00DB251D">
        <w:rPr>
          <w:lang w:val="en-US"/>
        </w:rPr>
        <w:tab/>
        <w:t>to also conduct detailed sharing and compatibility studies</w:t>
      </w:r>
      <w:r w:rsidRPr="00DB251D">
        <w:rPr>
          <w:lang w:val="en-US" w:eastAsia="fr-FR"/>
        </w:rPr>
        <w:t>, including mitigation techniques,</w:t>
      </w:r>
      <w:r w:rsidRPr="00DB251D">
        <w:rPr>
          <w:lang w:val="en-US"/>
        </w:rPr>
        <w:t xml:space="preserve"> between </w:t>
      </w:r>
      <w:r w:rsidRPr="00DB251D">
        <w:rPr>
          <w:lang w:val="en-US" w:eastAsia="fr-FR"/>
        </w:rPr>
        <w:t>WAS/</w:t>
      </w:r>
      <w:proofErr w:type="spellStart"/>
      <w:r w:rsidRPr="00DB251D">
        <w:rPr>
          <w:lang w:val="en-US" w:eastAsia="fr-FR"/>
        </w:rPr>
        <w:t>RLAN</w:t>
      </w:r>
      <w:proofErr w:type="spellEnd"/>
      <w:r w:rsidRPr="00DB251D">
        <w:rPr>
          <w:lang w:val="en-US"/>
        </w:rPr>
        <w:t xml:space="preserve"> and incumbent services in the frequency band 5 850</w:t>
      </w:r>
      <w:r w:rsidRPr="00DB251D">
        <w:rPr>
          <w:lang w:val="en-US"/>
        </w:rPr>
        <w:noBreakHyphen/>
        <w:t xml:space="preserve">5 925 MHz </w:t>
      </w:r>
      <w:r w:rsidRPr="00DB251D">
        <w:rPr>
          <w:lang w:val="en-US" w:eastAsia="fr-FR"/>
        </w:rPr>
        <w:t>with a view</w:t>
      </w:r>
      <w:r w:rsidRPr="00DB251D">
        <w:rPr>
          <w:lang w:val="en-US"/>
        </w:rPr>
        <w:t xml:space="preserve"> to </w:t>
      </w:r>
      <w:r w:rsidRPr="00DB251D">
        <w:rPr>
          <w:lang w:val="en-US" w:eastAsia="fr-FR"/>
        </w:rPr>
        <w:t>accommodating WAS/</w:t>
      </w:r>
      <w:proofErr w:type="spellStart"/>
      <w:r w:rsidRPr="00DB251D">
        <w:rPr>
          <w:lang w:val="en-US" w:eastAsia="fr-FR"/>
        </w:rPr>
        <w:t>RLAN</w:t>
      </w:r>
      <w:proofErr w:type="spellEnd"/>
      <w:r w:rsidRPr="00DB251D">
        <w:rPr>
          <w:lang w:val="en-US" w:eastAsia="fr-FR"/>
        </w:rPr>
        <w:t xml:space="preserve"> use</w:t>
      </w:r>
      <w:r w:rsidRPr="00DB251D">
        <w:rPr>
          <w:lang w:val="en-US"/>
        </w:rPr>
        <w:t xml:space="preserve"> under the existing primary mobile service allocation while not </w:t>
      </w:r>
      <w:r w:rsidRPr="00DB251D">
        <w:rPr>
          <w:lang w:val="en-US" w:eastAsia="fr-FR"/>
        </w:rPr>
        <w:t>imposing any additional constraints on the existing services,</w:t>
      </w:r>
    </w:p>
    <w:p w:rsidR="002176F6" w:rsidRPr="00DB251D" w:rsidRDefault="001E1BC0">
      <w:pPr>
        <w:pStyle w:val="Heading1"/>
        <w:spacing w:after="120"/>
        <w:rPr>
          <w:lang w:val="en-US"/>
        </w:rPr>
      </w:pPr>
      <w:r w:rsidRPr="00DB251D">
        <w:rPr>
          <w:lang w:val="en-US" w:eastAsia="ja-JP"/>
        </w:rPr>
        <w:t>3</w:t>
      </w:r>
      <w:r w:rsidRPr="00DB251D">
        <w:rPr>
          <w:lang w:val="en-US" w:eastAsia="ja-JP"/>
        </w:rPr>
        <w:tab/>
        <w:t>Overall view of allocations in the 5 850-5 925 MHz range</w:t>
      </w:r>
    </w:p>
    <w:tbl>
      <w:tblPr>
        <w:tblW w:w="10340" w:type="dxa"/>
        <w:jc w:val="center"/>
        <w:tblLayout w:type="fixed"/>
        <w:tblCellMar>
          <w:left w:w="107" w:type="dxa"/>
          <w:right w:w="107" w:type="dxa"/>
        </w:tblCellMar>
        <w:tblLook w:val="04A0" w:firstRow="1" w:lastRow="0" w:firstColumn="1" w:lastColumn="0" w:noHBand="0" w:noVBand="1"/>
      </w:tblPr>
      <w:tblGrid>
        <w:gridCol w:w="2615"/>
        <w:gridCol w:w="6"/>
        <w:gridCol w:w="2610"/>
        <w:gridCol w:w="11"/>
        <w:gridCol w:w="2605"/>
        <w:gridCol w:w="2466"/>
        <w:gridCol w:w="27"/>
      </w:tblGrid>
      <w:tr w:rsidR="002176F6" w:rsidRPr="00DB251D">
        <w:trPr>
          <w:cantSplit/>
          <w:trHeight w:val="375"/>
          <w:tblHeader/>
          <w:jc w:val="center"/>
        </w:trPr>
        <w:tc>
          <w:tcPr>
            <w:tcW w:w="7847" w:type="dxa"/>
            <w:gridSpan w:val="5"/>
            <w:tcBorders>
              <w:top w:val="single" w:sz="4" w:space="0" w:color="auto"/>
              <w:left w:val="single" w:sz="6" w:space="0" w:color="auto"/>
              <w:bottom w:val="single" w:sz="6" w:space="0" w:color="auto"/>
              <w:right w:val="single" w:sz="6" w:space="0" w:color="auto"/>
            </w:tcBorders>
            <w:vAlign w:val="center"/>
            <w:hideMark/>
          </w:tcPr>
          <w:p w:rsidR="002176F6" w:rsidRPr="00DB251D" w:rsidRDefault="001E1BC0">
            <w:pPr>
              <w:keepNext/>
              <w:spacing w:before="80" w:after="80"/>
              <w:jc w:val="center"/>
              <w:rPr>
                <w:rFonts w:ascii="Times New Roman Bold" w:hAnsi="Times New Roman Bold" w:cs="Times New Roman Bold"/>
                <w:b/>
                <w:sz w:val="18"/>
                <w:szCs w:val="18"/>
                <w:lang w:val="en-US"/>
              </w:rPr>
            </w:pPr>
            <w:r w:rsidRPr="00DB251D">
              <w:rPr>
                <w:rFonts w:ascii="Times New Roman Bold" w:hAnsi="Times New Roman Bold" w:cs="Times New Roman Bold"/>
                <w:b/>
                <w:sz w:val="18"/>
                <w:szCs w:val="18"/>
                <w:lang w:val="en-US"/>
              </w:rPr>
              <w:t>Allocation to services</w:t>
            </w:r>
          </w:p>
        </w:tc>
        <w:tc>
          <w:tcPr>
            <w:tcW w:w="2493" w:type="dxa"/>
            <w:gridSpan w:val="2"/>
            <w:vMerge w:val="restart"/>
            <w:tcBorders>
              <w:top w:val="single" w:sz="4" w:space="0" w:color="auto"/>
              <w:left w:val="single" w:sz="6" w:space="0" w:color="auto"/>
              <w:right w:val="single" w:sz="6" w:space="0" w:color="auto"/>
            </w:tcBorders>
            <w:vAlign w:val="center"/>
          </w:tcPr>
          <w:p w:rsidR="002176F6" w:rsidRPr="00DB251D" w:rsidRDefault="001E1BC0">
            <w:pPr>
              <w:keepNext/>
              <w:spacing w:before="80" w:after="80"/>
              <w:jc w:val="center"/>
              <w:rPr>
                <w:rFonts w:ascii="Times New Roman Bold" w:hAnsi="Times New Roman Bold" w:cs="Times New Roman Bold"/>
                <w:b/>
                <w:sz w:val="18"/>
                <w:szCs w:val="18"/>
                <w:lang w:val="en-US"/>
              </w:rPr>
            </w:pPr>
            <w:r w:rsidRPr="00DB251D">
              <w:rPr>
                <w:rFonts w:ascii="Times New Roman Bold" w:hAnsi="Times New Roman Bold" w:cs="Times New Roman Bold"/>
                <w:b/>
                <w:sz w:val="18"/>
                <w:szCs w:val="18"/>
                <w:lang w:val="en-US"/>
              </w:rPr>
              <w:t>Expected studies</w:t>
            </w:r>
          </w:p>
        </w:tc>
      </w:tr>
      <w:tr w:rsidR="002176F6" w:rsidRPr="00DB251D">
        <w:trPr>
          <w:cantSplit/>
          <w:trHeight w:val="375"/>
          <w:tblHeader/>
          <w:jc w:val="center"/>
        </w:trPr>
        <w:tc>
          <w:tcPr>
            <w:tcW w:w="2615" w:type="dxa"/>
            <w:tcBorders>
              <w:top w:val="single" w:sz="6" w:space="0" w:color="auto"/>
              <w:left w:val="single" w:sz="6" w:space="0" w:color="auto"/>
              <w:bottom w:val="single" w:sz="6" w:space="0" w:color="auto"/>
              <w:right w:val="single" w:sz="6" w:space="0" w:color="auto"/>
            </w:tcBorders>
            <w:vAlign w:val="center"/>
            <w:hideMark/>
          </w:tcPr>
          <w:p w:rsidR="002176F6" w:rsidRPr="00DB251D" w:rsidRDefault="001E1BC0">
            <w:pPr>
              <w:keepNext/>
              <w:spacing w:before="80" w:after="80"/>
              <w:jc w:val="center"/>
              <w:rPr>
                <w:rFonts w:ascii="Times New Roman Bold" w:hAnsi="Times New Roman Bold" w:cs="Times New Roman Bold"/>
                <w:b/>
                <w:sz w:val="18"/>
                <w:szCs w:val="18"/>
                <w:lang w:val="en-US"/>
              </w:rPr>
            </w:pPr>
            <w:r w:rsidRPr="00DB251D">
              <w:rPr>
                <w:rFonts w:ascii="Times New Roman Bold" w:hAnsi="Times New Roman Bold" w:cs="Times New Roman Bold"/>
                <w:b/>
                <w:sz w:val="18"/>
                <w:szCs w:val="18"/>
                <w:lang w:val="en-US"/>
              </w:rPr>
              <w:t>Region 1</w:t>
            </w:r>
          </w:p>
        </w:tc>
        <w:tc>
          <w:tcPr>
            <w:tcW w:w="2616" w:type="dxa"/>
            <w:gridSpan w:val="2"/>
            <w:tcBorders>
              <w:top w:val="single" w:sz="6" w:space="0" w:color="auto"/>
              <w:left w:val="single" w:sz="6" w:space="0" w:color="auto"/>
              <w:bottom w:val="single" w:sz="6" w:space="0" w:color="auto"/>
              <w:right w:val="single" w:sz="6" w:space="0" w:color="auto"/>
            </w:tcBorders>
            <w:vAlign w:val="center"/>
            <w:hideMark/>
          </w:tcPr>
          <w:p w:rsidR="002176F6" w:rsidRPr="00DB251D" w:rsidRDefault="001E1BC0">
            <w:pPr>
              <w:keepNext/>
              <w:spacing w:before="80" w:after="80"/>
              <w:jc w:val="center"/>
              <w:rPr>
                <w:rFonts w:ascii="Times New Roman Bold" w:hAnsi="Times New Roman Bold" w:cs="Times New Roman Bold"/>
                <w:b/>
                <w:sz w:val="18"/>
                <w:szCs w:val="18"/>
                <w:lang w:val="en-US"/>
              </w:rPr>
            </w:pPr>
            <w:r w:rsidRPr="00DB251D">
              <w:rPr>
                <w:rFonts w:ascii="Times New Roman Bold" w:hAnsi="Times New Roman Bold" w:cs="Times New Roman Bold"/>
                <w:b/>
                <w:sz w:val="18"/>
                <w:szCs w:val="18"/>
                <w:lang w:val="en-US"/>
              </w:rPr>
              <w:t>Region 2</w:t>
            </w:r>
          </w:p>
        </w:tc>
        <w:tc>
          <w:tcPr>
            <w:tcW w:w="2616" w:type="dxa"/>
            <w:gridSpan w:val="2"/>
            <w:tcBorders>
              <w:top w:val="single" w:sz="6" w:space="0" w:color="auto"/>
              <w:left w:val="single" w:sz="6" w:space="0" w:color="auto"/>
              <w:bottom w:val="single" w:sz="6" w:space="0" w:color="auto"/>
              <w:right w:val="single" w:sz="6" w:space="0" w:color="auto"/>
            </w:tcBorders>
            <w:vAlign w:val="center"/>
            <w:hideMark/>
          </w:tcPr>
          <w:p w:rsidR="002176F6" w:rsidRPr="00DB251D" w:rsidRDefault="001E1BC0">
            <w:pPr>
              <w:keepNext/>
              <w:spacing w:before="80" w:after="80"/>
              <w:jc w:val="center"/>
              <w:rPr>
                <w:rFonts w:ascii="Times New Roman Bold" w:hAnsi="Times New Roman Bold" w:cs="Times New Roman Bold"/>
                <w:b/>
                <w:sz w:val="18"/>
                <w:szCs w:val="18"/>
                <w:lang w:val="en-US"/>
              </w:rPr>
            </w:pPr>
            <w:r w:rsidRPr="00DB251D">
              <w:rPr>
                <w:rFonts w:ascii="Times New Roman Bold" w:hAnsi="Times New Roman Bold" w:cs="Times New Roman Bold"/>
                <w:b/>
                <w:sz w:val="18"/>
                <w:szCs w:val="18"/>
                <w:lang w:val="en-US"/>
              </w:rPr>
              <w:t>Region 3</w:t>
            </w:r>
          </w:p>
        </w:tc>
        <w:tc>
          <w:tcPr>
            <w:tcW w:w="2493" w:type="dxa"/>
            <w:gridSpan w:val="2"/>
            <w:vMerge/>
            <w:tcBorders>
              <w:left w:val="single" w:sz="6" w:space="0" w:color="auto"/>
              <w:bottom w:val="single" w:sz="6" w:space="0" w:color="auto"/>
              <w:right w:val="single" w:sz="6" w:space="0" w:color="auto"/>
            </w:tcBorders>
          </w:tcPr>
          <w:p w:rsidR="002176F6" w:rsidRPr="00DB251D" w:rsidRDefault="002176F6">
            <w:pPr>
              <w:keepNext/>
              <w:spacing w:before="80" w:after="80"/>
              <w:jc w:val="center"/>
              <w:rPr>
                <w:rFonts w:ascii="Times New Roman Bold" w:hAnsi="Times New Roman Bold" w:cs="Times New Roman Bold"/>
                <w:b/>
                <w:sz w:val="18"/>
                <w:szCs w:val="18"/>
                <w:lang w:val="en-US"/>
              </w:rPr>
            </w:pPr>
          </w:p>
        </w:tc>
      </w:tr>
      <w:tr w:rsidR="002176F6" w:rsidRPr="00DB251D">
        <w:trPr>
          <w:gridAfter w:val="1"/>
          <w:wAfter w:w="27" w:type="dxa"/>
          <w:cantSplit/>
          <w:trHeight w:val="1761"/>
          <w:jc w:val="center"/>
        </w:trPr>
        <w:tc>
          <w:tcPr>
            <w:tcW w:w="2621" w:type="dxa"/>
            <w:gridSpan w:val="2"/>
            <w:tcBorders>
              <w:top w:val="single" w:sz="6" w:space="0" w:color="auto"/>
              <w:left w:val="single" w:sz="6" w:space="0" w:color="auto"/>
              <w:bottom w:val="nil"/>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b/>
                <w:sz w:val="18"/>
                <w:szCs w:val="18"/>
                <w:lang w:val="en-US"/>
              </w:rPr>
              <w:t>5</w:t>
            </w:r>
            <w:r w:rsidRPr="00DB251D">
              <w:rPr>
                <w:sz w:val="18"/>
                <w:szCs w:val="18"/>
                <w:lang w:val="en-US"/>
              </w:rPr>
              <w:t> </w:t>
            </w:r>
            <w:r w:rsidRPr="00DB251D">
              <w:rPr>
                <w:b/>
                <w:sz w:val="18"/>
                <w:szCs w:val="18"/>
                <w:lang w:val="en-US"/>
              </w:rPr>
              <w:t>850-5</w:t>
            </w:r>
            <w:r w:rsidRPr="00DB251D">
              <w:rPr>
                <w:sz w:val="18"/>
                <w:szCs w:val="18"/>
                <w:lang w:val="en-US"/>
              </w:rPr>
              <w:t> </w:t>
            </w:r>
            <w:r w:rsidRPr="00DB251D">
              <w:rPr>
                <w:b/>
                <w:sz w:val="18"/>
                <w:szCs w:val="18"/>
                <w:lang w:val="en-US"/>
              </w:rPr>
              <w:t>925</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FIXED</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ind w:left="170" w:hanging="170"/>
              <w:rPr>
                <w:color w:val="000000"/>
                <w:sz w:val="18"/>
                <w:szCs w:val="18"/>
                <w:lang w:val="en-US"/>
              </w:rPr>
            </w:pPr>
            <w:r w:rsidRPr="00DB251D">
              <w:rPr>
                <w:color w:val="000000"/>
                <w:sz w:val="18"/>
                <w:szCs w:val="18"/>
                <w:lang w:val="en-US"/>
              </w:rPr>
              <w:t>FIXED-SATELLITE</w:t>
            </w:r>
            <w:r w:rsidRPr="00DB251D">
              <w:rPr>
                <w:color w:val="000000"/>
                <w:sz w:val="18"/>
                <w:szCs w:val="18"/>
                <w:lang w:val="en-US"/>
              </w:rPr>
              <w:br/>
              <w:t>(Earth-to-space)</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MOBILE</w:t>
            </w:r>
          </w:p>
        </w:tc>
        <w:tc>
          <w:tcPr>
            <w:tcW w:w="2621" w:type="dxa"/>
            <w:gridSpan w:val="2"/>
            <w:tcBorders>
              <w:top w:val="single" w:sz="6" w:space="0" w:color="auto"/>
              <w:left w:val="single" w:sz="6" w:space="0" w:color="auto"/>
              <w:bottom w:val="nil"/>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b/>
                <w:sz w:val="18"/>
                <w:szCs w:val="18"/>
                <w:lang w:val="en-US"/>
              </w:rPr>
              <w:t>5</w:t>
            </w:r>
            <w:r w:rsidRPr="00DB251D">
              <w:rPr>
                <w:sz w:val="18"/>
                <w:szCs w:val="18"/>
                <w:lang w:val="en-US"/>
              </w:rPr>
              <w:t> </w:t>
            </w:r>
            <w:r w:rsidRPr="00DB251D">
              <w:rPr>
                <w:b/>
                <w:sz w:val="18"/>
                <w:szCs w:val="18"/>
                <w:lang w:val="en-US"/>
              </w:rPr>
              <w:t>850-5</w:t>
            </w:r>
            <w:r w:rsidRPr="00DB251D">
              <w:rPr>
                <w:sz w:val="18"/>
                <w:szCs w:val="18"/>
                <w:lang w:val="en-US"/>
              </w:rPr>
              <w:t> </w:t>
            </w:r>
            <w:r w:rsidRPr="00DB251D">
              <w:rPr>
                <w:b/>
                <w:sz w:val="18"/>
                <w:szCs w:val="18"/>
                <w:lang w:val="en-US"/>
              </w:rPr>
              <w:t>925</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FIXED</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ind w:left="170" w:hanging="170"/>
              <w:rPr>
                <w:color w:val="000000"/>
                <w:sz w:val="18"/>
                <w:szCs w:val="18"/>
                <w:lang w:val="en-US"/>
              </w:rPr>
            </w:pPr>
            <w:r w:rsidRPr="00DB251D">
              <w:rPr>
                <w:color w:val="000000"/>
                <w:sz w:val="18"/>
                <w:szCs w:val="18"/>
                <w:lang w:val="en-US"/>
              </w:rPr>
              <w:t>FIXED-SATELLITE</w:t>
            </w:r>
            <w:r w:rsidRPr="00DB251D">
              <w:rPr>
                <w:color w:val="000000"/>
                <w:sz w:val="18"/>
                <w:szCs w:val="18"/>
                <w:lang w:val="en-US"/>
              </w:rPr>
              <w:br/>
              <w:t>(Earth-to-space)</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MOBILE</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Amateur</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Radiolocation</w:t>
            </w:r>
          </w:p>
        </w:tc>
        <w:tc>
          <w:tcPr>
            <w:tcW w:w="2605" w:type="dxa"/>
            <w:tcBorders>
              <w:top w:val="single" w:sz="6" w:space="0" w:color="auto"/>
              <w:left w:val="single" w:sz="6" w:space="0" w:color="auto"/>
              <w:bottom w:val="nil"/>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b/>
                <w:sz w:val="18"/>
                <w:szCs w:val="18"/>
                <w:lang w:val="en-US"/>
              </w:rPr>
              <w:t>5</w:t>
            </w:r>
            <w:r w:rsidRPr="00DB251D">
              <w:rPr>
                <w:sz w:val="18"/>
                <w:szCs w:val="18"/>
                <w:lang w:val="en-US"/>
              </w:rPr>
              <w:t> </w:t>
            </w:r>
            <w:r w:rsidRPr="00DB251D">
              <w:rPr>
                <w:b/>
                <w:sz w:val="18"/>
                <w:szCs w:val="18"/>
                <w:lang w:val="en-US"/>
              </w:rPr>
              <w:t>850-5</w:t>
            </w:r>
            <w:r w:rsidRPr="00DB251D">
              <w:rPr>
                <w:sz w:val="18"/>
                <w:szCs w:val="18"/>
                <w:lang w:val="en-US"/>
              </w:rPr>
              <w:t> </w:t>
            </w:r>
            <w:r w:rsidRPr="00DB251D">
              <w:rPr>
                <w:b/>
                <w:sz w:val="18"/>
                <w:szCs w:val="18"/>
                <w:lang w:val="en-US"/>
              </w:rPr>
              <w:t>925</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FIXED</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ind w:left="170" w:hanging="170"/>
              <w:rPr>
                <w:color w:val="000000"/>
                <w:sz w:val="18"/>
                <w:szCs w:val="18"/>
                <w:lang w:val="en-US"/>
              </w:rPr>
            </w:pPr>
            <w:r w:rsidRPr="00DB251D">
              <w:rPr>
                <w:color w:val="000000"/>
                <w:sz w:val="18"/>
                <w:szCs w:val="18"/>
                <w:lang w:val="en-US"/>
              </w:rPr>
              <w:t xml:space="preserve">FIXED-SATELLITE </w:t>
            </w:r>
            <w:r w:rsidRPr="00DB251D">
              <w:rPr>
                <w:color w:val="000000"/>
                <w:sz w:val="18"/>
                <w:szCs w:val="18"/>
                <w:lang w:val="en-US"/>
              </w:rPr>
              <w:br/>
              <w:t>(Earth-to-space)</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MOBILE</w:t>
            </w:r>
          </w:p>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Radiolocation</w:t>
            </w:r>
          </w:p>
        </w:tc>
        <w:tc>
          <w:tcPr>
            <w:tcW w:w="2466" w:type="dxa"/>
            <w:vMerge w:val="restart"/>
            <w:tcBorders>
              <w:top w:val="single" w:sz="6" w:space="0" w:color="auto"/>
              <w:left w:val="single" w:sz="6" w:space="0" w:color="auto"/>
              <w:right w:val="single" w:sz="6" w:space="0" w:color="auto"/>
            </w:tcBorders>
            <w:vAlign w:val="center"/>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jc w:val="center"/>
              <w:rPr>
                <w:color w:val="000000"/>
                <w:sz w:val="18"/>
                <w:szCs w:val="18"/>
                <w:lang w:val="en-US"/>
              </w:rPr>
            </w:pPr>
            <w:r w:rsidRPr="00DB251D">
              <w:rPr>
                <w:color w:val="000000"/>
                <w:sz w:val="18"/>
                <w:szCs w:val="18"/>
                <w:lang w:val="en-US"/>
              </w:rPr>
              <w:t>Coexistence between WAS/</w:t>
            </w:r>
            <w:proofErr w:type="spellStart"/>
            <w:r w:rsidRPr="00DB251D">
              <w:rPr>
                <w:color w:val="000000"/>
                <w:sz w:val="18"/>
                <w:szCs w:val="18"/>
                <w:lang w:val="en-US"/>
              </w:rPr>
              <w:t>RLAN</w:t>
            </w:r>
            <w:proofErr w:type="spellEnd"/>
            <w:r w:rsidRPr="00DB251D">
              <w:rPr>
                <w:color w:val="000000"/>
                <w:sz w:val="18"/>
                <w:szCs w:val="18"/>
                <w:lang w:val="en-US"/>
              </w:rPr>
              <w:t xml:space="preserve"> under the current MS allocation and FS and </w:t>
            </w:r>
            <w:proofErr w:type="spellStart"/>
            <w:r w:rsidRPr="00DB251D">
              <w:rPr>
                <w:color w:val="000000"/>
                <w:sz w:val="18"/>
                <w:szCs w:val="18"/>
                <w:lang w:val="en-US"/>
              </w:rPr>
              <w:t>FSS</w:t>
            </w:r>
            <w:proofErr w:type="spellEnd"/>
            <w:r w:rsidRPr="00DB251D">
              <w:rPr>
                <w:color w:val="000000"/>
                <w:sz w:val="18"/>
                <w:szCs w:val="18"/>
                <w:lang w:val="en-US"/>
              </w:rPr>
              <w:t xml:space="preserve">. </w:t>
            </w:r>
          </w:p>
        </w:tc>
      </w:tr>
      <w:tr w:rsidR="002176F6" w:rsidRPr="00DB251D">
        <w:trPr>
          <w:gridAfter w:val="1"/>
          <w:wAfter w:w="27" w:type="dxa"/>
          <w:cantSplit/>
          <w:trHeight w:val="285"/>
          <w:jc w:val="center"/>
        </w:trPr>
        <w:tc>
          <w:tcPr>
            <w:tcW w:w="2621" w:type="dxa"/>
            <w:gridSpan w:val="2"/>
            <w:tcBorders>
              <w:top w:val="nil"/>
              <w:left w:val="single" w:sz="6" w:space="0" w:color="auto"/>
              <w:bottom w:val="single" w:sz="4" w:space="0" w:color="auto"/>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bookmarkStart w:id="6" w:name="_Hlk497867660"/>
            <w:r w:rsidRPr="00DB251D">
              <w:rPr>
                <w:color w:val="000000"/>
                <w:sz w:val="18"/>
                <w:szCs w:val="18"/>
                <w:lang w:val="en-US"/>
              </w:rPr>
              <w:t>5.150</w:t>
            </w:r>
          </w:p>
        </w:tc>
        <w:tc>
          <w:tcPr>
            <w:tcW w:w="2621" w:type="dxa"/>
            <w:gridSpan w:val="2"/>
            <w:tcBorders>
              <w:top w:val="nil"/>
              <w:left w:val="single" w:sz="6" w:space="0" w:color="auto"/>
              <w:bottom w:val="single" w:sz="4" w:space="0" w:color="auto"/>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5.150</w:t>
            </w:r>
          </w:p>
        </w:tc>
        <w:tc>
          <w:tcPr>
            <w:tcW w:w="2605" w:type="dxa"/>
            <w:tcBorders>
              <w:top w:val="nil"/>
              <w:left w:val="single" w:sz="6" w:space="0" w:color="auto"/>
              <w:bottom w:val="single" w:sz="4" w:space="0" w:color="auto"/>
              <w:right w:val="single" w:sz="6" w:space="0" w:color="auto"/>
            </w:tcBorders>
            <w:hideMark/>
          </w:tcPr>
          <w:p w:rsidR="002176F6" w:rsidRPr="00DB251D" w:rsidRDefault="001E1BC0">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r w:rsidRPr="00DB251D">
              <w:rPr>
                <w:color w:val="000000"/>
                <w:sz w:val="18"/>
                <w:szCs w:val="18"/>
                <w:lang w:val="en-US"/>
              </w:rPr>
              <w:t>5.150</w:t>
            </w:r>
          </w:p>
        </w:tc>
        <w:tc>
          <w:tcPr>
            <w:tcW w:w="2466" w:type="dxa"/>
            <w:vMerge/>
            <w:tcBorders>
              <w:left w:val="single" w:sz="6" w:space="0" w:color="auto"/>
              <w:bottom w:val="single" w:sz="4" w:space="0" w:color="auto"/>
              <w:right w:val="single" w:sz="6" w:space="0" w:color="auto"/>
            </w:tcBorders>
          </w:tcPr>
          <w:p w:rsidR="002176F6" w:rsidRPr="00DB251D" w:rsidRDefault="002176F6">
            <w:pPr>
              <w:tabs>
                <w:tab w:val="clear" w:pos="1134"/>
                <w:tab w:val="clear" w:pos="1871"/>
                <w:tab w:val="clear" w:pos="2268"/>
                <w:tab w:val="left" w:pos="170"/>
                <w:tab w:val="left" w:pos="567"/>
                <w:tab w:val="left" w:pos="737"/>
                <w:tab w:val="left" w:pos="2977"/>
                <w:tab w:val="left" w:pos="3266"/>
              </w:tabs>
              <w:spacing w:before="60" w:after="20" w:line="220" w:lineRule="exact"/>
              <w:rPr>
                <w:color w:val="000000"/>
                <w:sz w:val="18"/>
                <w:szCs w:val="18"/>
                <w:lang w:val="en-US"/>
              </w:rPr>
            </w:pPr>
          </w:p>
        </w:tc>
      </w:tr>
    </w:tbl>
    <w:bookmarkEnd w:id="6"/>
    <w:p w:rsidR="002176F6" w:rsidRPr="00DB251D" w:rsidRDefault="001E1BC0">
      <w:pPr>
        <w:pStyle w:val="Heading1"/>
        <w:rPr>
          <w:lang w:val="en-US"/>
        </w:rPr>
      </w:pPr>
      <w:r w:rsidRPr="00DB251D">
        <w:rPr>
          <w:lang w:val="en-US" w:eastAsia="ja-JP"/>
        </w:rPr>
        <w:lastRenderedPageBreak/>
        <w:t>4</w:t>
      </w:r>
      <w:r w:rsidRPr="00DB251D">
        <w:rPr>
          <w:lang w:val="en-US" w:eastAsia="ja-JP"/>
        </w:rPr>
        <w:tab/>
        <w:t xml:space="preserve">Assumptions on technical and operational elements for the sharing and compatibility of </w:t>
      </w:r>
      <w:r w:rsidRPr="00DB251D">
        <w:rPr>
          <w:lang w:val="en-US"/>
        </w:rPr>
        <w:t>WAS/</w:t>
      </w:r>
      <w:proofErr w:type="spellStart"/>
      <w:r w:rsidRPr="00DB251D">
        <w:rPr>
          <w:lang w:val="en-US"/>
        </w:rPr>
        <w:t>RLAN</w:t>
      </w:r>
      <w:proofErr w:type="spellEnd"/>
      <w:r w:rsidRPr="00DB251D">
        <w:rPr>
          <w:lang w:val="en-US"/>
        </w:rPr>
        <w:t xml:space="preserve"> with other services</w:t>
      </w:r>
    </w:p>
    <w:p w:rsidR="002176F6" w:rsidRPr="00DB251D" w:rsidRDefault="001E1BC0" w:rsidP="005045C2">
      <w:pPr>
        <w:pStyle w:val="Heading2"/>
        <w:rPr>
          <w:szCs w:val="24"/>
          <w:lang w:val="en-US"/>
        </w:rPr>
      </w:pPr>
      <w:r w:rsidRPr="00DB251D">
        <w:rPr>
          <w:szCs w:val="24"/>
          <w:lang w:val="en-US"/>
        </w:rPr>
        <w:t>4.1</w:t>
      </w:r>
      <w:r w:rsidRPr="00DB251D">
        <w:rPr>
          <w:szCs w:val="24"/>
          <w:lang w:val="en-US"/>
        </w:rPr>
        <w:tab/>
        <w:t>Technical and operational characteristics of the W</w:t>
      </w:r>
      <w:r w:rsidR="005045C2" w:rsidRPr="00DB251D">
        <w:rPr>
          <w:szCs w:val="24"/>
          <w:lang w:val="en-US"/>
        </w:rPr>
        <w:t>AS/</w:t>
      </w:r>
      <w:proofErr w:type="spellStart"/>
      <w:r w:rsidR="005045C2" w:rsidRPr="00DB251D">
        <w:rPr>
          <w:szCs w:val="24"/>
          <w:lang w:val="en-US"/>
        </w:rPr>
        <w:t>RLAN</w:t>
      </w:r>
      <w:proofErr w:type="spellEnd"/>
      <w:r w:rsidR="005045C2" w:rsidRPr="00DB251D">
        <w:rPr>
          <w:szCs w:val="24"/>
          <w:lang w:val="en-US"/>
        </w:rPr>
        <w:t xml:space="preserve"> operating in the 5 850-</w:t>
      </w:r>
      <w:r w:rsidRPr="00DB251D">
        <w:rPr>
          <w:szCs w:val="24"/>
          <w:lang w:val="en-US"/>
        </w:rPr>
        <w:t>5</w:t>
      </w:r>
      <w:r w:rsidR="005045C2" w:rsidRPr="00DB251D">
        <w:rPr>
          <w:szCs w:val="24"/>
          <w:lang w:val="en-US"/>
        </w:rPr>
        <w:t> </w:t>
      </w:r>
      <w:r w:rsidRPr="00DB251D">
        <w:rPr>
          <w:szCs w:val="24"/>
          <w:lang w:val="en-US"/>
        </w:rPr>
        <w:t>925 MHz ranges</w:t>
      </w:r>
    </w:p>
    <w:p w:rsidR="002176F6" w:rsidRPr="00DB251D" w:rsidRDefault="001E1BC0" w:rsidP="005045C2">
      <w:pPr>
        <w:pStyle w:val="Headingb"/>
        <w:rPr>
          <w:lang w:val="en-US"/>
        </w:rPr>
      </w:pPr>
      <w:r w:rsidRPr="00DB251D">
        <w:rPr>
          <w:lang w:val="en-US"/>
        </w:rPr>
        <w:t>Option 1</w:t>
      </w:r>
    </w:p>
    <w:p w:rsidR="002176F6" w:rsidRPr="00DB251D" w:rsidRDefault="001E1BC0">
      <w:pPr>
        <w:rPr>
          <w:i/>
          <w:iCs/>
          <w:lang w:val="en-US" w:eastAsia="zh-CN"/>
        </w:rPr>
      </w:pPr>
      <w:r w:rsidRPr="00DB251D">
        <w:rPr>
          <w:i/>
          <w:iCs/>
          <w:lang w:val="en-US" w:eastAsia="zh-CN"/>
        </w:rPr>
        <w:t>[RUS</w:t>
      </w:r>
      <w:r w:rsidRPr="00DB251D">
        <w:rPr>
          <w:rFonts w:eastAsia="Calibri"/>
          <w:i/>
          <w:iCs/>
          <w:lang w:val="en-US" w:eastAsia="es-ES"/>
        </w:rPr>
        <w:t xml:space="preserve"> </w:t>
      </w:r>
      <w:hyperlink r:id="rId12" w:history="1">
        <w:proofErr w:type="spellStart"/>
        <w:r w:rsidRPr="00DB251D">
          <w:rPr>
            <w:rStyle w:val="Hyperlink"/>
            <w:rFonts w:eastAsia="Calibri"/>
            <w:i/>
            <w:iCs/>
            <w:lang w:val="en-US" w:eastAsia="es-ES"/>
          </w:rPr>
          <w:t>5A</w:t>
        </w:r>
        <w:proofErr w:type="spellEnd"/>
        <w:r w:rsidRPr="00DB251D">
          <w:rPr>
            <w:rStyle w:val="Hyperlink"/>
            <w:rFonts w:eastAsia="Calibri"/>
            <w:i/>
            <w:iCs/>
            <w:lang w:val="en-US" w:eastAsia="es-ES"/>
          </w:rPr>
          <w:t>/196</w:t>
        </w:r>
      </w:hyperlink>
      <w:r w:rsidRPr="00DB251D">
        <w:rPr>
          <w:i/>
          <w:iCs/>
          <w:lang w:val="en-US" w:eastAsia="zh-CN"/>
        </w:rPr>
        <w:t>]</w:t>
      </w:r>
    </w:p>
    <w:p w:rsidR="002176F6" w:rsidRPr="00DB251D" w:rsidRDefault="001E1BC0" w:rsidP="00FC0B17">
      <w:pPr>
        <w:rPr>
          <w:i/>
          <w:iCs/>
          <w:lang w:val="en-US" w:eastAsia="zh-CN"/>
        </w:rPr>
      </w:pPr>
      <w:r w:rsidRPr="00DB251D">
        <w:rPr>
          <w:i/>
          <w:iCs/>
          <w:lang w:val="en-US" w:eastAsia="zh-CN"/>
        </w:rPr>
        <w:t>[Editor’</w:t>
      </w:r>
      <w:r w:rsidR="00FC0B17" w:rsidRPr="00DB251D">
        <w:rPr>
          <w:i/>
          <w:iCs/>
          <w:lang w:val="en-US" w:eastAsia="zh-CN"/>
        </w:rPr>
        <w:t>s</w:t>
      </w:r>
      <w:r w:rsidRPr="00DB251D">
        <w:rPr>
          <w:i/>
          <w:iCs/>
          <w:lang w:val="en-US" w:eastAsia="zh-CN"/>
        </w:rPr>
        <w:t xml:space="preserve"> </w:t>
      </w:r>
      <w:r w:rsidR="00FC0B17" w:rsidRPr="00DB251D">
        <w:rPr>
          <w:i/>
          <w:iCs/>
          <w:lang w:val="en-US" w:eastAsia="zh-CN"/>
        </w:rPr>
        <w:t>note</w:t>
      </w:r>
      <w:r w:rsidRPr="00DB251D">
        <w:rPr>
          <w:i/>
          <w:iCs/>
          <w:lang w:val="en-US" w:eastAsia="zh-CN"/>
        </w:rPr>
        <w:t xml:space="preserve">: </w:t>
      </w:r>
      <w:r w:rsidR="00FC0B17" w:rsidRPr="00DB251D">
        <w:rPr>
          <w:i/>
          <w:iCs/>
          <w:lang w:val="en-US" w:eastAsia="zh-CN"/>
        </w:rPr>
        <w:t xml:space="preserve">The </w:t>
      </w:r>
      <w:r w:rsidRPr="00DB251D">
        <w:rPr>
          <w:i/>
          <w:iCs/>
          <w:lang w:val="en-US" w:eastAsia="zh-CN"/>
        </w:rPr>
        <w:t xml:space="preserve">text below needs to be verified after finalization of the document Report </w:t>
      </w:r>
      <w:proofErr w:type="spellStart"/>
      <w:r w:rsidR="00FC0B17" w:rsidRPr="00DB251D">
        <w:rPr>
          <w:i/>
          <w:iCs/>
          <w:lang w:val="en-US" w:eastAsia="zh-CN"/>
        </w:rPr>
        <w:t>ITU</w:t>
      </w:r>
      <w:proofErr w:type="spellEnd"/>
      <w:r w:rsidR="00FC0B17" w:rsidRPr="00DB251D">
        <w:rPr>
          <w:i/>
          <w:iCs/>
          <w:lang w:val="en-US" w:eastAsia="zh-CN"/>
        </w:rPr>
        <w:t xml:space="preserve">-R </w:t>
      </w:r>
      <w:r w:rsidRPr="00DB251D">
        <w:rPr>
          <w:i/>
          <w:iCs/>
          <w:lang w:val="en-US" w:eastAsia="zh-CN"/>
        </w:rPr>
        <w:t>M</w:t>
      </w:r>
      <w:proofErr w:type="gramStart"/>
      <w:r w:rsidRPr="00DB251D">
        <w:rPr>
          <w:i/>
          <w:iCs/>
          <w:lang w:val="en-US" w:eastAsia="zh-CN"/>
        </w:rPr>
        <w:t>.[</w:t>
      </w:r>
      <w:proofErr w:type="spellStart"/>
      <w:proofErr w:type="gramEnd"/>
      <w:r w:rsidRPr="00DB251D">
        <w:rPr>
          <w:i/>
          <w:iCs/>
          <w:lang w:val="en-US" w:eastAsia="zh-CN"/>
        </w:rPr>
        <w:t>RLAN</w:t>
      </w:r>
      <w:proofErr w:type="spellEnd"/>
      <w:r w:rsidRPr="00DB251D">
        <w:rPr>
          <w:i/>
          <w:iCs/>
          <w:lang w:val="en-US" w:eastAsia="zh-CN"/>
        </w:rPr>
        <w:t xml:space="preserve"> </w:t>
      </w:r>
      <w:proofErr w:type="spellStart"/>
      <w:r w:rsidRPr="00DB251D">
        <w:rPr>
          <w:i/>
          <w:iCs/>
          <w:lang w:val="en-US" w:eastAsia="zh-CN"/>
        </w:rPr>
        <w:t>REQ</w:t>
      </w:r>
      <w:proofErr w:type="spellEnd"/>
      <w:r w:rsidRPr="00DB251D">
        <w:rPr>
          <w:i/>
          <w:iCs/>
          <w:lang w:val="en-US" w:eastAsia="zh-CN"/>
        </w:rPr>
        <w:t>-PAR]</w:t>
      </w:r>
      <w:r w:rsidR="00FC0B17" w:rsidRPr="00DB251D">
        <w:rPr>
          <w:i/>
          <w:iCs/>
          <w:lang w:val="en-US" w:eastAsia="zh-CN"/>
        </w:rPr>
        <w:t>.</w:t>
      </w:r>
      <w:r w:rsidRPr="00DB251D">
        <w:rPr>
          <w:i/>
          <w:iCs/>
          <w:lang w:val="en-US" w:eastAsia="zh-CN"/>
        </w:rPr>
        <w:t>]</w:t>
      </w:r>
    </w:p>
    <w:p w:rsidR="002176F6" w:rsidRPr="00DB251D" w:rsidRDefault="001E1BC0">
      <w:pPr>
        <w:rPr>
          <w:lang w:val="en-US"/>
        </w:rPr>
      </w:pPr>
      <w:r w:rsidRPr="00DB251D">
        <w:rPr>
          <w:lang w:val="en-US"/>
        </w:rPr>
        <w:t xml:space="preserve">Technical and operational characteristics of </w:t>
      </w:r>
      <w:proofErr w:type="spellStart"/>
      <w:r w:rsidRPr="00DB251D">
        <w:rPr>
          <w:lang w:val="en-US"/>
        </w:rPr>
        <w:t>RLANs</w:t>
      </w:r>
      <w:proofErr w:type="spellEnd"/>
      <w:r w:rsidRPr="00DB251D">
        <w:rPr>
          <w:lang w:val="en-US"/>
        </w:rPr>
        <w:t xml:space="preserve"> are presented in Recommendation </w:t>
      </w:r>
      <w:proofErr w:type="spellStart"/>
      <w:r w:rsidRPr="00DB251D">
        <w:rPr>
          <w:lang w:val="en-US"/>
        </w:rPr>
        <w:t>ITU</w:t>
      </w:r>
      <w:proofErr w:type="spellEnd"/>
      <w:r w:rsidRPr="00DB251D">
        <w:rPr>
          <w:lang w:val="en-US"/>
        </w:rPr>
        <w:t xml:space="preserve">-R </w:t>
      </w:r>
      <w:proofErr w:type="spellStart"/>
      <w:r w:rsidRPr="00DB251D">
        <w:rPr>
          <w:lang w:val="en-US"/>
        </w:rPr>
        <w:t>M.1450</w:t>
      </w:r>
      <w:proofErr w:type="spellEnd"/>
      <w:r w:rsidRPr="00DB251D">
        <w:rPr>
          <w:lang w:val="en-US"/>
        </w:rPr>
        <w:t xml:space="preserve"> «Characteristics of broadband radio local area networks». </w:t>
      </w:r>
      <w:proofErr w:type="spellStart"/>
      <w:proofErr w:type="gramStart"/>
      <w:r w:rsidRPr="00DB251D">
        <w:rPr>
          <w:lang w:val="en-US"/>
        </w:rPr>
        <w:t>e.i.r.p</w:t>
      </w:r>
      <w:proofErr w:type="spellEnd"/>
      <w:proofErr w:type="gramEnd"/>
      <w:r w:rsidRPr="00DB251D">
        <w:rPr>
          <w:lang w:val="en-US"/>
        </w:rPr>
        <w:t xml:space="preserve">. spectral densities specified in Recommendation </w:t>
      </w:r>
      <w:proofErr w:type="spellStart"/>
      <w:r w:rsidRPr="00DB251D">
        <w:rPr>
          <w:lang w:val="en-US"/>
        </w:rPr>
        <w:t>ITU</w:t>
      </w:r>
      <w:proofErr w:type="spellEnd"/>
      <w:r w:rsidRPr="00DB251D">
        <w:rPr>
          <w:lang w:val="en-US"/>
        </w:rPr>
        <w:t xml:space="preserve">-R </w:t>
      </w:r>
      <w:proofErr w:type="spellStart"/>
      <w:r w:rsidRPr="00DB251D">
        <w:rPr>
          <w:lang w:val="en-US"/>
        </w:rPr>
        <w:t>М.1450</w:t>
      </w:r>
      <w:proofErr w:type="spellEnd"/>
      <w:r w:rsidRPr="00DB251D">
        <w:rPr>
          <w:lang w:val="en-US"/>
        </w:rPr>
        <w:t xml:space="preserve"> shows that it addresses </w:t>
      </w:r>
      <w:proofErr w:type="spellStart"/>
      <w:r w:rsidRPr="00DB251D">
        <w:rPr>
          <w:lang w:val="en-US"/>
        </w:rPr>
        <w:t>RLANs</w:t>
      </w:r>
      <w:proofErr w:type="spellEnd"/>
      <w:r w:rsidRPr="00DB251D">
        <w:rPr>
          <w:lang w:val="en-US"/>
        </w:rPr>
        <w:t xml:space="preserve"> having carrier bandwidth of 20 </w:t>
      </w:r>
      <w:proofErr w:type="spellStart"/>
      <w:r w:rsidRPr="00DB251D">
        <w:rPr>
          <w:lang w:val="en-US"/>
        </w:rPr>
        <w:t>MHz.</w:t>
      </w:r>
      <w:proofErr w:type="spellEnd"/>
      <w:r w:rsidRPr="00DB251D">
        <w:rPr>
          <w:lang w:val="en-US"/>
        </w:rPr>
        <w:t xml:space="preserve"> However taking in account the achievements in </w:t>
      </w:r>
      <w:proofErr w:type="spellStart"/>
      <w:r w:rsidRPr="00DB251D">
        <w:rPr>
          <w:lang w:val="en-US"/>
        </w:rPr>
        <w:t>RLANs</w:t>
      </w:r>
      <w:proofErr w:type="spellEnd"/>
      <w:r w:rsidRPr="00DB251D">
        <w:rPr>
          <w:lang w:val="en-US"/>
        </w:rPr>
        <w:t xml:space="preserve"> development such as IEEE standard </w:t>
      </w:r>
      <w:proofErr w:type="spellStart"/>
      <w:r w:rsidRPr="00DB251D">
        <w:rPr>
          <w:lang w:val="en-US"/>
        </w:rPr>
        <w:t>802.11ac</w:t>
      </w:r>
      <w:proofErr w:type="spellEnd"/>
      <w:r w:rsidRPr="00DB251D">
        <w:rPr>
          <w:lang w:val="en-US"/>
        </w:rPr>
        <w:t xml:space="preserve">, the considered Report includes analysis of networks having carrier bandwidth of both 20 MHz and 160 </w:t>
      </w:r>
      <w:proofErr w:type="spellStart"/>
      <w:r w:rsidRPr="00DB251D">
        <w:rPr>
          <w:lang w:val="en-US"/>
        </w:rPr>
        <w:t>MHz.</w:t>
      </w:r>
      <w:proofErr w:type="spellEnd"/>
    </w:p>
    <w:p w:rsidR="002176F6" w:rsidRPr="00DB251D" w:rsidRDefault="001E1BC0">
      <w:pPr>
        <w:rPr>
          <w:i/>
          <w:iCs/>
          <w:lang w:val="en-US"/>
        </w:rPr>
      </w:pPr>
      <w:r w:rsidRPr="00DB251D">
        <w:rPr>
          <w:i/>
          <w:iCs/>
          <w:lang w:val="en-US"/>
        </w:rPr>
        <w:t>[UK and ESA</w:t>
      </w:r>
      <w:r w:rsidRPr="00DB251D">
        <w:rPr>
          <w:rFonts w:eastAsia="Calibri"/>
          <w:i/>
          <w:iCs/>
          <w:lang w:val="en-US" w:eastAsia="es-ES"/>
        </w:rPr>
        <w:t xml:space="preserve"> </w:t>
      </w:r>
      <w:hyperlink r:id="rId13" w:history="1">
        <w:proofErr w:type="spellStart"/>
        <w:r w:rsidRPr="00DB251D">
          <w:rPr>
            <w:rStyle w:val="Hyperlink"/>
            <w:rFonts w:eastAsia="Calibri"/>
            <w:i/>
            <w:iCs/>
            <w:lang w:val="en-US" w:eastAsia="es-ES"/>
          </w:rPr>
          <w:t>5A</w:t>
        </w:r>
        <w:proofErr w:type="spellEnd"/>
        <w:r w:rsidRPr="00DB251D">
          <w:rPr>
            <w:rStyle w:val="Hyperlink"/>
            <w:rFonts w:eastAsia="Calibri"/>
            <w:i/>
            <w:iCs/>
            <w:lang w:val="en-US" w:eastAsia="es-ES"/>
          </w:rPr>
          <w:t>/246</w:t>
        </w:r>
      </w:hyperlink>
      <w:r w:rsidRPr="00DB251D">
        <w:rPr>
          <w:rFonts w:eastAsia="Calibri"/>
          <w:i/>
          <w:iCs/>
          <w:lang w:val="en-US" w:eastAsia="es-ES"/>
        </w:rPr>
        <w:t xml:space="preserve">, </w:t>
      </w:r>
      <w:hyperlink r:id="rId14" w:history="1">
        <w:proofErr w:type="spellStart"/>
        <w:r w:rsidR="00394075" w:rsidRPr="00DB251D">
          <w:rPr>
            <w:rStyle w:val="Hyperlink"/>
            <w:rFonts w:eastAsia="Calibri"/>
            <w:i/>
            <w:iCs/>
            <w:lang w:val="en-US" w:eastAsia="es-ES"/>
          </w:rPr>
          <w:t>5A</w:t>
        </w:r>
        <w:proofErr w:type="spellEnd"/>
        <w:r w:rsidR="00394075" w:rsidRPr="00DB251D">
          <w:rPr>
            <w:rStyle w:val="Hyperlink"/>
            <w:rFonts w:eastAsia="Calibri"/>
            <w:i/>
            <w:iCs/>
            <w:lang w:val="en-US" w:eastAsia="es-ES"/>
          </w:rPr>
          <w:t>/96</w:t>
        </w:r>
      </w:hyperlink>
      <w:r w:rsidRPr="00DB251D">
        <w:rPr>
          <w:i/>
          <w:iCs/>
          <w:lang w:val="en-US"/>
        </w:rPr>
        <w:t>]</w:t>
      </w:r>
    </w:p>
    <w:p w:rsidR="002176F6" w:rsidRPr="00DB251D" w:rsidRDefault="001E1BC0" w:rsidP="005045C2">
      <w:pPr>
        <w:pStyle w:val="Headingb"/>
        <w:rPr>
          <w:lang w:val="en-US"/>
        </w:rPr>
      </w:pPr>
      <w:r w:rsidRPr="00DB251D">
        <w:rPr>
          <w:lang w:val="en-US"/>
        </w:rPr>
        <w:t>Option 2</w:t>
      </w:r>
    </w:p>
    <w:p w:rsidR="002176F6" w:rsidRPr="00DB251D" w:rsidRDefault="001E1BC0">
      <w:pPr>
        <w:pStyle w:val="Heading3"/>
        <w:rPr>
          <w:lang w:val="en-US"/>
        </w:rPr>
      </w:pPr>
      <w:r w:rsidRPr="00DB251D">
        <w:rPr>
          <w:lang w:val="en-US"/>
        </w:rPr>
        <w:t>4.1.5</w:t>
      </w:r>
      <w:r w:rsidRPr="00DB251D">
        <w:rPr>
          <w:lang w:val="en-US"/>
        </w:rPr>
        <w:tab/>
      </w:r>
      <w:r w:rsidRPr="00DB251D">
        <w:rPr>
          <w:lang w:val="en-US" w:eastAsia="zh-CN"/>
        </w:rPr>
        <w:t xml:space="preserve">Characteristics of </w:t>
      </w:r>
      <w:proofErr w:type="spellStart"/>
      <w:r w:rsidRPr="00DB251D">
        <w:rPr>
          <w:lang w:val="en-US" w:eastAsia="zh-CN"/>
        </w:rPr>
        <w:t>RLAN</w:t>
      </w:r>
      <w:proofErr w:type="spellEnd"/>
      <w:r w:rsidRPr="00DB251D">
        <w:rPr>
          <w:lang w:val="en-US" w:eastAsia="zh-CN"/>
        </w:rPr>
        <w:t xml:space="preserve"> in </w:t>
      </w:r>
      <w:r w:rsidRPr="00DB251D">
        <w:rPr>
          <w:lang w:val="en-US"/>
        </w:rPr>
        <w:t>5 850-5 925 MHz band</w:t>
      </w:r>
    </w:p>
    <w:p w:rsidR="002176F6" w:rsidRPr="00DB251D" w:rsidRDefault="001E1BC0">
      <w:pPr>
        <w:rPr>
          <w:i/>
          <w:iCs/>
          <w:lang w:val="en-US"/>
        </w:rPr>
      </w:pPr>
      <w:r w:rsidRPr="00DB251D">
        <w:rPr>
          <w:i/>
          <w:iCs/>
          <w:lang w:val="en-US"/>
        </w:rPr>
        <w:t>[ESA/</w:t>
      </w:r>
      <w:proofErr w:type="spellStart"/>
      <w:r w:rsidRPr="00DB251D">
        <w:rPr>
          <w:i/>
          <w:iCs/>
          <w:lang w:val="en-US"/>
        </w:rPr>
        <w:t>EUMETSAT</w:t>
      </w:r>
      <w:proofErr w:type="spellEnd"/>
      <w:r w:rsidRPr="00DB251D">
        <w:rPr>
          <w:rFonts w:eastAsia="Calibri"/>
          <w:i/>
          <w:iCs/>
          <w:lang w:val="en-US" w:eastAsia="es-ES"/>
        </w:rPr>
        <w:t xml:space="preserve"> </w:t>
      </w:r>
      <w:proofErr w:type="spellStart"/>
      <w:r w:rsidRPr="00DB251D">
        <w:rPr>
          <w:rFonts w:eastAsia="Calibri"/>
          <w:i/>
          <w:iCs/>
          <w:lang w:val="en-US" w:eastAsia="es-ES"/>
        </w:rPr>
        <w:t>5A</w:t>
      </w:r>
      <w:proofErr w:type="spellEnd"/>
      <w:r w:rsidRPr="00DB251D">
        <w:rPr>
          <w:rFonts w:eastAsia="Calibri"/>
          <w:i/>
          <w:iCs/>
          <w:lang w:val="en-US" w:eastAsia="es-ES"/>
        </w:rPr>
        <w:t>/</w:t>
      </w:r>
      <w:hyperlink r:id="rId15" w:history="1">
        <w:r w:rsidRPr="00DB251D">
          <w:rPr>
            <w:rStyle w:val="Hyperlink"/>
            <w:rFonts w:eastAsia="Calibri"/>
            <w:i/>
            <w:iCs/>
            <w:lang w:val="en-US" w:eastAsia="es-ES"/>
          </w:rPr>
          <w:t>96</w:t>
        </w:r>
      </w:hyperlink>
      <w:r w:rsidRPr="00DB251D">
        <w:rPr>
          <w:rFonts w:eastAsia="Calibri"/>
          <w:i/>
          <w:iCs/>
          <w:lang w:val="en-US" w:eastAsia="es-ES"/>
        </w:rPr>
        <w:t xml:space="preserve">, </w:t>
      </w:r>
      <w:hyperlink r:id="rId16" w:history="1">
        <w:r w:rsidRPr="00DB251D">
          <w:rPr>
            <w:rStyle w:val="Hyperlink"/>
            <w:rFonts w:eastAsia="Calibri"/>
            <w:i/>
            <w:iCs/>
            <w:lang w:val="en-US" w:eastAsia="es-ES"/>
          </w:rPr>
          <w:t>97</w:t>
        </w:r>
      </w:hyperlink>
      <w:r w:rsidRPr="00DB251D">
        <w:rPr>
          <w:i/>
          <w:iCs/>
          <w:lang w:val="en-US"/>
        </w:rPr>
        <w:t>]</w:t>
      </w:r>
    </w:p>
    <w:p w:rsidR="002176F6" w:rsidRPr="00DB251D" w:rsidRDefault="001E1BC0" w:rsidP="00952138">
      <w:pPr>
        <w:rPr>
          <w:lang w:val="en-US"/>
        </w:rPr>
      </w:pPr>
      <w:proofErr w:type="spellStart"/>
      <w:r w:rsidRPr="00DB251D">
        <w:rPr>
          <w:lang w:val="en-US"/>
        </w:rPr>
        <w:t>RLAN</w:t>
      </w:r>
      <w:proofErr w:type="spellEnd"/>
      <w:r w:rsidRPr="00DB251D">
        <w:rPr>
          <w:lang w:val="en-US"/>
        </w:rPr>
        <w:t xml:space="preserve"> parameters used in the studies with </w:t>
      </w:r>
      <w:proofErr w:type="spellStart"/>
      <w:r w:rsidRPr="00DB251D">
        <w:rPr>
          <w:lang w:val="en-US"/>
        </w:rPr>
        <w:t>EESS</w:t>
      </w:r>
      <w:proofErr w:type="spellEnd"/>
      <w:r w:rsidRPr="00DB251D">
        <w:rPr>
          <w:lang w:val="en-US"/>
        </w:rPr>
        <w:t xml:space="preserve"> are those agreed in the previous study period and given in the preliminary draft new Report </w:t>
      </w:r>
      <w:proofErr w:type="spellStart"/>
      <w:r w:rsidRPr="00DB251D">
        <w:rPr>
          <w:lang w:val="en-US"/>
        </w:rPr>
        <w:t>ITU</w:t>
      </w:r>
      <w:proofErr w:type="spellEnd"/>
      <w:r w:rsidRPr="00DB251D">
        <w:rPr>
          <w:lang w:val="en-US"/>
        </w:rPr>
        <w:t>-R RS</w:t>
      </w:r>
      <w:proofErr w:type="gramStart"/>
      <w:r w:rsidRPr="00DB251D">
        <w:rPr>
          <w:lang w:val="en-US"/>
        </w:rPr>
        <w:t>.[</w:t>
      </w:r>
      <w:proofErr w:type="spellStart"/>
      <w:proofErr w:type="gramEnd"/>
      <w:r w:rsidRPr="00DB251D">
        <w:rPr>
          <w:lang w:val="en-US"/>
        </w:rPr>
        <w:t>EESS</w:t>
      </w:r>
      <w:proofErr w:type="spellEnd"/>
      <w:r w:rsidRPr="00DB251D">
        <w:rPr>
          <w:lang w:val="en-US"/>
        </w:rPr>
        <w:t xml:space="preserve"> </w:t>
      </w:r>
      <w:proofErr w:type="spellStart"/>
      <w:r w:rsidRPr="00DB251D">
        <w:rPr>
          <w:lang w:val="en-US"/>
        </w:rPr>
        <w:t>RLAN</w:t>
      </w:r>
      <w:proofErr w:type="spellEnd"/>
      <w:r w:rsidRPr="00DB251D">
        <w:rPr>
          <w:lang w:val="en-US"/>
        </w:rPr>
        <w:t xml:space="preserve"> 5 GHz] (see Annex 35 to Document </w:t>
      </w:r>
      <w:hyperlink r:id="rId17" w:history="1">
        <w:r w:rsidRPr="00DB251D">
          <w:rPr>
            <w:rStyle w:val="Hyperlink"/>
            <w:lang w:val="en-US"/>
          </w:rPr>
          <w:t>4-5-6-7/715</w:t>
        </w:r>
      </w:hyperlink>
      <w:r w:rsidRPr="00DB251D">
        <w:rPr>
          <w:lang w:val="en-US"/>
        </w:rPr>
        <w:t xml:space="preserve"> (Chairman’s Report)). They are also reiterated in the current working document towards a preliminary draft Report </w:t>
      </w:r>
      <w:proofErr w:type="spellStart"/>
      <w:r w:rsidRPr="00DB251D">
        <w:rPr>
          <w:lang w:val="en-US"/>
        </w:rPr>
        <w:t>ITU</w:t>
      </w:r>
      <w:proofErr w:type="spellEnd"/>
      <w:r w:rsidRPr="00DB251D">
        <w:rPr>
          <w:lang w:val="en-US"/>
        </w:rPr>
        <w:t>-R M</w:t>
      </w:r>
      <w:proofErr w:type="gramStart"/>
      <w:r w:rsidRPr="00DB251D">
        <w:rPr>
          <w:lang w:val="en-US"/>
        </w:rPr>
        <w:t>.[</w:t>
      </w:r>
      <w:proofErr w:type="spellStart"/>
      <w:proofErr w:type="gramEnd"/>
      <w:r w:rsidRPr="00DB251D">
        <w:rPr>
          <w:lang w:val="en-US"/>
        </w:rPr>
        <w:t>RLAN</w:t>
      </w:r>
      <w:proofErr w:type="spellEnd"/>
      <w:r w:rsidRPr="00DB251D">
        <w:rPr>
          <w:lang w:val="en-US"/>
        </w:rPr>
        <w:t xml:space="preserve"> </w:t>
      </w:r>
      <w:proofErr w:type="spellStart"/>
      <w:r w:rsidRPr="00DB251D">
        <w:rPr>
          <w:lang w:val="en-US"/>
        </w:rPr>
        <w:t>REQ</w:t>
      </w:r>
      <w:proofErr w:type="spellEnd"/>
      <w:r w:rsidRPr="00DB251D">
        <w:rPr>
          <w:lang w:val="en-US"/>
        </w:rPr>
        <w:t>-PAR] and concern:</w:t>
      </w:r>
    </w:p>
    <w:p w:rsidR="002176F6" w:rsidRPr="00DB251D" w:rsidRDefault="00FC0B17" w:rsidP="00FC0B17">
      <w:pPr>
        <w:pStyle w:val="enumlev1"/>
        <w:rPr>
          <w:lang w:val="en-US"/>
        </w:rPr>
      </w:pPr>
      <w:r w:rsidRPr="00DB251D">
        <w:rPr>
          <w:lang w:val="en-US"/>
        </w:rPr>
        <w:t>–</w:t>
      </w:r>
      <w:r w:rsidRPr="00DB251D">
        <w:rPr>
          <w:lang w:val="en-US"/>
        </w:rPr>
        <w:tab/>
      </w:r>
      <w:proofErr w:type="spellStart"/>
      <w:proofErr w:type="gramStart"/>
      <w:r w:rsidR="006A6CD7" w:rsidRPr="00DB251D">
        <w:rPr>
          <w:lang w:val="en-US"/>
        </w:rPr>
        <w:t>e</w:t>
      </w:r>
      <w:r w:rsidR="001E1BC0" w:rsidRPr="00DB251D">
        <w:rPr>
          <w:lang w:val="en-US"/>
        </w:rPr>
        <w:t>.i.r.p</w:t>
      </w:r>
      <w:proofErr w:type="spellEnd"/>
      <w:proofErr w:type="gramEnd"/>
      <w:r w:rsidR="001E1BC0" w:rsidRPr="00DB251D">
        <w:rPr>
          <w:lang w:val="en-US"/>
        </w:rPr>
        <w:t>. distributions</w:t>
      </w:r>
    </w:p>
    <w:p w:rsidR="002176F6" w:rsidRPr="00DB251D" w:rsidRDefault="006A6CD7" w:rsidP="00FC0B17">
      <w:pPr>
        <w:pStyle w:val="enumlev1"/>
        <w:rPr>
          <w:lang w:val="en-US"/>
        </w:rPr>
      </w:pPr>
      <w:r w:rsidRPr="00DB251D">
        <w:rPr>
          <w:lang w:val="en-US"/>
        </w:rPr>
        <w:t>–</w:t>
      </w:r>
      <w:r w:rsidRPr="00DB251D">
        <w:rPr>
          <w:lang w:val="en-US"/>
        </w:rPr>
        <w:tab/>
      </w:r>
      <w:proofErr w:type="gramStart"/>
      <w:r w:rsidRPr="00DB251D">
        <w:rPr>
          <w:lang w:val="en-US"/>
        </w:rPr>
        <w:t>indoor</w:t>
      </w:r>
      <w:r w:rsidR="001E1BC0" w:rsidRPr="00DB251D">
        <w:rPr>
          <w:lang w:val="en-US"/>
        </w:rPr>
        <w:t>/outdoor</w:t>
      </w:r>
      <w:proofErr w:type="gramEnd"/>
      <w:r w:rsidR="001E1BC0" w:rsidRPr="00DB251D">
        <w:rPr>
          <w:lang w:val="en-US"/>
        </w:rPr>
        <w:t xml:space="preserve"> ratio</w:t>
      </w:r>
    </w:p>
    <w:p w:rsidR="002176F6" w:rsidRPr="00DB251D" w:rsidRDefault="006A6CD7" w:rsidP="00FC0B17">
      <w:pPr>
        <w:pStyle w:val="enumlev1"/>
        <w:rPr>
          <w:lang w:val="en-US"/>
        </w:rPr>
      </w:pPr>
      <w:r w:rsidRPr="00DB251D">
        <w:rPr>
          <w:lang w:val="en-US"/>
        </w:rPr>
        <w:t>–</w:t>
      </w:r>
      <w:r w:rsidRPr="00DB251D">
        <w:rPr>
          <w:lang w:val="en-US"/>
        </w:rPr>
        <w:tab/>
        <w:t xml:space="preserve">channel bandwidth </w:t>
      </w:r>
      <w:r w:rsidR="001E1BC0" w:rsidRPr="00DB251D">
        <w:rPr>
          <w:lang w:val="en-US"/>
        </w:rPr>
        <w:t>distribution</w:t>
      </w:r>
    </w:p>
    <w:p w:rsidR="002176F6" w:rsidRPr="00DB251D" w:rsidRDefault="006A6CD7" w:rsidP="00FC0B17">
      <w:pPr>
        <w:pStyle w:val="enumlev1"/>
        <w:rPr>
          <w:lang w:val="en-US"/>
        </w:rPr>
      </w:pPr>
      <w:r w:rsidRPr="00DB251D">
        <w:rPr>
          <w:lang w:val="en-US"/>
        </w:rPr>
        <w:t>–</w:t>
      </w:r>
      <w:r w:rsidRPr="00DB251D">
        <w:rPr>
          <w:lang w:val="en-US"/>
        </w:rPr>
        <w:tab/>
      </w:r>
      <w:proofErr w:type="gramStart"/>
      <w:r w:rsidRPr="00DB251D">
        <w:rPr>
          <w:lang w:val="en-US"/>
        </w:rPr>
        <w:t>propagation</w:t>
      </w:r>
      <w:proofErr w:type="gramEnd"/>
      <w:r w:rsidRPr="00DB251D">
        <w:rPr>
          <w:lang w:val="en-US"/>
        </w:rPr>
        <w:t xml:space="preserve"> </w:t>
      </w:r>
      <w:r w:rsidR="001E1BC0" w:rsidRPr="00DB251D">
        <w:rPr>
          <w:lang w:val="en-US"/>
        </w:rPr>
        <w:t>conditions</w:t>
      </w:r>
    </w:p>
    <w:p w:rsidR="002176F6" w:rsidRPr="00DB251D" w:rsidRDefault="006A6CD7" w:rsidP="00FC0B17">
      <w:pPr>
        <w:pStyle w:val="enumlev1"/>
        <w:rPr>
          <w:lang w:val="en-US"/>
        </w:rPr>
      </w:pPr>
      <w:r w:rsidRPr="00DB251D">
        <w:rPr>
          <w:lang w:val="en-US"/>
        </w:rPr>
        <w:t>–</w:t>
      </w:r>
      <w:r w:rsidRPr="00DB251D">
        <w:rPr>
          <w:lang w:val="en-US"/>
        </w:rPr>
        <w:tab/>
      </w:r>
      <w:proofErr w:type="gramStart"/>
      <w:r w:rsidRPr="00DB251D">
        <w:rPr>
          <w:lang w:val="en-US"/>
        </w:rPr>
        <w:t>antenna</w:t>
      </w:r>
      <w:proofErr w:type="gramEnd"/>
      <w:r w:rsidRPr="00DB251D">
        <w:rPr>
          <w:lang w:val="en-US"/>
        </w:rPr>
        <w:t xml:space="preserve"> </w:t>
      </w:r>
      <w:r w:rsidR="001E1BC0" w:rsidRPr="00DB251D">
        <w:rPr>
          <w:lang w:val="en-US"/>
        </w:rPr>
        <w:t>gain/discrimination</w:t>
      </w:r>
    </w:p>
    <w:p w:rsidR="002176F6" w:rsidRPr="00DB251D" w:rsidRDefault="006A6CD7" w:rsidP="00FC0B17">
      <w:pPr>
        <w:pStyle w:val="enumlev1"/>
        <w:rPr>
          <w:lang w:val="en-US"/>
        </w:rPr>
      </w:pPr>
      <w:r w:rsidRPr="00DB251D">
        <w:rPr>
          <w:lang w:val="en-US"/>
        </w:rPr>
        <w:t>–</w:t>
      </w:r>
      <w:r w:rsidRPr="00DB251D">
        <w:rPr>
          <w:lang w:val="en-US"/>
        </w:rPr>
        <w:tab/>
      </w:r>
      <w:proofErr w:type="gramStart"/>
      <w:r w:rsidRPr="00DB251D">
        <w:rPr>
          <w:lang w:val="en-US"/>
        </w:rPr>
        <w:t>number</w:t>
      </w:r>
      <w:proofErr w:type="gramEnd"/>
      <w:r w:rsidRPr="00DB251D">
        <w:rPr>
          <w:lang w:val="en-US"/>
        </w:rPr>
        <w:t xml:space="preserve"> </w:t>
      </w:r>
      <w:r w:rsidR="001E1BC0" w:rsidRPr="00DB251D">
        <w:rPr>
          <w:lang w:val="en-US"/>
        </w:rPr>
        <w:t xml:space="preserve">of active </w:t>
      </w:r>
      <w:proofErr w:type="spellStart"/>
      <w:r w:rsidR="001E1BC0" w:rsidRPr="00DB251D">
        <w:rPr>
          <w:lang w:val="en-US"/>
        </w:rPr>
        <w:t>RLAN</w:t>
      </w:r>
      <w:proofErr w:type="spellEnd"/>
      <w:r w:rsidR="001E1BC0" w:rsidRPr="00DB251D">
        <w:rPr>
          <w:lang w:val="en-US"/>
        </w:rPr>
        <w:t>.</w:t>
      </w:r>
    </w:p>
    <w:p w:rsidR="002176F6" w:rsidRPr="00DB251D" w:rsidRDefault="001E1BC0">
      <w:pPr>
        <w:pStyle w:val="Heading2"/>
        <w:keepNext w:val="0"/>
        <w:keepLines w:val="0"/>
        <w:rPr>
          <w:lang w:val="en-US"/>
        </w:rPr>
      </w:pPr>
      <w:r w:rsidRPr="00DB251D">
        <w:rPr>
          <w:shd w:val="clear" w:color="auto" w:fill="FFFFFF"/>
          <w:lang w:val="en-US"/>
        </w:rPr>
        <w:t>4.2</w:t>
      </w:r>
      <w:r w:rsidRPr="00DB251D">
        <w:rPr>
          <w:shd w:val="clear" w:color="auto" w:fill="FFFFFF"/>
          <w:lang w:val="en-US"/>
        </w:rPr>
        <w:tab/>
        <w:t>Technical and operational characteristics of the Fixed service operating in the 5 850-5 925 MHz</w:t>
      </w:r>
    </w:p>
    <w:p w:rsidR="002176F6" w:rsidRPr="00DB251D" w:rsidRDefault="001E1BC0">
      <w:pPr>
        <w:rPr>
          <w:i/>
          <w:iCs/>
          <w:lang w:val="en-US"/>
        </w:rPr>
      </w:pPr>
      <w:r w:rsidRPr="00DB251D">
        <w:rPr>
          <w:i/>
          <w:iCs/>
          <w:lang w:val="en-US"/>
        </w:rPr>
        <w:t>[TBD]</w:t>
      </w:r>
    </w:p>
    <w:p w:rsidR="002176F6" w:rsidRPr="00DB251D" w:rsidRDefault="001E1BC0">
      <w:pPr>
        <w:pStyle w:val="Heading2"/>
        <w:rPr>
          <w:shd w:val="clear" w:color="auto" w:fill="FFFFFF"/>
          <w:lang w:val="en-US"/>
        </w:rPr>
      </w:pPr>
      <w:r w:rsidRPr="00DB251D">
        <w:rPr>
          <w:shd w:val="clear" w:color="auto" w:fill="FFFFFF"/>
          <w:lang w:val="en-US"/>
        </w:rPr>
        <w:t>4.3</w:t>
      </w:r>
      <w:r w:rsidRPr="00DB251D">
        <w:rPr>
          <w:shd w:val="clear" w:color="auto" w:fill="FFFFFF"/>
          <w:lang w:val="en-US"/>
        </w:rPr>
        <w:tab/>
        <w:t>Technical and operational characteristics of the Fixed Satellite service operating in the 5 850</w:t>
      </w:r>
      <w:r w:rsidRPr="00DB251D">
        <w:rPr>
          <w:shd w:val="clear" w:color="auto" w:fill="FFFFFF"/>
          <w:lang w:val="en-US"/>
        </w:rPr>
        <w:noBreakHyphen/>
        <w:t>5 925 MHz</w:t>
      </w:r>
    </w:p>
    <w:p w:rsidR="002176F6" w:rsidRPr="00DB251D" w:rsidRDefault="001E1BC0" w:rsidP="00394075">
      <w:pPr>
        <w:rPr>
          <w:i/>
          <w:iCs/>
          <w:lang w:val="en-US" w:eastAsia="zh-CN"/>
        </w:rPr>
      </w:pPr>
      <w:r w:rsidRPr="00DB251D">
        <w:rPr>
          <w:i/>
          <w:iCs/>
          <w:lang w:val="en-US" w:eastAsia="zh-CN"/>
        </w:rPr>
        <w:t xml:space="preserve">[WP </w:t>
      </w:r>
      <w:proofErr w:type="spellStart"/>
      <w:r w:rsidRPr="00DB251D">
        <w:rPr>
          <w:i/>
          <w:iCs/>
          <w:lang w:val="en-US" w:eastAsia="zh-CN"/>
        </w:rPr>
        <w:t>4A</w:t>
      </w:r>
      <w:proofErr w:type="spellEnd"/>
      <w:r w:rsidRPr="00DB251D">
        <w:rPr>
          <w:rFonts w:eastAsia="Calibri"/>
          <w:i/>
          <w:iCs/>
          <w:lang w:val="en-US" w:eastAsia="es-ES"/>
        </w:rPr>
        <w:t xml:space="preserve"> </w:t>
      </w:r>
      <w:hyperlink r:id="rId18" w:history="1">
        <w:proofErr w:type="spellStart"/>
        <w:r w:rsidR="00394075" w:rsidRPr="00DB251D">
          <w:rPr>
            <w:rStyle w:val="Hyperlink"/>
            <w:rFonts w:eastAsia="Calibri"/>
            <w:i/>
            <w:iCs/>
            <w:lang w:val="en-US" w:eastAsia="es-ES"/>
          </w:rPr>
          <w:t>5A</w:t>
        </w:r>
        <w:proofErr w:type="spellEnd"/>
        <w:r w:rsidR="00394075" w:rsidRPr="00DB251D">
          <w:rPr>
            <w:rStyle w:val="Hyperlink"/>
            <w:rFonts w:eastAsia="Calibri"/>
            <w:i/>
            <w:iCs/>
            <w:lang w:val="en-US" w:eastAsia="es-ES"/>
          </w:rPr>
          <w:t>/181</w:t>
        </w:r>
      </w:hyperlink>
      <w:r w:rsidRPr="00DB251D">
        <w:rPr>
          <w:rFonts w:eastAsia="Calibri"/>
          <w:i/>
          <w:iCs/>
          <w:lang w:val="en-US" w:eastAsia="es-ES"/>
        </w:rPr>
        <w:t xml:space="preserve">, </w:t>
      </w:r>
      <w:hyperlink r:id="rId19" w:history="1">
        <w:proofErr w:type="spellStart"/>
        <w:r w:rsidR="00394075" w:rsidRPr="00DB251D">
          <w:rPr>
            <w:rStyle w:val="Hyperlink"/>
            <w:rFonts w:eastAsia="Calibri"/>
            <w:i/>
            <w:iCs/>
            <w:lang w:val="en-US" w:eastAsia="es-ES"/>
          </w:rPr>
          <w:t>5A</w:t>
        </w:r>
        <w:proofErr w:type="spellEnd"/>
        <w:r w:rsidR="00394075" w:rsidRPr="00DB251D">
          <w:rPr>
            <w:rStyle w:val="Hyperlink"/>
            <w:rFonts w:eastAsia="Calibri"/>
            <w:i/>
            <w:iCs/>
            <w:lang w:val="en-US" w:eastAsia="es-ES"/>
          </w:rPr>
          <w:t>/462</w:t>
        </w:r>
      </w:hyperlink>
      <w:r w:rsidRPr="00DB251D">
        <w:rPr>
          <w:i/>
          <w:iCs/>
          <w:lang w:val="en-US" w:eastAsia="zh-CN"/>
        </w:rPr>
        <w:t>]</w:t>
      </w:r>
    </w:p>
    <w:p w:rsidR="002176F6" w:rsidRPr="00DB251D" w:rsidRDefault="001E1BC0">
      <w:pPr>
        <w:rPr>
          <w:lang w:val="en-US" w:eastAsia="zh-CN"/>
        </w:rPr>
      </w:pPr>
      <w:r w:rsidRPr="00DB251D">
        <w:rPr>
          <w:lang w:val="en-US" w:eastAsia="zh-CN"/>
        </w:rPr>
        <w:t xml:space="preserve">Note: The material in the table below is derived from contributions received by WP </w:t>
      </w:r>
      <w:proofErr w:type="spellStart"/>
      <w:r w:rsidRPr="00DB251D">
        <w:rPr>
          <w:lang w:val="en-US" w:eastAsia="zh-CN"/>
        </w:rPr>
        <w:t>4A</w:t>
      </w:r>
      <w:proofErr w:type="spellEnd"/>
      <w:r w:rsidRPr="00DB251D">
        <w:rPr>
          <w:lang w:val="en-US" w:eastAsia="zh-CN"/>
        </w:rPr>
        <w:t xml:space="preserve"> at its September/October 2016 meeting and May 2017 meeting.</w:t>
      </w:r>
    </w:p>
    <w:p w:rsidR="002176F6" w:rsidRPr="00DB251D" w:rsidRDefault="001E1BC0">
      <w:pPr>
        <w:pStyle w:val="TableNo"/>
        <w:rPr>
          <w:rFonts w:asciiTheme="majorBidi" w:hAnsiTheme="majorBidi" w:cstheme="majorBidi"/>
          <w:lang w:val="en-US"/>
        </w:rPr>
      </w:pPr>
      <w:r w:rsidRPr="00DB251D">
        <w:rPr>
          <w:rFonts w:asciiTheme="majorBidi" w:hAnsiTheme="majorBidi" w:cstheme="majorBidi"/>
          <w:lang w:val="en-US"/>
        </w:rPr>
        <w:lastRenderedPageBreak/>
        <w:t>Table 1</w:t>
      </w:r>
    </w:p>
    <w:p w:rsidR="002176F6" w:rsidRPr="00DB251D" w:rsidRDefault="001E1BC0">
      <w:pPr>
        <w:pStyle w:val="Tabletitle"/>
        <w:rPr>
          <w:lang w:val="en-US" w:eastAsia="zh-CN"/>
        </w:rPr>
      </w:pPr>
      <w:proofErr w:type="spellStart"/>
      <w:r w:rsidRPr="00DB251D">
        <w:rPr>
          <w:lang w:val="en-US"/>
        </w:rPr>
        <w:t>FSS</w:t>
      </w:r>
      <w:proofErr w:type="spellEnd"/>
      <w:r w:rsidRPr="00DB251D">
        <w:rPr>
          <w:lang w:val="en-US"/>
        </w:rPr>
        <w:t xml:space="preserve"> </w:t>
      </w:r>
      <w:r w:rsidR="00ED0542" w:rsidRPr="00DB251D">
        <w:rPr>
          <w:lang w:val="en-US"/>
        </w:rPr>
        <w:t xml:space="preserve">uplink parameters </w:t>
      </w:r>
      <w:r w:rsidRPr="00DB251D">
        <w:rPr>
          <w:lang w:val="en-US"/>
        </w:rPr>
        <w:t>(</w:t>
      </w:r>
      <w:r w:rsidR="00ED0542" w:rsidRPr="00DB251D">
        <w:rPr>
          <w:lang w:val="en-US"/>
        </w:rPr>
        <w:t xml:space="preserve">interfered </w:t>
      </w:r>
      <w:r w:rsidRPr="00DB251D">
        <w:rPr>
          <w:lang w:val="en-US"/>
        </w:rPr>
        <w:t>with)</w:t>
      </w:r>
    </w:p>
    <w:tbl>
      <w:tblPr>
        <w:tblStyle w:val="TableGrid"/>
        <w:tblW w:w="0" w:type="auto"/>
        <w:tblLook w:val="04A0" w:firstRow="1" w:lastRow="0" w:firstColumn="1" w:lastColumn="0" w:noHBand="0" w:noVBand="1"/>
      </w:tblPr>
      <w:tblGrid>
        <w:gridCol w:w="2497"/>
        <w:gridCol w:w="1467"/>
        <w:gridCol w:w="1985"/>
        <w:gridCol w:w="1843"/>
        <w:gridCol w:w="1837"/>
      </w:tblGrid>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Frequency range</w:t>
            </w:r>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GHz</w:t>
            </w:r>
          </w:p>
        </w:tc>
        <w:tc>
          <w:tcPr>
            <w:tcW w:w="1985"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5.725-5.925</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5.725-5.925</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5.725-5.925</w:t>
            </w:r>
          </w:p>
        </w:tc>
      </w:tr>
      <w:tr w:rsidR="002176F6" w:rsidRPr="00DB251D">
        <w:trPr>
          <w:trHeight w:val="20"/>
        </w:trPr>
        <w:tc>
          <w:tcPr>
            <w:tcW w:w="2497" w:type="dxa"/>
            <w:hideMark/>
          </w:tcPr>
          <w:p w:rsidR="002176F6" w:rsidRPr="00DB251D" w:rsidRDefault="008E0827">
            <w:pPr>
              <w:spacing w:before="40" w:after="40"/>
              <w:rPr>
                <w:bCs/>
                <w:sz w:val="20"/>
                <w:szCs w:val="18"/>
                <w:lang w:val="en-US" w:eastAsia="zh-CN"/>
              </w:rPr>
            </w:pPr>
            <w:r w:rsidRPr="00DB251D">
              <w:rPr>
                <w:bCs/>
                <w:sz w:val="20"/>
                <w:szCs w:val="18"/>
                <w:lang w:val="en-US" w:eastAsia="zh-CN"/>
              </w:rPr>
              <w:t>Carrier</w:t>
            </w:r>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 xml:space="preserve">Carrier </w:t>
            </w:r>
            <w:r w:rsidR="008E0827" w:rsidRPr="00DB251D">
              <w:rPr>
                <w:bCs/>
                <w:sz w:val="20"/>
                <w:szCs w:val="18"/>
                <w:lang w:val="en-US" w:eastAsia="zh-CN"/>
              </w:rPr>
              <w:t>name</w:t>
            </w:r>
          </w:p>
        </w:tc>
        <w:tc>
          <w:tcPr>
            <w:tcW w:w="1985"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Carrier #11</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Carrier #12</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Carrier #48</w:t>
            </w:r>
          </w:p>
        </w:tc>
      </w:tr>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Noise bandwidth</w:t>
            </w:r>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MHz</w:t>
            </w:r>
          </w:p>
        </w:tc>
        <w:tc>
          <w:tcPr>
            <w:tcW w:w="1985"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4.0-20</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4.0-20</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4.0-54</w:t>
            </w:r>
          </w:p>
        </w:tc>
      </w:tr>
      <w:tr w:rsidR="002176F6" w:rsidRPr="00DB251D">
        <w:trPr>
          <w:trHeight w:val="20"/>
        </w:trPr>
        <w:tc>
          <w:tcPr>
            <w:tcW w:w="9629" w:type="dxa"/>
            <w:gridSpan w:val="5"/>
            <w:hideMark/>
          </w:tcPr>
          <w:p w:rsidR="002176F6" w:rsidRPr="00DB251D" w:rsidRDefault="008E0827">
            <w:pPr>
              <w:spacing w:before="40" w:after="40"/>
              <w:rPr>
                <w:b/>
                <w:sz w:val="20"/>
                <w:szCs w:val="18"/>
                <w:lang w:val="en-US" w:eastAsia="zh-CN"/>
              </w:rPr>
            </w:pPr>
            <w:r w:rsidRPr="00DB251D">
              <w:rPr>
                <w:b/>
                <w:sz w:val="20"/>
                <w:szCs w:val="18"/>
                <w:lang w:val="en-US" w:eastAsia="zh-CN"/>
              </w:rPr>
              <w:t>Space station</w:t>
            </w:r>
          </w:p>
        </w:tc>
      </w:tr>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Peak receive antenna gain </w:t>
            </w:r>
          </w:p>
        </w:tc>
        <w:tc>
          <w:tcPr>
            <w:tcW w:w="1467" w:type="dxa"/>
            <w:hideMark/>
          </w:tcPr>
          <w:p w:rsidR="002176F6" w:rsidRPr="00DB251D" w:rsidRDefault="001E1BC0" w:rsidP="00ED0542">
            <w:pPr>
              <w:spacing w:before="40" w:after="40"/>
              <w:jc w:val="center"/>
              <w:rPr>
                <w:bCs/>
                <w:sz w:val="20"/>
                <w:szCs w:val="18"/>
                <w:lang w:val="en-US" w:eastAsia="zh-CN"/>
              </w:rPr>
            </w:pPr>
            <w:proofErr w:type="spellStart"/>
            <w:r w:rsidRPr="00DB251D">
              <w:rPr>
                <w:bCs/>
                <w:sz w:val="20"/>
                <w:szCs w:val="18"/>
                <w:lang w:val="en-US" w:eastAsia="zh-CN"/>
              </w:rPr>
              <w:t>dBi</w:t>
            </w:r>
            <w:proofErr w:type="spellEnd"/>
          </w:p>
        </w:tc>
        <w:tc>
          <w:tcPr>
            <w:tcW w:w="1985"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20</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36.4</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41.6</w:t>
            </w:r>
          </w:p>
        </w:tc>
      </w:tr>
      <w:tr w:rsidR="002176F6" w:rsidRPr="00237057">
        <w:trPr>
          <w:trHeight w:val="20"/>
        </w:trPr>
        <w:tc>
          <w:tcPr>
            <w:tcW w:w="2497" w:type="dxa"/>
            <w:hideMark/>
          </w:tcPr>
          <w:p w:rsidR="002176F6" w:rsidRPr="00DB251D" w:rsidRDefault="008E0827">
            <w:pPr>
              <w:spacing w:before="40" w:after="40"/>
              <w:rPr>
                <w:bCs/>
                <w:sz w:val="20"/>
                <w:szCs w:val="18"/>
                <w:lang w:val="en-US" w:eastAsia="zh-CN"/>
              </w:rPr>
            </w:pPr>
            <w:r w:rsidRPr="00DB251D">
              <w:rPr>
                <w:bCs/>
                <w:sz w:val="20"/>
                <w:szCs w:val="18"/>
                <w:lang w:val="en-US" w:eastAsia="zh-CN"/>
              </w:rPr>
              <w:t xml:space="preserve">Antenna receive gain pattern </w:t>
            </w:r>
            <w:r w:rsidR="001E1BC0" w:rsidRPr="00DB251D">
              <w:rPr>
                <w:bCs/>
                <w:sz w:val="20"/>
                <w:szCs w:val="18"/>
                <w:lang w:val="en-US" w:eastAsia="zh-CN"/>
              </w:rPr>
              <w:t xml:space="preserve">and </w:t>
            </w:r>
            <w:proofErr w:type="spellStart"/>
            <w:r w:rsidR="001E1BC0" w:rsidRPr="00DB251D">
              <w:rPr>
                <w:bCs/>
                <w:sz w:val="20"/>
                <w:szCs w:val="18"/>
                <w:lang w:val="en-US" w:eastAsia="zh-CN"/>
              </w:rPr>
              <w:t>beamwidth</w:t>
            </w:r>
            <w:proofErr w:type="spellEnd"/>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w:t>
            </w:r>
          </w:p>
        </w:tc>
        <w:tc>
          <w:tcPr>
            <w:tcW w:w="1985" w:type="dxa"/>
            <w:hideMark/>
          </w:tcPr>
          <w:p w:rsidR="002176F6" w:rsidRPr="00DB251D" w:rsidRDefault="00ED0542" w:rsidP="00ED0542">
            <w:pPr>
              <w:spacing w:before="40" w:after="40"/>
              <w:jc w:val="center"/>
              <w:rPr>
                <w:sz w:val="20"/>
                <w:szCs w:val="18"/>
                <w:lang w:val="en-US" w:eastAsia="zh-CN"/>
              </w:rPr>
            </w:pPr>
            <w:r w:rsidRPr="00DB251D">
              <w:rPr>
                <w:sz w:val="20"/>
                <w:szCs w:val="18"/>
                <w:lang w:val="en-US" w:eastAsia="zh-CN"/>
              </w:rPr>
              <w:t xml:space="preserve">Section 1.1 of Annex 1 </w:t>
            </w:r>
            <w:r w:rsidR="001E1BC0" w:rsidRPr="00DB251D">
              <w:rPr>
                <w:sz w:val="20"/>
                <w:szCs w:val="18"/>
                <w:lang w:val="en-US" w:eastAsia="zh-CN"/>
              </w:rPr>
              <w:t xml:space="preserve">of Rec. </w:t>
            </w:r>
            <w:proofErr w:type="spellStart"/>
            <w:r w:rsidR="001E1BC0" w:rsidRPr="00DB251D">
              <w:rPr>
                <w:sz w:val="20"/>
                <w:szCs w:val="18"/>
                <w:lang w:val="en-US" w:eastAsia="zh-CN"/>
              </w:rPr>
              <w:t>ITU</w:t>
            </w:r>
            <w:proofErr w:type="spellEnd"/>
            <w:r w:rsidRPr="00DB251D">
              <w:rPr>
                <w:sz w:val="20"/>
                <w:szCs w:val="18"/>
                <w:lang w:val="en-US" w:eastAsia="zh-CN"/>
              </w:rPr>
              <w:noBreakHyphen/>
            </w:r>
            <w:r w:rsidR="001E1BC0" w:rsidRPr="00DB251D">
              <w:rPr>
                <w:sz w:val="20"/>
                <w:szCs w:val="18"/>
                <w:lang w:val="en-US" w:eastAsia="zh-CN"/>
              </w:rPr>
              <w:t xml:space="preserve">R </w:t>
            </w:r>
            <w:proofErr w:type="spellStart"/>
            <w:r w:rsidR="001E1BC0" w:rsidRPr="00DB251D">
              <w:rPr>
                <w:sz w:val="20"/>
                <w:szCs w:val="18"/>
                <w:lang w:val="en-US" w:eastAsia="zh-CN"/>
              </w:rPr>
              <w:t>S.672</w:t>
            </w:r>
            <w:proofErr w:type="spellEnd"/>
            <w:r w:rsidR="001E1BC0" w:rsidRPr="00DB251D">
              <w:rPr>
                <w:sz w:val="20"/>
                <w:szCs w:val="18"/>
                <w:lang w:val="en-US" w:eastAsia="zh-CN"/>
              </w:rPr>
              <w:t>-4</w:t>
            </w:r>
            <w:r w:rsidR="001E1BC0" w:rsidRPr="00DB251D">
              <w:rPr>
                <w:sz w:val="20"/>
                <w:szCs w:val="18"/>
                <w:lang w:val="en-US" w:eastAsia="zh-CN"/>
              </w:rPr>
              <w:br/>
              <w:t>LS</w:t>
            </w:r>
            <w:r w:rsidRPr="00DB251D">
              <w:rPr>
                <w:sz w:val="20"/>
                <w:szCs w:val="18"/>
                <w:lang w:val="en-US" w:eastAsia="zh-CN"/>
              </w:rPr>
              <w:t> </w:t>
            </w:r>
            <w:r w:rsidR="001E1BC0" w:rsidRPr="00DB251D">
              <w:rPr>
                <w:sz w:val="20"/>
                <w:szCs w:val="18"/>
                <w:lang w:val="en-US" w:eastAsia="zh-CN"/>
              </w:rPr>
              <w:t>=</w:t>
            </w:r>
            <w:r w:rsidRPr="00DB251D">
              <w:rPr>
                <w:sz w:val="18"/>
                <w:szCs w:val="16"/>
                <w:lang w:val="en-US" w:eastAsia="zh-CN"/>
              </w:rPr>
              <w:t> –</w:t>
            </w:r>
            <w:r w:rsidR="001E1BC0" w:rsidRPr="00DB251D">
              <w:rPr>
                <w:sz w:val="20"/>
                <w:szCs w:val="18"/>
                <w:lang w:val="en-US" w:eastAsia="zh-CN"/>
              </w:rPr>
              <w:t>25</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S</w:t>
            </w:r>
            <w:r w:rsidR="00ED0542" w:rsidRPr="00DB251D">
              <w:rPr>
                <w:sz w:val="20"/>
                <w:szCs w:val="18"/>
                <w:lang w:val="en-US" w:eastAsia="zh-CN"/>
              </w:rPr>
              <w:t>ection 1.1 of Annex 1</w:t>
            </w:r>
            <w:r w:rsidRPr="00DB251D">
              <w:rPr>
                <w:sz w:val="20"/>
                <w:szCs w:val="18"/>
                <w:lang w:val="en-US" w:eastAsia="zh-CN"/>
              </w:rPr>
              <w:t xml:space="preserve"> of Rec. </w:t>
            </w:r>
            <w:proofErr w:type="spellStart"/>
            <w:r w:rsidRPr="00DB251D">
              <w:rPr>
                <w:sz w:val="20"/>
                <w:szCs w:val="18"/>
                <w:lang w:val="en-US" w:eastAsia="zh-CN"/>
              </w:rPr>
              <w:t>ITU</w:t>
            </w:r>
            <w:proofErr w:type="spellEnd"/>
            <w:r w:rsidRPr="00DB251D">
              <w:rPr>
                <w:sz w:val="20"/>
                <w:szCs w:val="18"/>
                <w:lang w:val="en-US" w:eastAsia="zh-CN"/>
              </w:rPr>
              <w:t xml:space="preserve">-R </w:t>
            </w:r>
            <w:proofErr w:type="spellStart"/>
            <w:r w:rsidRPr="00DB251D">
              <w:rPr>
                <w:sz w:val="20"/>
                <w:szCs w:val="18"/>
                <w:lang w:val="en-US" w:eastAsia="zh-CN"/>
              </w:rPr>
              <w:t>S.672</w:t>
            </w:r>
            <w:proofErr w:type="spellEnd"/>
            <w:r w:rsidRPr="00DB251D">
              <w:rPr>
                <w:sz w:val="20"/>
                <w:szCs w:val="18"/>
                <w:lang w:val="en-US" w:eastAsia="zh-CN"/>
              </w:rPr>
              <w:t>-4</w:t>
            </w:r>
            <w:r w:rsidRPr="00DB251D">
              <w:rPr>
                <w:sz w:val="20"/>
                <w:szCs w:val="18"/>
                <w:lang w:val="en-US" w:eastAsia="zh-CN"/>
              </w:rPr>
              <w:br/>
              <w:t>LS</w:t>
            </w:r>
            <w:r w:rsidR="00ED0542" w:rsidRPr="00DB251D">
              <w:rPr>
                <w:sz w:val="20"/>
                <w:szCs w:val="18"/>
                <w:lang w:val="en-US" w:eastAsia="zh-CN"/>
              </w:rPr>
              <w:t> </w:t>
            </w:r>
            <w:r w:rsidRPr="00DB251D">
              <w:rPr>
                <w:sz w:val="20"/>
                <w:szCs w:val="18"/>
                <w:lang w:val="en-US" w:eastAsia="zh-CN"/>
              </w:rPr>
              <w:t>=</w:t>
            </w:r>
            <w:r w:rsidR="00ED0542" w:rsidRPr="00DB251D">
              <w:rPr>
                <w:sz w:val="20"/>
                <w:szCs w:val="18"/>
                <w:lang w:val="en-US" w:eastAsia="zh-CN"/>
              </w:rPr>
              <w:t> –</w:t>
            </w:r>
            <w:r w:rsidRPr="00DB251D">
              <w:rPr>
                <w:sz w:val="20"/>
                <w:szCs w:val="18"/>
                <w:lang w:val="en-US" w:eastAsia="zh-CN"/>
              </w:rPr>
              <w:t>25</w:t>
            </w:r>
          </w:p>
        </w:tc>
        <w:tc>
          <w:tcPr>
            <w:tcW w:w="1837" w:type="dxa"/>
          </w:tcPr>
          <w:p w:rsidR="002176F6" w:rsidRPr="00237057" w:rsidRDefault="001E1BC0" w:rsidP="00ED0542">
            <w:pPr>
              <w:spacing w:before="40" w:after="40"/>
              <w:jc w:val="center"/>
              <w:rPr>
                <w:sz w:val="20"/>
                <w:szCs w:val="18"/>
                <w:lang w:val="de-CH" w:eastAsia="zh-CN"/>
              </w:rPr>
            </w:pPr>
            <w:r w:rsidRPr="00DB251D">
              <w:rPr>
                <w:sz w:val="20"/>
                <w:szCs w:val="18"/>
                <w:lang w:val="en-US" w:eastAsia="zh-CN"/>
              </w:rPr>
              <w:t>"</w:t>
            </w:r>
            <w:r w:rsidR="00ED0542" w:rsidRPr="00DB251D">
              <w:rPr>
                <w:sz w:val="20"/>
                <w:szCs w:val="18"/>
                <w:lang w:val="en-US" w:eastAsia="zh-CN"/>
              </w:rPr>
              <w:t xml:space="preserve">Section 1.1 of Annex 1 </w:t>
            </w:r>
            <w:r w:rsidRPr="00DB251D">
              <w:rPr>
                <w:sz w:val="20"/>
                <w:szCs w:val="18"/>
                <w:lang w:val="en-US" w:eastAsia="zh-CN"/>
              </w:rPr>
              <w:t xml:space="preserve">of Rec. </w:t>
            </w:r>
            <w:r w:rsidRPr="00237057">
              <w:rPr>
                <w:sz w:val="20"/>
                <w:szCs w:val="18"/>
                <w:lang w:val="de-CH" w:eastAsia="zh-CN"/>
              </w:rPr>
              <w:t>ITU-R S.672-4</w:t>
            </w:r>
          </w:p>
          <w:p w:rsidR="002176F6" w:rsidRPr="00237057" w:rsidRDefault="001E1BC0" w:rsidP="00ED0542">
            <w:pPr>
              <w:spacing w:before="40" w:after="40"/>
              <w:jc w:val="center"/>
              <w:rPr>
                <w:sz w:val="20"/>
                <w:szCs w:val="18"/>
                <w:lang w:val="de-CH" w:eastAsia="zh-CN"/>
              </w:rPr>
            </w:pPr>
            <w:r w:rsidRPr="00237057">
              <w:rPr>
                <w:sz w:val="20"/>
                <w:szCs w:val="18"/>
                <w:lang w:val="de-CH" w:eastAsia="zh-CN"/>
              </w:rPr>
              <w:t>LS</w:t>
            </w:r>
            <w:r w:rsidR="00ED0542" w:rsidRPr="00237057">
              <w:rPr>
                <w:sz w:val="20"/>
                <w:szCs w:val="18"/>
                <w:lang w:val="de-CH" w:eastAsia="zh-CN"/>
              </w:rPr>
              <w:t> </w:t>
            </w:r>
            <w:r w:rsidRPr="00237057">
              <w:rPr>
                <w:sz w:val="20"/>
                <w:szCs w:val="18"/>
                <w:lang w:val="de-CH" w:eastAsia="zh-CN"/>
              </w:rPr>
              <w:t>=</w:t>
            </w:r>
            <w:r w:rsidR="00ED0542" w:rsidRPr="00237057">
              <w:rPr>
                <w:sz w:val="20"/>
                <w:szCs w:val="18"/>
                <w:lang w:val="de-CH" w:eastAsia="zh-CN"/>
              </w:rPr>
              <w:t> –</w:t>
            </w:r>
            <w:r w:rsidRPr="00237057">
              <w:rPr>
                <w:sz w:val="20"/>
                <w:szCs w:val="18"/>
                <w:lang w:val="de-CH" w:eastAsia="zh-CN"/>
              </w:rPr>
              <w:t>25 Beamwidth:1.5"</w:t>
            </w:r>
          </w:p>
        </w:tc>
      </w:tr>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System receive noise temperature</w:t>
            </w:r>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K</w:t>
            </w:r>
          </w:p>
        </w:tc>
        <w:tc>
          <w:tcPr>
            <w:tcW w:w="1985"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400</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400</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400 -500</w:t>
            </w:r>
          </w:p>
        </w:tc>
      </w:tr>
      <w:tr w:rsidR="002176F6" w:rsidRPr="00DB251D">
        <w:trPr>
          <w:trHeight w:val="20"/>
        </w:trPr>
        <w:tc>
          <w:tcPr>
            <w:tcW w:w="9629" w:type="dxa"/>
            <w:gridSpan w:val="5"/>
            <w:noWrap/>
            <w:hideMark/>
          </w:tcPr>
          <w:p w:rsidR="002176F6" w:rsidRPr="00DB251D" w:rsidRDefault="008E0827">
            <w:pPr>
              <w:spacing w:before="40" w:after="40"/>
              <w:rPr>
                <w:b/>
                <w:sz w:val="20"/>
                <w:szCs w:val="18"/>
                <w:lang w:val="en-US" w:eastAsia="zh-CN"/>
              </w:rPr>
            </w:pPr>
            <w:r w:rsidRPr="00DB251D">
              <w:rPr>
                <w:b/>
                <w:sz w:val="20"/>
                <w:szCs w:val="18"/>
                <w:lang w:val="en-US" w:eastAsia="zh-CN"/>
              </w:rPr>
              <w:t>Interference protection criteria</w:t>
            </w:r>
          </w:p>
        </w:tc>
      </w:tr>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Interference to </w:t>
            </w:r>
            <w:r w:rsidR="008E0827" w:rsidRPr="00DB251D">
              <w:rPr>
                <w:bCs/>
                <w:sz w:val="20"/>
                <w:szCs w:val="18"/>
                <w:lang w:val="en-US" w:eastAsia="zh-CN"/>
              </w:rPr>
              <w:t xml:space="preserve">noise ratio </w:t>
            </w:r>
            <w:r w:rsidRPr="00DB251D">
              <w:rPr>
                <w:bCs/>
                <w:i/>
                <w:iCs/>
                <w:sz w:val="20"/>
                <w:szCs w:val="18"/>
                <w:lang w:val="en-US" w:eastAsia="zh-CN"/>
              </w:rPr>
              <w:t>I/N</w:t>
            </w:r>
          </w:p>
        </w:tc>
        <w:tc>
          <w:tcPr>
            <w:tcW w:w="1467" w:type="dxa"/>
            <w:hideMark/>
          </w:tcPr>
          <w:p w:rsidR="002176F6" w:rsidRPr="00DB251D" w:rsidRDefault="001E1BC0" w:rsidP="00ED0542">
            <w:pPr>
              <w:spacing w:before="40" w:after="40"/>
              <w:jc w:val="center"/>
              <w:rPr>
                <w:bCs/>
                <w:sz w:val="20"/>
                <w:szCs w:val="18"/>
                <w:lang w:val="en-US" w:eastAsia="zh-CN"/>
              </w:rPr>
            </w:pPr>
            <w:r w:rsidRPr="00DB251D">
              <w:rPr>
                <w:bCs/>
                <w:sz w:val="20"/>
                <w:szCs w:val="18"/>
                <w:lang w:val="en-US" w:eastAsia="zh-CN"/>
              </w:rPr>
              <w:t>dB</w:t>
            </w:r>
          </w:p>
        </w:tc>
        <w:tc>
          <w:tcPr>
            <w:tcW w:w="1985" w:type="dxa"/>
            <w:hideMark/>
          </w:tcPr>
          <w:p w:rsidR="002176F6" w:rsidRPr="00DB251D" w:rsidRDefault="00ED0542" w:rsidP="00ED0542">
            <w:pPr>
              <w:spacing w:before="40" w:after="40"/>
              <w:jc w:val="center"/>
              <w:rPr>
                <w:sz w:val="20"/>
                <w:szCs w:val="18"/>
                <w:lang w:val="en-US" w:eastAsia="zh-CN"/>
              </w:rPr>
            </w:pPr>
            <w:r w:rsidRPr="00DB251D">
              <w:rPr>
                <w:sz w:val="20"/>
                <w:szCs w:val="18"/>
                <w:lang w:val="en-US" w:eastAsia="zh-CN"/>
              </w:rPr>
              <w:t>[</w:t>
            </w:r>
            <w:r w:rsidRPr="00DB251D">
              <w:rPr>
                <w:sz w:val="18"/>
                <w:szCs w:val="16"/>
                <w:lang w:val="en-US" w:eastAsia="zh-CN"/>
              </w:rPr>
              <w:t>–</w:t>
            </w:r>
            <w:r w:rsidR="001E1BC0" w:rsidRPr="00DB251D">
              <w:rPr>
                <w:sz w:val="20"/>
                <w:szCs w:val="18"/>
                <w:lang w:val="en-US" w:eastAsia="zh-CN"/>
              </w:rPr>
              <w:t>12.2]</w:t>
            </w:r>
          </w:p>
        </w:tc>
        <w:tc>
          <w:tcPr>
            <w:tcW w:w="1843" w:type="dxa"/>
            <w:hideMark/>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w:t>
            </w:r>
            <w:r w:rsidR="00ED0542" w:rsidRPr="00DB251D">
              <w:rPr>
                <w:sz w:val="18"/>
                <w:szCs w:val="16"/>
                <w:lang w:val="en-US" w:eastAsia="zh-CN"/>
              </w:rPr>
              <w:t>–</w:t>
            </w:r>
            <w:r w:rsidRPr="00DB251D">
              <w:rPr>
                <w:sz w:val="20"/>
                <w:szCs w:val="18"/>
                <w:lang w:val="en-US" w:eastAsia="zh-CN"/>
              </w:rPr>
              <w:t>12.2]</w:t>
            </w:r>
          </w:p>
        </w:tc>
        <w:tc>
          <w:tcPr>
            <w:tcW w:w="1837" w:type="dxa"/>
          </w:tcPr>
          <w:p w:rsidR="002176F6" w:rsidRPr="00DB251D" w:rsidRDefault="001E1BC0" w:rsidP="00ED0542">
            <w:pPr>
              <w:spacing w:before="40" w:after="40"/>
              <w:jc w:val="center"/>
              <w:rPr>
                <w:sz w:val="20"/>
                <w:szCs w:val="18"/>
                <w:lang w:val="en-US" w:eastAsia="zh-CN"/>
              </w:rPr>
            </w:pPr>
            <w:r w:rsidRPr="00DB251D">
              <w:rPr>
                <w:sz w:val="20"/>
                <w:szCs w:val="18"/>
                <w:lang w:val="en-US" w:eastAsia="zh-CN"/>
              </w:rPr>
              <w:t>[</w:t>
            </w:r>
            <w:r w:rsidR="00ED0542" w:rsidRPr="00DB251D">
              <w:rPr>
                <w:sz w:val="18"/>
                <w:szCs w:val="16"/>
                <w:lang w:val="en-US" w:eastAsia="zh-CN"/>
              </w:rPr>
              <w:t>–</w:t>
            </w:r>
            <w:r w:rsidRPr="00DB251D">
              <w:rPr>
                <w:sz w:val="20"/>
                <w:szCs w:val="18"/>
                <w:lang w:val="en-US" w:eastAsia="zh-CN"/>
              </w:rPr>
              <w:t>12.2]</w:t>
            </w:r>
          </w:p>
        </w:tc>
      </w:tr>
      <w:tr w:rsidR="002176F6" w:rsidRPr="00DB251D">
        <w:trPr>
          <w:trHeight w:val="20"/>
        </w:trPr>
        <w:tc>
          <w:tcPr>
            <w:tcW w:w="7792" w:type="dxa"/>
            <w:gridSpan w:val="4"/>
            <w:hideMark/>
          </w:tcPr>
          <w:p w:rsidR="002176F6" w:rsidRPr="00DB251D" w:rsidRDefault="001E1BC0">
            <w:pPr>
              <w:spacing w:before="40" w:after="40"/>
              <w:rPr>
                <w:b/>
                <w:sz w:val="20"/>
                <w:szCs w:val="18"/>
                <w:lang w:val="en-US" w:eastAsia="zh-CN"/>
              </w:rPr>
            </w:pPr>
            <w:r w:rsidRPr="00DB251D">
              <w:rPr>
                <w:b/>
                <w:sz w:val="20"/>
                <w:szCs w:val="18"/>
                <w:lang w:val="en-US" w:eastAsia="zh-CN"/>
              </w:rPr>
              <w:t>Other</w:t>
            </w:r>
          </w:p>
        </w:tc>
        <w:tc>
          <w:tcPr>
            <w:tcW w:w="1837" w:type="dxa"/>
          </w:tcPr>
          <w:p w:rsidR="002176F6" w:rsidRPr="00DB251D" w:rsidRDefault="002176F6" w:rsidP="00394075">
            <w:pPr>
              <w:spacing w:before="40" w:after="40"/>
              <w:jc w:val="center"/>
              <w:rPr>
                <w:bCs/>
                <w:sz w:val="20"/>
                <w:szCs w:val="18"/>
                <w:lang w:val="en-US" w:eastAsia="zh-CN"/>
              </w:rPr>
            </w:pPr>
          </w:p>
        </w:tc>
      </w:tr>
      <w:tr w:rsidR="002176F6" w:rsidRPr="00DB251D">
        <w:trPr>
          <w:trHeight w:val="20"/>
        </w:trPr>
        <w:tc>
          <w:tcPr>
            <w:tcW w:w="2497" w:type="dxa"/>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Additional </w:t>
            </w:r>
            <w:r w:rsidR="008E0827" w:rsidRPr="00DB251D">
              <w:rPr>
                <w:bCs/>
                <w:sz w:val="20"/>
                <w:szCs w:val="18"/>
                <w:lang w:val="en-US" w:eastAsia="zh-CN"/>
              </w:rPr>
              <w:t xml:space="preserve">notes </w:t>
            </w:r>
          </w:p>
        </w:tc>
        <w:tc>
          <w:tcPr>
            <w:tcW w:w="1467" w:type="dxa"/>
            <w:hideMark/>
          </w:tcPr>
          <w:p w:rsidR="002176F6" w:rsidRPr="00DB251D" w:rsidRDefault="002176F6" w:rsidP="00ED0542">
            <w:pPr>
              <w:spacing w:before="40" w:after="40"/>
              <w:jc w:val="center"/>
              <w:rPr>
                <w:sz w:val="20"/>
                <w:szCs w:val="18"/>
                <w:lang w:val="en-US" w:eastAsia="zh-CN"/>
              </w:rPr>
            </w:pPr>
          </w:p>
        </w:tc>
        <w:tc>
          <w:tcPr>
            <w:tcW w:w="1985" w:type="dxa"/>
            <w:hideMark/>
          </w:tcPr>
          <w:p w:rsidR="002176F6" w:rsidRPr="00DB251D" w:rsidRDefault="00394075" w:rsidP="00ED0542">
            <w:pPr>
              <w:spacing w:before="40" w:after="40"/>
              <w:jc w:val="center"/>
              <w:rPr>
                <w:sz w:val="20"/>
                <w:szCs w:val="18"/>
                <w:lang w:val="en-US" w:eastAsia="zh-CN"/>
              </w:rPr>
            </w:pPr>
            <w:r w:rsidRPr="00DB251D">
              <w:rPr>
                <w:sz w:val="18"/>
                <w:szCs w:val="16"/>
                <w:lang w:val="en-US" w:eastAsia="zh-CN"/>
              </w:rPr>
              <w:t>–</w:t>
            </w:r>
          </w:p>
        </w:tc>
        <w:tc>
          <w:tcPr>
            <w:tcW w:w="1843" w:type="dxa"/>
            <w:hideMark/>
          </w:tcPr>
          <w:p w:rsidR="002176F6" w:rsidRPr="00DB251D" w:rsidRDefault="002176F6" w:rsidP="00ED0542">
            <w:pPr>
              <w:spacing w:before="40" w:after="40"/>
              <w:jc w:val="center"/>
              <w:rPr>
                <w:sz w:val="20"/>
                <w:szCs w:val="18"/>
                <w:lang w:val="en-US" w:eastAsia="zh-CN"/>
              </w:rPr>
            </w:pPr>
          </w:p>
        </w:tc>
        <w:tc>
          <w:tcPr>
            <w:tcW w:w="1837" w:type="dxa"/>
          </w:tcPr>
          <w:p w:rsidR="002176F6" w:rsidRPr="00DB251D" w:rsidRDefault="002176F6" w:rsidP="00ED0542">
            <w:pPr>
              <w:spacing w:before="40" w:after="40"/>
              <w:jc w:val="center"/>
              <w:rPr>
                <w:rFonts w:ascii="Microsoft YaHei" w:eastAsia="Microsoft YaHei" w:hAnsi="Microsoft YaHei" w:cs="Microsoft YaHei"/>
                <w:sz w:val="20"/>
                <w:szCs w:val="18"/>
                <w:lang w:val="en-US" w:eastAsia="zh-CN"/>
              </w:rPr>
            </w:pPr>
          </w:p>
        </w:tc>
      </w:tr>
    </w:tbl>
    <w:p w:rsidR="002176F6" w:rsidRPr="00DB251D" w:rsidRDefault="001E1BC0">
      <w:pPr>
        <w:pStyle w:val="TableNo"/>
        <w:rPr>
          <w:rFonts w:asciiTheme="majorBidi" w:hAnsiTheme="majorBidi" w:cstheme="majorBidi"/>
          <w:lang w:val="en-US"/>
        </w:rPr>
      </w:pPr>
      <w:r w:rsidRPr="00DB251D">
        <w:rPr>
          <w:rFonts w:asciiTheme="majorBidi" w:hAnsiTheme="majorBidi" w:cstheme="majorBidi"/>
          <w:lang w:val="en-US"/>
        </w:rPr>
        <w:t>Table 2</w:t>
      </w:r>
    </w:p>
    <w:p w:rsidR="002176F6" w:rsidRPr="00DB251D" w:rsidRDefault="001E1BC0">
      <w:pPr>
        <w:pStyle w:val="Tabletitle"/>
        <w:rPr>
          <w:lang w:val="en-US"/>
        </w:rPr>
      </w:pPr>
      <w:proofErr w:type="spellStart"/>
      <w:r w:rsidRPr="00DB251D">
        <w:rPr>
          <w:lang w:val="en-US"/>
        </w:rPr>
        <w:t>FSS</w:t>
      </w:r>
      <w:proofErr w:type="spellEnd"/>
      <w:r w:rsidRPr="00DB251D">
        <w:rPr>
          <w:lang w:val="en-US"/>
        </w:rPr>
        <w:t xml:space="preserve"> Uplink Parameters (Interferer)</w:t>
      </w:r>
    </w:p>
    <w:tbl>
      <w:tblPr>
        <w:tblStyle w:val="TableGrid"/>
        <w:tblW w:w="0" w:type="auto"/>
        <w:tblLook w:val="04A0" w:firstRow="1" w:lastRow="0" w:firstColumn="1" w:lastColumn="0" w:noHBand="0" w:noVBand="1"/>
      </w:tblPr>
      <w:tblGrid>
        <w:gridCol w:w="2295"/>
        <w:gridCol w:w="1811"/>
        <w:gridCol w:w="1843"/>
        <w:gridCol w:w="1843"/>
        <w:gridCol w:w="1837"/>
      </w:tblGrid>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Frequency range</w:t>
            </w:r>
          </w:p>
        </w:tc>
        <w:tc>
          <w:tcPr>
            <w:tcW w:w="1811" w:type="dxa"/>
            <w:hideMark/>
          </w:tcPr>
          <w:p w:rsidR="002176F6" w:rsidRPr="00DB251D" w:rsidRDefault="001E1BC0" w:rsidP="008E0827">
            <w:pPr>
              <w:spacing w:before="40" w:after="40"/>
              <w:jc w:val="center"/>
              <w:rPr>
                <w:bCs/>
                <w:sz w:val="20"/>
                <w:szCs w:val="18"/>
                <w:lang w:val="en-US" w:eastAsia="zh-CN"/>
              </w:rPr>
            </w:pPr>
            <w:r w:rsidRPr="00DB251D">
              <w:rPr>
                <w:bCs/>
                <w:sz w:val="20"/>
                <w:szCs w:val="18"/>
                <w:lang w:val="en-US" w:eastAsia="zh-CN"/>
              </w:rPr>
              <w:t>GHz</w:t>
            </w:r>
          </w:p>
        </w:tc>
        <w:tc>
          <w:tcPr>
            <w:tcW w:w="1843" w:type="dxa"/>
            <w:hideMark/>
          </w:tcPr>
          <w:p w:rsidR="002176F6" w:rsidRPr="00DB251D" w:rsidRDefault="001E1BC0" w:rsidP="008E0827">
            <w:pPr>
              <w:spacing w:before="40" w:after="40"/>
              <w:jc w:val="center"/>
              <w:rPr>
                <w:sz w:val="20"/>
                <w:szCs w:val="18"/>
                <w:highlight w:val="yellow"/>
                <w:lang w:val="en-US" w:eastAsia="zh-CN"/>
              </w:rPr>
            </w:pPr>
            <w:r w:rsidRPr="00DB251D">
              <w:rPr>
                <w:sz w:val="20"/>
                <w:szCs w:val="18"/>
                <w:lang w:val="en-US" w:eastAsia="zh-CN"/>
              </w:rPr>
              <w:t>5.725-5.925*</w:t>
            </w:r>
          </w:p>
        </w:tc>
        <w:tc>
          <w:tcPr>
            <w:tcW w:w="1843" w:type="dxa"/>
            <w:hideMark/>
          </w:tcPr>
          <w:p w:rsidR="002176F6" w:rsidRPr="00DB251D" w:rsidRDefault="001E1BC0" w:rsidP="008E0827">
            <w:pPr>
              <w:spacing w:before="40" w:after="40"/>
              <w:jc w:val="center"/>
              <w:rPr>
                <w:sz w:val="20"/>
                <w:szCs w:val="18"/>
                <w:highlight w:val="yellow"/>
                <w:lang w:val="en-US" w:eastAsia="zh-CN"/>
              </w:rPr>
            </w:pPr>
            <w:r w:rsidRPr="00DB251D">
              <w:rPr>
                <w:sz w:val="20"/>
                <w:szCs w:val="18"/>
                <w:lang w:val="en-US" w:eastAsia="zh-CN"/>
              </w:rPr>
              <w:t>5.725-5.925*</w:t>
            </w:r>
          </w:p>
        </w:tc>
        <w:tc>
          <w:tcPr>
            <w:tcW w:w="1837" w:type="dxa"/>
          </w:tcPr>
          <w:p w:rsidR="002176F6" w:rsidRPr="00DB251D" w:rsidRDefault="001E1BC0" w:rsidP="008E0827">
            <w:pPr>
              <w:spacing w:before="40" w:after="40"/>
              <w:jc w:val="center"/>
              <w:rPr>
                <w:sz w:val="20"/>
                <w:szCs w:val="18"/>
                <w:highlight w:val="yellow"/>
                <w:lang w:val="en-US" w:eastAsia="zh-CN"/>
              </w:rPr>
            </w:pPr>
            <w:r w:rsidRPr="00DB251D">
              <w:rPr>
                <w:sz w:val="20"/>
                <w:szCs w:val="18"/>
                <w:lang w:val="en-US" w:eastAsia="zh-CN"/>
              </w:rPr>
              <w:t>5.725-5.925</w:t>
            </w:r>
          </w:p>
        </w:tc>
      </w:tr>
      <w:tr w:rsidR="002176F6" w:rsidRPr="00DB251D">
        <w:trPr>
          <w:trHeight w:val="20"/>
        </w:trPr>
        <w:tc>
          <w:tcPr>
            <w:tcW w:w="2295" w:type="dxa"/>
            <w:hideMark/>
          </w:tcPr>
          <w:p w:rsidR="002176F6" w:rsidRPr="00DB251D" w:rsidRDefault="008E0827">
            <w:pPr>
              <w:spacing w:before="40" w:after="40"/>
              <w:rPr>
                <w:b/>
                <w:sz w:val="20"/>
                <w:szCs w:val="18"/>
                <w:lang w:val="en-US" w:eastAsia="zh-CN"/>
              </w:rPr>
            </w:pPr>
            <w:r w:rsidRPr="00DB251D">
              <w:rPr>
                <w:b/>
                <w:sz w:val="20"/>
                <w:szCs w:val="18"/>
                <w:lang w:val="en-US" w:eastAsia="zh-CN"/>
              </w:rPr>
              <w:t>Earth station carrier</w:t>
            </w:r>
          </w:p>
        </w:tc>
        <w:tc>
          <w:tcPr>
            <w:tcW w:w="1811" w:type="dxa"/>
            <w:hideMark/>
          </w:tcPr>
          <w:p w:rsidR="002176F6" w:rsidRPr="00DB251D" w:rsidRDefault="002176F6" w:rsidP="008E0827">
            <w:pPr>
              <w:spacing w:before="40" w:after="40"/>
              <w:jc w:val="center"/>
              <w:rPr>
                <w:bCs/>
                <w:sz w:val="20"/>
                <w:szCs w:val="18"/>
                <w:lang w:val="en-US" w:eastAsia="zh-CN"/>
              </w:rPr>
            </w:pP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Carrier #11</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Carrier #12</w:t>
            </w:r>
          </w:p>
        </w:tc>
        <w:tc>
          <w:tcPr>
            <w:tcW w:w="1837" w:type="dxa"/>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Carrier #48</w:t>
            </w:r>
          </w:p>
        </w:tc>
      </w:tr>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Antenna diameter</w:t>
            </w:r>
          </w:p>
        </w:tc>
        <w:tc>
          <w:tcPr>
            <w:tcW w:w="1811" w:type="dxa"/>
            <w:hideMark/>
          </w:tcPr>
          <w:p w:rsidR="002176F6" w:rsidRPr="00DB251D" w:rsidRDefault="001E1BC0" w:rsidP="008E0827">
            <w:pPr>
              <w:spacing w:before="40" w:after="40"/>
              <w:jc w:val="center"/>
              <w:rPr>
                <w:bCs/>
                <w:sz w:val="20"/>
                <w:szCs w:val="18"/>
                <w:lang w:val="en-US" w:eastAsia="zh-CN"/>
              </w:rPr>
            </w:pPr>
            <w:r w:rsidRPr="00DB251D">
              <w:rPr>
                <w:bCs/>
                <w:sz w:val="20"/>
                <w:szCs w:val="18"/>
                <w:lang w:val="en-US" w:eastAsia="zh-CN"/>
              </w:rPr>
              <w:t>m</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1.8</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13.2</w:t>
            </w:r>
          </w:p>
        </w:tc>
        <w:tc>
          <w:tcPr>
            <w:tcW w:w="1837" w:type="dxa"/>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13.2</w:t>
            </w:r>
          </w:p>
        </w:tc>
      </w:tr>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Peak transmit antenna gain</w:t>
            </w:r>
          </w:p>
        </w:tc>
        <w:tc>
          <w:tcPr>
            <w:tcW w:w="1811" w:type="dxa"/>
            <w:hideMark/>
          </w:tcPr>
          <w:p w:rsidR="002176F6" w:rsidRPr="00DB251D" w:rsidRDefault="001E1BC0" w:rsidP="008E0827">
            <w:pPr>
              <w:spacing w:before="40" w:after="40"/>
              <w:jc w:val="center"/>
              <w:rPr>
                <w:bCs/>
                <w:sz w:val="20"/>
                <w:szCs w:val="18"/>
                <w:lang w:val="en-US" w:eastAsia="zh-CN"/>
              </w:rPr>
            </w:pPr>
            <w:proofErr w:type="spellStart"/>
            <w:r w:rsidRPr="00DB251D">
              <w:rPr>
                <w:bCs/>
                <w:sz w:val="20"/>
                <w:szCs w:val="18"/>
                <w:lang w:val="en-US" w:eastAsia="zh-CN"/>
              </w:rPr>
              <w:t>dBi</w:t>
            </w:r>
            <w:proofErr w:type="spellEnd"/>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39.9</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57.2</w:t>
            </w:r>
          </w:p>
        </w:tc>
        <w:tc>
          <w:tcPr>
            <w:tcW w:w="1837" w:type="dxa"/>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56.4</w:t>
            </w:r>
          </w:p>
        </w:tc>
      </w:tr>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Peak transmit power spectral density (clear sky) </w:t>
            </w:r>
          </w:p>
        </w:tc>
        <w:tc>
          <w:tcPr>
            <w:tcW w:w="1811" w:type="dxa"/>
            <w:hideMark/>
          </w:tcPr>
          <w:p w:rsidR="002176F6" w:rsidRPr="00DB251D" w:rsidRDefault="001E1BC0" w:rsidP="008E0827">
            <w:pPr>
              <w:spacing w:before="40" w:after="40"/>
              <w:jc w:val="center"/>
              <w:rPr>
                <w:bCs/>
                <w:sz w:val="20"/>
                <w:szCs w:val="18"/>
                <w:lang w:val="en-US" w:eastAsia="zh-CN"/>
              </w:rPr>
            </w:pPr>
            <w:proofErr w:type="spellStart"/>
            <w:r w:rsidRPr="00DB251D">
              <w:rPr>
                <w:bCs/>
                <w:sz w:val="20"/>
                <w:szCs w:val="18"/>
                <w:lang w:val="en-US" w:eastAsia="zh-CN"/>
              </w:rPr>
              <w:t>dBW</w:t>
            </w:r>
            <w:proofErr w:type="spellEnd"/>
            <w:r w:rsidRPr="00DB251D">
              <w:rPr>
                <w:bCs/>
                <w:sz w:val="20"/>
                <w:szCs w:val="18"/>
                <w:lang w:val="en-US" w:eastAsia="zh-CN"/>
              </w:rPr>
              <w:t>/Hz</w:t>
            </w:r>
          </w:p>
        </w:tc>
        <w:tc>
          <w:tcPr>
            <w:tcW w:w="1843" w:type="dxa"/>
            <w:hideMark/>
          </w:tcPr>
          <w:p w:rsidR="002176F6" w:rsidRPr="00DB251D" w:rsidRDefault="008E0827" w:rsidP="008E0827">
            <w:pPr>
              <w:spacing w:before="40" w:after="40"/>
              <w:jc w:val="center"/>
              <w:rPr>
                <w:sz w:val="20"/>
                <w:szCs w:val="18"/>
                <w:lang w:val="en-US" w:eastAsia="zh-CN"/>
              </w:rPr>
            </w:pPr>
            <w:r w:rsidRPr="00DB251D">
              <w:rPr>
                <w:sz w:val="18"/>
                <w:szCs w:val="16"/>
                <w:lang w:val="en-US" w:eastAsia="zh-CN"/>
              </w:rPr>
              <w:t>–</w:t>
            </w:r>
            <w:r w:rsidR="001E1BC0" w:rsidRPr="00DB251D">
              <w:rPr>
                <w:sz w:val="20"/>
                <w:szCs w:val="18"/>
                <w:lang w:val="en-US" w:eastAsia="zh-CN"/>
              </w:rPr>
              <w:t>33</w:t>
            </w:r>
          </w:p>
        </w:tc>
        <w:tc>
          <w:tcPr>
            <w:tcW w:w="1843" w:type="dxa"/>
            <w:hideMark/>
          </w:tcPr>
          <w:p w:rsidR="002176F6" w:rsidRPr="00DB251D" w:rsidRDefault="008E0827" w:rsidP="008E0827">
            <w:pPr>
              <w:spacing w:before="40" w:after="40"/>
              <w:jc w:val="center"/>
              <w:rPr>
                <w:sz w:val="20"/>
                <w:szCs w:val="18"/>
                <w:lang w:val="en-US" w:eastAsia="zh-CN"/>
              </w:rPr>
            </w:pPr>
            <w:r w:rsidRPr="00DB251D">
              <w:rPr>
                <w:sz w:val="18"/>
                <w:szCs w:val="16"/>
                <w:lang w:val="en-US" w:eastAsia="zh-CN"/>
              </w:rPr>
              <w:t>–</w:t>
            </w:r>
            <w:r w:rsidR="001E1BC0" w:rsidRPr="00DB251D">
              <w:rPr>
                <w:sz w:val="20"/>
                <w:szCs w:val="18"/>
                <w:lang w:val="en-US" w:eastAsia="zh-CN"/>
              </w:rPr>
              <w:t>33</w:t>
            </w:r>
          </w:p>
        </w:tc>
        <w:tc>
          <w:tcPr>
            <w:tcW w:w="1837" w:type="dxa"/>
          </w:tcPr>
          <w:p w:rsidR="002176F6" w:rsidRPr="00DB251D" w:rsidRDefault="008E0827" w:rsidP="008E0827">
            <w:pPr>
              <w:spacing w:before="40" w:after="40"/>
              <w:jc w:val="center"/>
              <w:rPr>
                <w:sz w:val="20"/>
                <w:szCs w:val="18"/>
                <w:lang w:val="en-US" w:eastAsia="zh-CN"/>
              </w:rPr>
            </w:pPr>
            <w:r w:rsidRPr="00DB251D">
              <w:rPr>
                <w:sz w:val="18"/>
                <w:szCs w:val="16"/>
                <w:lang w:val="en-US" w:eastAsia="zh-CN"/>
              </w:rPr>
              <w:t>–</w:t>
            </w:r>
            <w:r w:rsidR="001E1BC0" w:rsidRPr="00DB251D">
              <w:rPr>
                <w:sz w:val="20"/>
                <w:szCs w:val="18"/>
                <w:lang w:val="en-US" w:eastAsia="zh-CN"/>
              </w:rPr>
              <w:t>28</w:t>
            </w:r>
          </w:p>
        </w:tc>
      </w:tr>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Antenna gain pattern (</w:t>
            </w:r>
            <w:proofErr w:type="spellStart"/>
            <w:r w:rsidRPr="00DB251D">
              <w:rPr>
                <w:bCs/>
                <w:sz w:val="20"/>
                <w:szCs w:val="18"/>
                <w:lang w:val="en-US" w:eastAsia="zh-CN"/>
              </w:rPr>
              <w:t>ITU</w:t>
            </w:r>
            <w:proofErr w:type="spellEnd"/>
            <w:r w:rsidRPr="00DB251D">
              <w:rPr>
                <w:bCs/>
                <w:sz w:val="20"/>
                <w:szCs w:val="18"/>
                <w:lang w:val="en-US" w:eastAsia="zh-CN"/>
              </w:rPr>
              <w:t xml:space="preserve"> Recommendation)</w:t>
            </w:r>
          </w:p>
        </w:tc>
        <w:tc>
          <w:tcPr>
            <w:tcW w:w="1811" w:type="dxa"/>
            <w:hideMark/>
          </w:tcPr>
          <w:p w:rsidR="002176F6" w:rsidRPr="00DB251D" w:rsidRDefault="001E1BC0" w:rsidP="008E0827">
            <w:pPr>
              <w:spacing w:before="40" w:after="40"/>
              <w:jc w:val="center"/>
              <w:rPr>
                <w:bCs/>
                <w:sz w:val="20"/>
                <w:szCs w:val="18"/>
                <w:lang w:val="en-US" w:eastAsia="zh-CN"/>
              </w:rPr>
            </w:pPr>
            <w:r w:rsidRPr="00DB251D">
              <w:rPr>
                <w:bCs/>
                <w:sz w:val="20"/>
                <w:szCs w:val="18"/>
                <w:lang w:val="en-US" w:eastAsia="zh-CN"/>
              </w:rPr>
              <w:t>–</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 xml:space="preserve">Rec. </w:t>
            </w:r>
            <w:proofErr w:type="spellStart"/>
            <w:r w:rsidRPr="00DB251D">
              <w:rPr>
                <w:sz w:val="20"/>
                <w:szCs w:val="18"/>
                <w:lang w:val="en-US" w:eastAsia="zh-CN"/>
              </w:rPr>
              <w:t>ITU</w:t>
            </w:r>
            <w:proofErr w:type="spellEnd"/>
            <w:r w:rsidRPr="00DB251D">
              <w:rPr>
                <w:sz w:val="20"/>
                <w:szCs w:val="18"/>
                <w:lang w:val="en-US" w:eastAsia="zh-CN"/>
              </w:rPr>
              <w:t>-R 465-6</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 xml:space="preserve">Rec. </w:t>
            </w:r>
            <w:proofErr w:type="spellStart"/>
            <w:r w:rsidRPr="00DB251D">
              <w:rPr>
                <w:sz w:val="20"/>
                <w:szCs w:val="18"/>
                <w:lang w:val="en-US" w:eastAsia="zh-CN"/>
              </w:rPr>
              <w:t>ITU</w:t>
            </w:r>
            <w:proofErr w:type="spellEnd"/>
            <w:r w:rsidRPr="00DB251D">
              <w:rPr>
                <w:sz w:val="20"/>
                <w:szCs w:val="18"/>
                <w:lang w:val="en-US" w:eastAsia="zh-CN"/>
              </w:rPr>
              <w:t>-R 465-6</w:t>
            </w:r>
          </w:p>
        </w:tc>
        <w:tc>
          <w:tcPr>
            <w:tcW w:w="1837" w:type="dxa"/>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 xml:space="preserve">Rec. </w:t>
            </w:r>
            <w:proofErr w:type="spellStart"/>
            <w:r w:rsidRPr="00DB251D">
              <w:rPr>
                <w:sz w:val="20"/>
                <w:szCs w:val="18"/>
                <w:lang w:val="en-US" w:eastAsia="zh-CN"/>
              </w:rPr>
              <w:t>ITU</w:t>
            </w:r>
            <w:proofErr w:type="spellEnd"/>
            <w:r w:rsidRPr="00DB251D">
              <w:rPr>
                <w:sz w:val="20"/>
                <w:szCs w:val="18"/>
                <w:lang w:val="en-US" w:eastAsia="zh-CN"/>
              </w:rPr>
              <w:t>-R 465-6</w:t>
            </w:r>
          </w:p>
        </w:tc>
      </w:tr>
      <w:tr w:rsidR="002176F6" w:rsidRPr="00DB251D">
        <w:trPr>
          <w:trHeight w:val="20"/>
        </w:trPr>
        <w:tc>
          <w:tcPr>
            <w:tcW w:w="2295" w:type="dxa"/>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Minimum elevation angle of transmit earth station </w:t>
            </w:r>
          </w:p>
        </w:tc>
        <w:tc>
          <w:tcPr>
            <w:tcW w:w="1811" w:type="dxa"/>
            <w:hideMark/>
          </w:tcPr>
          <w:p w:rsidR="002176F6" w:rsidRPr="00DB251D" w:rsidRDefault="002176F6" w:rsidP="008E0827">
            <w:pPr>
              <w:spacing w:before="40" w:after="40"/>
              <w:jc w:val="center"/>
              <w:rPr>
                <w:sz w:val="20"/>
                <w:szCs w:val="18"/>
                <w:lang w:val="en-US" w:eastAsia="zh-CN"/>
              </w:rPr>
            </w:pP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5</w:t>
            </w:r>
          </w:p>
        </w:tc>
        <w:tc>
          <w:tcPr>
            <w:tcW w:w="1843" w:type="dxa"/>
            <w:hideMark/>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5</w:t>
            </w:r>
          </w:p>
        </w:tc>
        <w:tc>
          <w:tcPr>
            <w:tcW w:w="1837" w:type="dxa"/>
          </w:tcPr>
          <w:p w:rsidR="002176F6" w:rsidRPr="00DB251D" w:rsidRDefault="001E1BC0" w:rsidP="008E0827">
            <w:pPr>
              <w:spacing w:before="40" w:after="40"/>
              <w:jc w:val="center"/>
              <w:rPr>
                <w:sz w:val="20"/>
                <w:szCs w:val="18"/>
                <w:lang w:val="en-US" w:eastAsia="zh-CN"/>
              </w:rPr>
            </w:pPr>
            <w:r w:rsidRPr="00DB251D">
              <w:rPr>
                <w:sz w:val="20"/>
                <w:szCs w:val="18"/>
                <w:lang w:val="en-US" w:eastAsia="zh-CN"/>
              </w:rPr>
              <w:t>5</w:t>
            </w:r>
          </w:p>
        </w:tc>
      </w:tr>
      <w:tr w:rsidR="002176F6" w:rsidRPr="00DB251D">
        <w:trPr>
          <w:trHeight w:val="20"/>
        </w:trPr>
        <w:tc>
          <w:tcPr>
            <w:tcW w:w="7792" w:type="dxa"/>
            <w:gridSpan w:val="4"/>
            <w:hideMark/>
          </w:tcPr>
          <w:p w:rsidR="002176F6" w:rsidRPr="00DB251D" w:rsidRDefault="001E1BC0">
            <w:pPr>
              <w:spacing w:before="40" w:after="40"/>
              <w:rPr>
                <w:b/>
                <w:bCs/>
                <w:sz w:val="20"/>
                <w:szCs w:val="18"/>
                <w:lang w:val="en-US" w:eastAsia="zh-CN"/>
              </w:rPr>
            </w:pPr>
            <w:r w:rsidRPr="00DB251D">
              <w:rPr>
                <w:b/>
                <w:bCs/>
                <w:sz w:val="20"/>
                <w:szCs w:val="18"/>
                <w:lang w:val="en-US" w:eastAsia="zh-CN"/>
              </w:rPr>
              <w:t>Other</w:t>
            </w:r>
          </w:p>
        </w:tc>
        <w:tc>
          <w:tcPr>
            <w:tcW w:w="1837" w:type="dxa"/>
          </w:tcPr>
          <w:p w:rsidR="002176F6" w:rsidRPr="00DB251D" w:rsidRDefault="002176F6">
            <w:pPr>
              <w:spacing w:before="40" w:after="40"/>
              <w:rPr>
                <w:sz w:val="20"/>
                <w:szCs w:val="18"/>
                <w:lang w:val="en-US" w:eastAsia="zh-CN"/>
              </w:rPr>
            </w:pPr>
          </w:p>
        </w:tc>
      </w:tr>
      <w:tr w:rsidR="002176F6" w:rsidRPr="00DB251D" w:rsidTr="002E7775">
        <w:trPr>
          <w:trHeight w:val="20"/>
        </w:trPr>
        <w:tc>
          <w:tcPr>
            <w:tcW w:w="2295" w:type="dxa"/>
            <w:tcBorders>
              <w:bottom w:val="single" w:sz="4" w:space="0" w:color="auto"/>
            </w:tcBorders>
            <w:hideMark/>
          </w:tcPr>
          <w:p w:rsidR="002176F6" w:rsidRPr="00DB251D" w:rsidRDefault="001E1BC0">
            <w:pPr>
              <w:spacing w:before="40" w:after="40"/>
              <w:rPr>
                <w:bCs/>
                <w:sz w:val="20"/>
                <w:szCs w:val="18"/>
                <w:lang w:val="en-US" w:eastAsia="zh-CN"/>
              </w:rPr>
            </w:pPr>
            <w:r w:rsidRPr="00DB251D">
              <w:rPr>
                <w:bCs/>
                <w:sz w:val="20"/>
                <w:szCs w:val="18"/>
                <w:lang w:val="en-US" w:eastAsia="zh-CN"/>
              </w:rPr>
              <w:t xml:space="preserve">Additional Notes </w:t>
            </w:r>
          </w:p>
        </w:tc>
        <w:tc>
          <w:tcPr>
            <w:tcW w:w="1811" w:type="dxa"/>
            <w:tcBorders>
              <w:bottom w:val="single" w:sz="4" w:space="0" w:color="auto"/>
            </w:tcBorders>
            <w:hideMark/>
          </w:tcPr>
          <w:p w:rsidR="002176F6" w:rsidRPr="00DB251D" w:rsidRDefault="002176F6" w:rsidP="008E0827">
            <w:pPr>
              <w:spacing w:before="40" w:after="40"/>
              <w:jc w:val="center"/>
              <w:rPr>
                <w:sz w:val="20"/>
                <w:szCs w:val="18"/>
                <w:lang w:val="en-US" w:eastAsia="zh-CN"/>
              </w:rPr>
            </w:pPr>
          </w:p>
        </w:tc>
        <w:tc>
          <w:tcPr>
            <w:tcW w:w="1843" w:type="dxa"/>
            <w:tcBorders>
              <w:bottom w:val="single" w:sz="4" w:space="0" w:color="auto"/>
            </w:tcBorders>
            <w:hideMark/>
          </w:tcPr>
          <w:p w:rsidR="002176F6" w:rsidRPr="00DB251D" w:rsidRDefault="002176F6" w:rsidP="008E0827">
            <w:pPr>
              <w:spacing w:before="40" w:after="40"/>
              <w:jc w:val="center"/>
              <w:rPr>
                <w:sz w:val="20"/>
                <w:szCs w:val="18"/>
                <w:lang w:val="en-US" w:eastAsia="zh-CN"/>
              </w:rPr>
            </w:pPr>
          </w:p>
        </w:tc>
        <w:tc>
          <w:tcPr>
            <w:tcW w:w="1843" w:type="dxa"/>
            <w:tcBorders>
              <w:bottom w:val="single" w:sz="4" w:space="0" w:color="auto"/>
            </w:tcBorders>
            <w:hideMark/>
          </w:tcPr>
          <w:p w:rsidR="002176F6" w:rsidRPr="00DB251D" w:rsidRDefault="002176F6" w:rsidP="008E0827">
            <w:pPr>
              <w:spacing w:before="40" w:after="40"/>
              <w:jc w:val="center"/>
              <w:rPr>
                <w:sz w:val="20"/>
                <w:szCs w:val="18"/>
                <w:lang w:val="en-US" w:eastAsia="zh-CN"/>
              </w:rPr>
            </w:pPr>
          </w:p>
        </w:tc>
        <w:tc>
          <w:tcPr>
            <w:tcW w:w="1837" w:type="dxa"/>
            <w:tcBorders>
              <w:bottom w:val="single" w:sz="4" w:space="0" w:color="auto"/>
            </w:tcBorders>
          </w:tcPr>
          <w:p w:rsidR="002176F6" w:rsidRPr="00DB251D" w:rsidRDefault="002176F6" w:rsidP="008E0827">
            <w:pPr>
              <w:spacing w:before="40" w:after="40"/>
              <w:jc w:val="center"/>
              <w:rPr>
                <w:rFonts w:ascii="Microsoft YaHei" w:eastAsia="Microsoft YaHei" w:hAnsi="Microsoft YaHei" w:cs="Microsoft YaHei"/>
                <w:sz w:val="20"/>
                <w:szCs w:val="18"/>
                <w:lang w:val="en-US" w:eastAsia="zh-CN"/>
              </w:rPr>
            </w:pPr>
          </w:p>
        </w:tc>
      </w:tr>
      <w:tr w:rsidR="002176F6" w:rsidRPr="00DB251D" w:rsidTr="002E7775">
        <w:trPr>
          <w:trHeight w:val="20"/>
        </w:trPr>
        <w:tc>
          <w:tcPr>
            <w:tcW w:w="9629" w:type="dxa"/>
            <w:gridSpan w:val="5"/>
            <w:tcBorders>
              <w:left w:val="nil"/>
              <w:bottom w:val="nil"/>
              <w:right w:val="nil"/>
            </w:tcBorders>
          </w:tcPr>
          <w:p w:rsidR="002176F6" w:rsidRPr="00DB251D" w:rsidRDefault="001E1BC0" w:rsidP="008E0827">
            <w:pPr>
              <w:pStyle w:val="Tablelegend"/>
              <w:rPr>
                <w:rFonts w:eastAsiaTheme="minorEastAsia"/>
                <w:lang w:val="en-US" w:eastAsia="zh-CN"/>
              </w:rPr>
            </w:pPr>
            <w:r w:rsidRPr="00DB251D">
              <w:rPr>
                <w:lang w:val="en-US" w:eastAsia="zh-CN"/>
              </w:rPr>
              <w:t>*</w:t>
            </w:r>
            <w:r w:rsidR="008E0827" w:rsidRPr="00DB251D">
              <w:rPr>
                <w:lang w:val="en-US" w:eastAsia="zh-CN"/>
              </w:rPr>
              <w:tab/>
            </w:r>
            <w:r w:rsidRPr="00DB251D">
              <w:rPr>
                <w:lang w:val="en-US" w:eastAsia="zh-CN"/>
              </w:rPr>
              <w:t xml:space="preserve">Generic </w:t>
            </w:r>
            <w:r w:rsidRPr="00DB251D">
              <w:rPr>
                <w:rFonts w:eastAsia="MS Mincho"/>
                <w:lang w:val="en-US" w:eastAsia="ja-JP"/>
              </w:rPr>
              <w:t>frequency</w:t>
            </w:r>
            <w:r w:rsidRPr="00DB251D">
              <w:rPr>
                <w:lang w:val="en-US" w:eastAsia="zh-CN"/>
              </w:rPr>
              <w:t xml:space="preserve"> range where the parameters included in this table are applicable for the purpose of sharing studies</w:t>
            </w:r>
          </w:p>
        </w:tc>
      </w:tr>
    </w:tbl>
    <w:p w:rsidR="002176F6" w:rsidRPr="00DB251D" w:rsidRDefault="002176F6">
      <w:pPr>
        <w:rPr>
          <w:lang w:val="en-US" w:eastAsia="zh-CN"/>
        </w:rPr>
      </w:pPr>
    </w:p>
    <w:p w:rsidR="002176F6" w:rsidRPr="00DB251D" w:rsidRDefault="001E1BC0">
      <w:pPr>
        <w:rPr>
          <w:b/>
          <w:lang w:val="en-US"/>
        </w:rPr>
      </w:pPr>
      <w:r w:rsidRPr="00DB251D">
        <w:rPr>
          <w:b/>
          <w:lang w:val="en-US"/>
        </w:rPr>
        <w:t xml:space="preserve">4.3.1 </w:t>
      </w:r>
      <w:r w:rsidRPr="00DB251D">
        <w:rPr>
          <w:b/>
          <w:lang w:val="en-US"/>
        </w:rPr>
        <w:tab/>
      </w:r>
      <w:r w:rsidRPr="00DB251D">
        <w:rPr>
          <w:b/>
          <w:lang w:val="en-US" w:eastAsia="zh-CN"/>
        </w:rPr>
        <w:t xml:space="preserve">Technical characteristics of </w:t>
      </w:r>
      <w:r w:rsidRPr="00DB251D">
        <w:rPr>
          <w:b/>
          <w:lang w:val="en-US"/>
        </w:rPr>
        <w:t>Fixed satellite service in 5 850-5 925 MHz band</w:t>
      </w:r>
    </w:p>
    <w:p w:rsidR="002176F6" w:rsidRPr="00DB251D" w:rsidRDefault="001E1BC0">
      <w:pPr>
        <w:rPr>
          <w:i/>
          <w:iCs/>
          <w:lang w:val="en-US" w:eastAsia="zh-CN"/>
        </w:rPr>
      </w:pPr>
      <w:r w:rsidRPr="00DB251D">
        <w:rPr>
          <w:i/>
          <w:iCs/>
          <w:lang w:val="en-US" w:eastAsia="zh-CN"/>
        </w:rPr>
        <w:t>[LUX</w:t>
      </w:r>
      <w:r w:rsidRPr="00DB251D">
        <w:rPr>
          <w:rFonts w:eastAsia="Calibri"/>
          <w:i/>
          <w:iCs/>
          <w:lang w:val="en-US" w:eastAsia="es-ES"/>
        </w:rPr>
        <w:t xml:space="preserve"> </w:t>
      </w:r>
      <w:hyperlink r:id="rId20" w:history="1">
        <w:proofErr w:type="spellStart"/>
        <w:r w:rsidRPr="00DB251D">
          <w:rPr>
            <w:rStyle w:val="Hyperlink"/>
            <w:rFonts w:eastAsia="Calibri"/>
            <w:i/>
            <w:iCs/>
            <w:lang w:val="en-US" w:eastAsia="es-ES"/>
          </w:rPr>
          <w:t>5A</w:t>
        </w:r>
        <w:proofErr w:type="spellEnd"/>
        <w:r w:rsidRPr="00DB251D">
          <w:rPr>
            <w:rStyle w:val="Hyperlink"/>
            <w:rFonts w:eastAsia="Calibri"/>
            <w:i/>
            <w:iCs/>
            <w:lang w:val="en-US" w:eastAsia="es-ES"/>
          </w:rPr>
          <w:t>/264</w:t>
        </w:r>
      </w:hyperlink>
      <w:r w:rsidRPr="00DB251D">
        <w:rPr>
          <w:i/>
          <w:iCs/>
          <w:lang w:val="en-US" w:eastAsia="zh-CN"/>
        </w:rPr>
        <w:t>]</w:t>
      </w:r>
    </w:p>
    <w:p w:rsidR="002176F6" w:rsidRPr="00DB251D" w:rsidRDefault="001E1BC0">
      <w:pPr>
        <w:pStyle w:val="TableNo"/>
        <w:rPr>
          <w:rFonts w:asciiTheme="majorBidi" w:hAnsiTheme="majorBidi" w:cstheme="majorBidi"/>
          <w:lang w:val="en-US"/>
        </w:rPr>
      </w:pPr>
      <w:r w:rsidRPr="00DB251D">
        <w:rPr>
          <w:rFonts w:asciiTheme="majorBidi" w:hAnsiTheme="majorBidi" w:cstheme="majorBidi"/>
          <w:lang w:val="en-US"/>
        </w:rPr>
        <w:lastRenderedPageBreak/>
        <w:t>Table A1-19</w:t>
      </w:r>
    </w:p>
    <w:p w:rsidR="002176F6" w:rsidRPr="00DB251D" w:rsidRDefault="001E1BC0">
      <w:pPr>
        <w:pStyle w:val="Tabletitle"/>
        <w:rPr>
          <w:rFonts w:asciiTheme="majorBidi" w:hAnsiTheme="majorBidi" w:cstheme="majorBidi"/>
          <w:lang w:val="en-US"/>
        </w:rPr>
      </w:pPr>
      <w:r w:rsidRPr="00DB251D">
        <w:rPr>
          <w:rFonts w:asciiTheme="majorBidi" w:hAnsiTheme="majorBidi" w:cstheme="majorBidi"/>
          <w:lang w:val="en-US"/>
        </w:rPr>
        <w:t xml:space="preserve">Typical </w:t>
      </w:r>
      <w:proofErr w:type="spellStart"/>
      <w:r w:rsidRPr="00DB251D">
        <w:rPr>
          <w:rFonts w:asciiTheme="majorBidi" w:hAnsiTheme="majorBidi" w:cstheme="majorBidi"/>
          <w:lang w:val="en-US"/>
        </w:rPr>
        <w:t>FSS</w:t>
      </w:r>
      <w:proofErr w:type="spellEnd"/>
      <w:r w:rsidRPr="00DB251D">
        <w:rPr>
          <w:rFonts w:asciiTheme="majorBidi" w:hAnsiTheme="majorBidi" w:cstheme="majorBidi"/>
          <w:lang w:val="en-US"/>
        </w:rPr>
        <w:t xml:space="preserve"> parameters in the 6 GHz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880"/>
      </w:tblGrid>
      <w:tr w:rsidR="002176F6" w:rsidRPr="00DB251D">
        <w:trPr>
          <w:jc w:val="center"/>
        </w:trPr>
        <w:tc>
          <w:tcPr>
            <w:tcW w:w="3749" w:type="dxa"/>
            <w:vAlign w:val="center"/>
          </w:tcPr>
          <w:p w:rsidR="002176F6" w:rsidRPr="00DB251D" w:rsidRDefault="001E1BC0">
            <w:pPr>
              <w:pStyle w:val="Tablehead"/>
              <w:rPr>
                <w:rFonts w:asciiTheme="majorBidi" w:hAnsiTheme="majorBidi" w:cstheme="majorBidi"/>
                <w:lang w:val="en-US"/>
              </w:rPr>
            </w:pPr>
            <w:r w:rsidRPr="00DB251D">
              <w:rPr>
                <w:rFonts w:asciiTheme="majorBidi" w:hAnsiTheme="majorBidi" w:cstheme="majorBidi"/>
                <w:lang w:val="en-US"/>
              </w:rPr>
              <w:t>Parameter</w:t>
            </w:r>
          </w:p>
        </w:tc>
        <w:tc>
          <w:tcPr>
            <w:tcW w:w="5880" w:type="dxa"/>
            <w:vAlign w:val="center"/>
          </w:tcPr>
          <w:p w:rsidR="002176F6" w:rsidRPr="00DB251D" w:rsidRDefault="001E1BC0">
            <w:pPr>
              <w:pStyle w:val="Tablehead"/>
              <w:rPr>
                <w:rFonts w:asciiTheme="majorBidi" w:hAnsiTheme="majorBidi" w:cstheme="majorBidi"/>
                <w:lang w:val="en-US"/>
              </w:rPr>
            </w:pPr>
            <w:r w:rsidRPr="00DB251D">
              <w:rPr>
                <w:rFonts w:asciiTheme="majorBidi" w:hAnsiTheme="majorBidi" w:cstheme="majorBidi"/>
                <w:lang w:val="en-US"/>
              </w:rPr>
              <w:t>Typical value</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Range of operating frequencies</w:t>
            </w:r>
          </w:p>
        </w:tc>
        <w:tc>
          <w:tcPr>
            <w:tcW w:w="5880"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5 850-6 700 MHz*</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Antenna diameters (m)</w:t>
            </w:r>
          </w:p>
        </w:tc>
        <w:tc>
          <w:tcPr>
            <w:tcW w:w="5880"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1.2, 1.8, 2.4, 3.0, 4.5, 8, 16, 32</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Antenna reference pattern</w:t>
            </w:r>
          </w:p>
        </w:tc>
        <w:tc>
          <w:tcPr>
            <w:tcW w:w="5880"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 xml:space="preserve">Recommendation </w:t>
            </w:r>
            <w:proofErr w:type="spellStart"/>
            <w:r w:rsidRPr="00DB251D">
              <w:rPr>
                <w:rFonts w:asciiTheme="majorBidi" w:hAnsiTheme="majorBidi" w:cstheme="majorBidi"/>
                <w:lang w:val="en-US"/>
              </w:rPr>
              <w:t>ITU</w:t>
            </w:r>
            <w:proofErr w:type="spellEnd"/>
            <w:r w:rsidRPr="00DB251D">
              <w:rPr>
                <w:rFonts w:asciiTheme="majorBidi" w:hAnsiTheme="majorBidi" w:cstheme="majorBidi"/>
                <w:lang w:val="en-US"/>
              </w:rPr>
              <w:t xml:space="preserve">-R </w:t>
            </w:r>
            <w:proofErr w:type="spellStart"/>
            <w:r w:rsidRPr="00DB251D">
              <w:rPr>
                <w:rFonts w:asciiTheme="majorBidi" w:hAnsiTheme="majorBidi" w:cstheme="majorBidi"/>
                <w:lang w:val="en-US"/>
              </w:rPr>
              <w:t>S.465</w:t>
            </w:r>
            <w:proofErr w:type="spellEnd"/>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Range of emission bandwidths</w:t>
            </w:r>
          </w:p>
        </w:tc>
        <w:tc>
          <w:tcPr>
            <w:tcW w:w="5880" w:type="dxa"/>
          </w:tcPr>
          <w:p w:rsidR="002176F6" w:rsidRPr="00DB251D" w:rsidRDefault="001E1BC0" w:rsidP="00394075">
            <w:pPr>
              <w:pStyle w:val="Tabletext"/>
              <w:rPr>
                <w:rFonts w:asciiTheme="majorBidi" w:hAnsiTheme="majorBidi" w:cstheme="majorBidi"/>
                <w:lang w:val="en-US"/>
              </w:rPr>
            </w:pPr>
            <w:r w:rsidRPr="00DB251D">
              <w:rPr>
                <w:rFonts w:asciiTheme="majorBidi" w:hAnsiTheme="majorBidi" w:cstheme="majorBidi"/>
                <w:lang w:val="en-US"/>
              </w:rPr>
              <w:t xml:space="preserve">40 kHz </w:t>
            </w:r>
            <w:r w:rsidR="00394075" w:rsidRPr="00DB251D">
              <w:rPr>
                <w:rFonts w:asciiTheme="majorBidi" w:hAnsiTheme="majorBidi" w:cstheme="majorBidi"/>
                <w:lang w:val="en-US"/>
              </w:rPr>
              <w:t>–</w:t>
            </w:r>
            <w:r w:rsidRPr="00DB251D">
              <w:rPr>
                <w:rFonts w:asciiTheme="majorBidi" w:hAnsiTheme="majorBidi" w:cstheme="majorBidi"/>
                <w:lang w:val="en-US"/>
              </w:rPr>
              <w:t xml:space="preserve"> 72 MHz</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Receiving space system figure of merit</w:t>
            </w:r>
          </w:p>
        </w:tc>
        <w:tc>
          <w:tcPr>
            <w:tcW w:w="5880" w:type="dxa"/>
          </w:tcPr>
          <w:p w:rsidR="002176F6" w:rsidRPr="00DB251D" w:rsidRDefault="001E1BC0" w:rsidP="00394075">
            <w:pPr>
              <w:pStyle w:val="Tabletext"/>
              <w:rPr>
                <w:rFonts w:asciiTheme="majorBidi" w:hAnsiTheme="majorBidi" w:cstheme="majorBidi"/>
                <w:lang w:val="en-US"/>
              </w:rPr>
            </w:pPr>
            <w:r w:rsidRPr="00DB251D">
              <w:rPr>
                <w:rFonts w:asciiTheme="majorBidi" w:hAnsiTheme="majorBidi" w:cstheme="majorBidi"/>
                <w:lang w:val="en-US"/>
              </w:rPr>
              <w:t xml:space="preserve">+5 ↔ </w:t>
            </w:r>
            <w:r w:rsidR="00394075" w:rsidRPr="00DB251D">
              <w:rPr>
                <w:rFonts w:asciiTheme="majorBidi" w:hAnsiTheme="majorBidi" w:cstheme="majorBidi"/>
                <w:lang w:val="en-US"/>
              </w:rPr>
              <w:t>–</w:t>
            </w:r>
            <w:r w:rsidRPr="00DB251D">
              <w:rPr>
                <w:rFonts w:asciiTheme="majorBidi" w:hAnsiTheme="majorBidi" w:cstheme="majorBidi"/>
                <w:lang w:val="en-US"/>
              </w:rPr>
              <w:t xml:space="preserve">10 dB/K (The database of Recommendation </w:t>
            </w:r>
            <w:proofErr w:type="spellStart"/>
            <w:r w:rsidRPr="00DB251D">
              <w:rPr>
                <w:rFonts w:asciiTheme="majorBidi" w:hAnsiTheme="majorBidi" w:cstheme="majorBidi"/>
                <w:lang w:val="en-US"/>
              </w:rPr>
              <w:t>ITU</w:t>
            </w:r>
            <w:proofErr w:type="spellEnd"/>
            <w:r w:rsidRPr="00DB251D">
              <w:rPr>
                <w:rFonts w:asciiTheme="majorBidi" w:hAnsiTheme="majorBidi" w:cstheme="majorBidi"/>
                <w:lang w:val="en-US"/>
              </w:rPr>
              <w:t xml:space="preserve">-R </w:t>
            </w:r>
            <w:proofErr w:type="spellStart"/>
            <w:r w:rsidRPr="00DB251D">
              <w:rPr>
                <w:rFonts w:asciiTheme="majorBidi" w:hAnsiTheme="majorBidi" w:cstheme="majorBidi"/>
                <w:lang w:val="en-US"/>
              </w:rPr>
              <w:t>S.1328</w:t>
            </w:r>
            <w:proofErr w:type="spellEnd"/>
            <w:r w:rsidRPr="00DB251D">
              <w:rPr>
                <w:rFonts w:asciiTheme="majorBidi" w:hAnsiTheme="majorBidi" w:cstheme="majorBidi"/>
                <w:lang w:val="en-US"/>
              </w:rPr>
              <w:t xml:space="preserve"> provides one example with </w:t>
            </w:r>
            <w:proofErr w:type="spellStart"/>
            <w:r w:rsidRPr="00DB251D">
              <w:rPr>
                <w:rFonts w:asciiTheme="majorBidi" w:hAnsiTheme="majorBidi" w:cstheme="majorBidi"/>
                <w:lang w:val="en-US"/>
              </w:rPr>
              <w:t>Gsat</w:t>
            </w:r>
            <w:proofErr w:type="spellEnd"/>
            <w:r w:rsidR="00394075" w:rsidRPr="00DB251D">
              <w:rPr>
                <w:rFonts w:asciiTheme="majorBidi" w:hAnsiTheme="majorBidi" w:cstheme="majorBidi"/>
                <w:lang w:val="en-US"/>
              </w:rPr>
              <w:t> </w:t>
            </w:r>
            <w:r w:rsidRPr="00DB251D">
              <w:rPr>
                <w:rFonts w:asciiTheme="majorBidi" w:hAnsiTheme="majorBidi" w:cstheme="majorBidi"/>
                <w:lang w:val="en-US"/>
              </w:rPr>
              <w:t>=</w:t>
            </w:r>
            <w:r w:rsidR="00394075" w:rsidRPr="00DB251D">
              <w:rPr>
                <w:rFonts w:asciiTheme="majorBidi" w:hAnsiTheme="majorBidi" w:cstheme="majorBidi"/>
                <w:lang w:val="en-US"/>
              </w:rPr>
              <w:t> </w:t>
            </w:r>
            <w:r w:rsidRPr="00DB251D">
              <w:rPr>
                <w:rFonts w:asciiTheme="majorBidi" w:hAnsiTheme="majorBidi" w:cstheme="majorBidi"/>
                <w:lang w:val="en-US"/>
              </w:rPr>
              <w:t xml:space="preserve">24.8 </w:t>
            </w:r>
            <w:proofErr w:type="spellStart"/>
            <w:r w:rsidRPr="00DB251D">
              <w:rPr>
                <w:rFonts w:asciiTheme="majorBidi" w:hAnsiTheme="majorBidi" w:cstheme="majorBidi"/>
                <w:lang w:val="en-US"/>
              </w:rPr>
              <w:t>dBi</w:t>
            </w:r>
            <w:proofErr w:type="spellEnd"/>
            <w:r w:rsidRPr="00DB251D">
              <w:rPr>
                <w:rFonts w:asciiTheme="majorBidi" w:hAnsiTheme="majorBidi" w:cstheme="majorBidi"/>
                <w:lang w:val="en-US"/>
              </w:rPr>
              <w:t xml:space="preserve"> and </w:t>
            </w:r>
            <w:proofErr w:type="spellStart"/>
            <w:r w:rsidRPr="00DB251D">
              <w:rPr>
                <w:rFonts w:asciiTheme="majorBidi" w:hAnsiTheme="majorBidi" w:cstheme="majorBidi"/>
                <w:lang w:val="en-US"/>
              </w:rPr>
              <w:t>Ts</w:t>
            </w:r>
            <w:proofErr w:type="spellEnd"/>
            <w:r w:rsidR="00394075" w:rsidRPr="00DB251D">
              <w:rPr>
                <w:rFonts w:asciiTheme="majorBidi" w:hAnsiTheme="majorBidi" w:cstheme="majorBidi"/>
                <w:lang w:val="en-US"/>
              </w:rPr>
              <w:t> </w:t>
            </w:r>
            <w:r w:rsidRPr="00DB251D">
              <w:rPr>
                <w:rFonts w:asciiTheme="majorBidi" w:hAnsiTheme="majorBidi" w:cstheme="majorBidi"/>
                <w:lang w:val="en-US"/>
              </w:rPr>
              <w:t>=</w:t>
            </w:r>
            <w:r w:rsidR="00394075" w:rsidRPr="00DB251D">
              <w:rPr>
                <w:rFonts w:asciiTheme="majorBidi" w:hAnsiTheme="majorBidi" w:cstheme="majorBidi"/>
                <w:lang w:val="en-US"/>
              </w:rPr>
              <w:t> </w:t>
            </w:r>
            <w:r w:rsidRPr="00DB251D">
              <w:rPr>
                <w:rFonts w:asciiTheme="majorBidi" w:hAnsiTheme="majorBidi" w:cstheme="majorBidi"/>
                <w:lang w:val="en-US"/>
              </w:rPr>
              <w:t xml:space="preserve">400 K, corresponding to a G/T of </w:t>
            </w:r>
            <w:r w:rsidR="00394075" w:rsidRPr="00DB251D">
              <w:rPr>
                <w:rFonts w:asciiTheme="majorBidi" w:hAnsiTheme="majorBidi" w:cstheme="majorBidi"/>
                <w:lang w:val="en-US"/>
              </w:rPr>
              <w:t>–</w:t>
            </w:r>
            <w:r w:rsidRPr="00DB251D">
              <w:rPr>
                <w:rFonts w:asciiTheme="majorBidi" w:hAnsiTheme="majorBidi" w:cstheme="majorBidi"/>
                <w:lang w:val="en-US"/>
              </w:rPr>
              <w:t>1.2 dB/K</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Earth station deployment</w:t>
            </w:r>
          </w:p>
        </w:tc>
        <w:tc>
          <w:tcPr>
            <w:tcW w:w="5880"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All regions, in all locations (rural, semi-urban, urban)</w:t>
            </w:r>
          </w:p>
        </w:tc>
      </w:tr>
      <w:tr w:rsidR="002176F6" w:rsidRPr="00DB251D">
        <w:trPr>
          <w:jc w:val="center"/>
        </w:trPr>
        <w:tc>
          <w:tcPr>
            <w:tcW w:w="3749"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 xml:space="preserve">Earth station </w:t>
            </w:r>
            <w:proofErr w:type="spellStart"/>
            <w:r w:rsidRPr="00DB251D">
              <w:rPr>
                <w:rFonts w:asciiTheme="majorBidi" w:hAnsiTheme="majorBidi" w:cstheme="majorBidi"/>
                <w:lang w:val="en-US"/>
              </w:rPr>
              <w:t>e.i.r.p</w:t>
            </w:r>
            <w:proofErr w:type="spellEnd"/>
            <w:r w:rsidRPr="00DB251D">
              <w:rPr>
                <w:rFonts w:asciiTheme="majorBidi" w:hAnsiTheme="majorBidi" w:cstheme="majorBidi"/>
                <w:lang w:val="en-US"/>
              </w:rPr>
              <w:t>. density towards the horizon</w:t>
            </w:r>
          </w:p>
        </w:tc>
        <w:tc>
          <w:tcPr>
            <w:tcW w:w="5880" w:type="dxa"/>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 xml:space="preserve">In accordance with RR No. </w:t>
            </w:r>
            <w:r w:rsidRPr="00DB251D">
              <w:rPr>
                <w:rFonts w:asciiTheme="majorBidi" w:hAnsiTheme="majorBidi" w:cstheme="majorBidi"/>
                <w:b/>
                <w:bCs/>
                <w:lang w:val="en-US"/>
              </w:rPr>
              <w:t>21.8</w:t>
            </w:r>
            <w:r w:rsidRPr="00DB251D">
              <w:rPr>
                <w:rFonts w:asciiTheme="majorBidi" w:hAnsiTheme="majorBidi" w:cstheme="majorBidi"/>
                <w:lang w:val="en-US"/>
              </w:rPr>
              <w:t xml:space="preserve"> and Recommendation </w:t>
            </w:r>
            <w:proofErr w:type="spellStart"/>
            <w:r w:rsidRPr="00DB251D">
              <w:rPr>
                <w:rFonts w:asciiTheme="majorBidi" w:hAnsiTheme="majorBidi" w:cstheme="majorBidi"/>
                <w:lang w:val="en-US"/>
              </w:rPr>
              <w:t>ITU</w:t>
            </w:r>
            <w:proofErr w:type="spellEnd"/>
            <w:r w:rsidRPr="00DB251D">
              <w:rPr>
                <w:rFonts w:asciiTheme="majorBidi" w:hAnsiTheme="majorBidi" w:cstheme="majorBidi"/>
                <w:lang w:val="en-US"/>
              </w:rPr>
              <w:t xml:space="preserve">-R </w:t>
            </w:r>
            <w:proofErr w:type="spellStart"/>
            <w:r w:rsidRPr="00DB251D">
              <w:rPr>
                <w:rFonts w:asciiTheme="majorBidi" w:hAnsiTheme="majorBidi" w:cstheme="majorBidi"/>
                <w:lang w:val="en-US"/>
              </w:rPr>
              <w:t>S.524</w:t>
            </w:r>
            <w:proofErr w:type="spellEnd"/>
            <w:r w:rsidRPr="00DB251D">
              <w:rPr>
                <w:rFonts w:asciiTheme="majorBidi" w:hAnsiTheme="majorBidi" w:cstheme="majorBidi"/>
                <w:lang w:val="en-US"/>
              </w:rPr>
              <w:t>-9</w:t>
            </w:r>
          </w:p>
        </w:tc>
      </w:tr>
      <w:tr w:rsidR="002176F6" w:rsidRPr="00DB251D" w:rsidTr="002E7775">
        <w:trPr>
          <w:jc w:val="center"/>
        </w:trPr>
        <w:tc>
          <w:tcPr>
            <w:tcW w:w="3749" w:type="dxa"/>
            <w:tcBorders>
              <w:bottom w:val="single" w:sz="4" w:space="0" w:color="auto"/>
            </w:tcBorders>
          </w:tcPr>
          <w:p w:rsidR="002176F6" w:rsidRPr="00DB251D" w:rsidRDefault="001E1BC0" w:rsidP="00394075">
            <w:pPr>
              <w:pStyle w:val="Tabletext"/>
              <w:rPr>
                <w:rFonts w:asciiTheme="majorBidi" w:hAnsiTheme="majorBidi" w:cstheme="majorBidi"/>
                <w:lang w:val="en-US"/>
              </w:rPr>
            </w:pPr>
            <w:r w:rsidRPr="00DB251D">
              <w:rPr>
                <w:rFonts w:asciiTheme="majorBidi" w:hAnsiTheme="majorBidi" w:cstheme="majorBidi"/>
                <w:lang w:val="en-US"/>
              </w:rPr>
              <w:t xml:space="preserve">Minimum earth station antenna elevation angle, </w:t>
            </w:r>
            <w:r w:rsidRPr="00DB251D">
              <w:rPr>
                <w:rFonts w:asciiTheme="majorBidi" w:hAnsiTheme="majorBidi" w:cstheme="majorBidi"/>
                <w:i/>
                <w:iCs/>
                <w:lang w:val="en-US"/>
              </w:rPr>
              <w:t>h</w:t>
            </w:r>
            <w:r w:rsidRPr="00DB251D">
              <w:rPr>
                <w:rFonts w:asciiTheme="majorBidi" w:hAnsiTheme="majorBidi" w:cstheme="majorBidi"/>
                <w:lang w:val="en-US"/>
              </w:rPr>
              <w:t xml:space="preserve"> (degrees)</w:t>
            </w:r>
          </w:p>
        </w:tc>
        <w:tc>
          <w:tcPr>
            <w:tcW w:w="5880" w:type="dxa"/>
            <w:tcBorders>
              <w:bottom w:val="single" w:sz="4" w:space="0" w:color="auto"/>
            </w:tcBorders>
          </w:tcPr>
          <w:p w:rsidR="002176F6" w:rsidRPr="00DB251D" w:rsidRDefault="001E1BC0">
            <w:pPr>
              <w:pStyle w:val="Tabletext"/>
              <w:rPr>
                <w:rFonts w:asciiTheme="majorBidi" w:hAnsiTheme="majorBidi" w:cstheme="majorBidi"/>
                <w:lang w:val="en-US"/>
              </w:rPr>
            </w:pPr>
            <w:r w:rsidRPr="00DB251D">
              <w:rPr>
                <w:rFonts w:asciiTheme="majorBidi" w:hAnsiTheme="majorBidi" w:cstheme="majorBidi"/>
                <w:lang w:val="en-US"/>
              </w:rPr>
              <w:t>5, 15 and 40</w:t>
            </w:r>
          </w:p>
        </w:tc>
      </w:tr>
      <w:tr w:rsidR="002176F6" w:rsidRPr="00DB251D" w:rsidTr="002E7775">
        <w:trPr>
          <w:jc w:val="center"/>
        </w:trPr>
        <w:tc>
          <w:tcPr>
            <w:tcW w:w="9629" w:type="dxa"/>
            <w:gridSpan w:val="2"/>
            <w:tcBorders>
              <w:left w:val="nil"/>
              <w:bottom w:val="nil"/>
              <w:right w:val="nil"/>
            </w:tcBorders>
          </w:tcPr>
          <w:p w:rsidR="002176F6" w:rsidRPr="00DB251D" w:rsidRDefault="001E1BC0" w:rsidP="00394075">
            <w:pPr>
              <w:pStyle w:val="Tablelegend"/>
              <w:rPr>
                <w:lang w:val="en-US" w:eastAsia="zh-CN"/>
              </w:rPr>
            </w:pPr>
            <w:r w:rsidRPr="00DB251D">
              <w:rPr>
                <w:lang w:val="en-US" w:eastAsia="zh-CN"/>
              </w:rPr>
              <w:t>*</w:t>
            </w:r>
            <w:r w:rsidR="00394075" w:rsidRPr="00DB251D">
              <w:rPr>
                <w:lang w:val="en-US" w:eastAsia="zh-CN"/>
              </w:rPr>
              <w:tab/>
            </w:r>
            <w:r w:rsidRPr="00DB251D">
              <w:rPr>
                <w:lang w:val="en-US" w:eastAsia="zh-CN"/>
              </w:rPr>
              <w:t>Generic frequency range where the parameters included in this table are applicable for the purpose of sharing studies</w:t>
            </w:r>
          </w:p>
        </w:tc>
      </w:tr>
    </w:tbl>
    <w:p w:rsidR="002176F6" w:rsidRPr="00DB251D" w:rsidRDefault="002176F6" w:rsidP="00394075">
      <w:pPr>
        <w:pStyle w:val="Tablefin"/>
        <w:rPr>
          <w:lang w:val="en-US"/>
        </w:rPr>
      </w:pPr>
    </w:p>
    <w:p w:rsidR="002176F6" w:rsidRPr="00DB251D" w:rsidRDefault="001E1BC0">
      <w:pPr>
        <w:rPr>
          <w:i/>
          <w:iCs/>
          <w:lang w:val="en-US"/>
        </w:rPr>
      </w:pPr>
      <w:r w:rsidRPr="00DB251D">
        <w:rPr>
          <w:i/>
          <w:iCs/>
          <w:lang w:val="en-US"/>
        </w:rPr>
        <w:t xml:space="preserve">[Editor’s </w:t>
      </w:r>
      <w:r w:rsidR="00394075" w:rsidRPr="00DB251D">
        <w:rPr>
          <w:i/>
          <w:iCs/>
          <w:lang w:val="en-US"/>
        </w:rPr>
        <w:t>note</w:t>
      </w:r>
      <w:r w:rsidRPr="00DB251D">
        <w:rPr>
          <w:i/>
          <w:iCs/>
          <w:lang w:val="en-US"/>
        </w:rPr>
        <w:t xml:space="preserve">] </w:t>
      </w:r>
    </w:p>
    <w:p w:rsidR="002176F6" w:rsidRPr="00DB251D" w:rsidRDefault="001E1BC0">
      <w:pPr>
        <w:spacing w:after="120"/>
        <w:rPr>
          <w:lang w:val="en-US"/>
        </w:rPr>
      </w:pPr>
      <w:r w:rsidRPr="00DB251D">
        <w:rPr>
          <w:lang w:val="en-US"/>
        </w:rPr>
        <w:t xml:space="preserve">Sharing studies in 5 850-5 925 MHz should take into account the technical characteristics of </w:t>
      </w:r>
      <w:proofErr w:type="spellStart"/>
      <w:r w:rsidRPr="00DB251D">
        <w:rPr>
          <w:lang w:val="en-US"/>
        </w:rPr>
        <w:t>FSS</w:t>
      </w:r>
      <w:proofErr w:type="spellEnd"/>
      <w:r w:rsidRPr="00DB251D">
        <w:rPr>
          <w:lang w:val="en-US"/>
        </w:rPr>
        <w:t xml:space="preserve"> networks in all three Regions, e.g., coverage footprints.</w:t>
      </w:r>
    </w:p>
    <w:p w:rsidR="002176F6" w:rsidRPr="00DB251D" w:rsidRDefault="001E1BC0" w:rsidP="00394075">
      <w:pPr>
        <w:rPr>
          <w:i/>
          <w:iCs/>
          <w:lang w:val="en-US" w:eastAsia="zh-CN"/>
        </w:rPr>
      </w:pPr>
      <w:r w:rsidRPr="00DB251D">
        <w:rPr>
          <w:i/>
          <w:iCs/>
          <w:lang w:val="en-US" w:eastAsia="zh-CN"/>
        </w:rPr>
        <w:t>[</w:t>
      </w:r>
      <w:proofErr w:type="spellStart"/>
      <w:r w:rsidRPr="00DB251D">
        <w:rPr>
          <w:i/>
          <w:iCs/>
          <w:lang w:val="en-US" w:eastAsia="zh-CN"/>
        </w:rPr>
        <w:t>IARU</w:t>
      </w:r>
      <w:proofErr w:type="spellEnd"/>
      <w:r w:rsidRPr="00DB251D">
        <w:rPr>
          <w:rFonts w:eastAsia="Calibri"/>
          <w:i/>
          <w:iCs/>
          <w:lang w:val="en-US" w:eastAsia="es-ES"/>
        </w:rPr>
        <w:t xml:space="preserve"> </w:t>
      </w:r>
      <w:hyperlink r:id="rId21" w:history="1">
        <w:proofErr w:type="spellStart"/>
        <w:r w:rsidR="00394075" w:rsidRPr="00DB251D">
          <w:rPr>
            <w:rStyle w:val="Hyperlink"/>
            <w:rFonts w:eastAsia="Calibri"/>
            <w:i/>
            <w:iCs/>
            <w:lang w:val="en-US" w:eastAsia="es-ES"/>
          </w:rPr>
          <w:t>5A</w:t>
        </w:r>
        <w:proofErr w:type="spellEnd"/>
        <w:r w:rsidR="00394075" w:rsidRPr="00DB251D">
          <w:rPr>
            <w:rStyle w:val="Hyperlink"/>
            <w:rFonts w:eastAsia="Calibri"/>
            <w:i/>
            <w:iCs/>
            <w:lang w:val="en-US" w:eastAsia="es-ES"/>
          </w:rPr>
          <w:t>/421</w:t>
        </w:r>
      </w:hyperlink>
      <w:r w:rsidRPr="00DB251D">
        <w:rPr>
          <w:i/>
          <w:iCs/>
          <w:lang w:val="en-US" w:eastAsia="zh-CN"/>
        </w:rPr>
        <w:t>]</w:t>
      </w:r>
    </w:p>
    <w:p w:rsidR="002176F6" w:rsidRPr="00DB251D" w:rsidRDefault="001E1BC0" w:rsidP="00FA01C3">
      <w:pPr>
        <w:pStyle w:val="Heading2"/>
        <w:rPr>
          <w:shd w:val="clear" w:color="auto" w:fill="FFFFFF"/>
          <w:lang w:val="en-US"/>
        </w:rPr>
      </w:pPr>
      <w:r w:rsidRPr="00DB251D">
        <w:rPr>
          <w:lang w:val="en-US"/>
        </w:rPr>
        <w:t>4.4</w:t>
      </w:r>
      <w:r w:rsidRPr="00DB251D">
        <w:rPr>
          <w:lang w:val="en-US"/>
        </w:rPr>
        <w:tab/>
      </w:r>
      <w:r w:rsidRPr="00DB251D">
        <w:rPr>
          <w:shd w:val="clear" w:color="auto" w:fill="FFFFFF"/>
          <w:lang w:val="en-US"/>
        </w:rPr>
        <w:t>Technical and operational characteristics of the Amateur Radio service operating in 5 650</w:t>
      </w:r>
      <w:r w:rsidRPr="00DB251D">
        <w:rPr>
          <w:shd w:val="clear" w:color="auto" w:fill="FFFFFF"/>
          <w:lang w:val="en-US"/>
        </w:rPr>
        <w:noBreakHyphen/>
        <w:t xml:space="preserve">5 925 MHz </w:t>
      </w:r>
    </w:p>
    <w:p w:rsidR="002176F6" w:rsidRPr="00DB251D" w:rsidRDefault="001E1BC0">
      <w:pPr>
        <w:rPr>
          <w:i/>
          <w:iCs/>
          <w:lang w:val="en-US" w:eastAsia="zh-CN"/>
        </w:rPr>
      </w:pPr>
      <w:r w:rsidRPr="00DB251D">
        <w:rPr>
          <w:i/>
          <w:iCs/>
          <w:lang w:val="en-US" w:eastAsia="zh-CN"/>
        </w:rPr>
        <w:t xml:space="preserve">[Editor’s </w:t>
      </w:r>
      <w:r w:rsidR="00394075" w:rsidRPr="00DB251D">
        <w:rPr>
          <w:i/>
          <w:iCs/>
          <w:lang w:val="en-US" w:eastAsia="zh-CN"/>
        </w:rPr>
        <w:t>note</w:t>
      </w:r>
      <w:r w:rsidRPr="00DB251D">
        <w:rPr>
          <w:i/>
          <w:iCs/>
          <w:lang w:val="en-US" w:eastAsia="zh-CN"/>
        </w:rPr>
        <w:t xml:space="preserve">: </w:t>
      </w:r>
      <w:r w:rsidR="00394075" w:rsidRPr="00DB251D">
        <w:rPr>
          <w:i/>
          <w:iCs/>
          <w:lang w:val="en-US" w:eastAsia="zh-CN"/>
        </w:rPr>
        <w:t xml:space="preserve">RR </w:t>
      </w:r>
      <w:r w:rsidRPr="00DB251D">
        <w:rPr>
          <w:i/>
          <w:iCs/>
          <w:lang w:val="en-US" w:eastAsia="zh-CN"/>
        </w:rPr>
        <w:t xml:space="preserve">No. </w:t>
      </w:r>
      <w:r w:rsidRPr="00DB251D">
        <w:rPr>
          <w:b/>
          <w:bCs/>
          <w:i/>
          <w:iCs/>
          <w:lang w:val="en-US" w:eastAsia="zh-CN"/>
        </w:rPr>
        <w:t>5.453</w:t>
      </w:r>
      <w:r w:rsidRPr="00DB251D">
        <w:rPr>
          <w:i/>
          <w:iCs/>
          <w:lang w:val="en-US" w:eastAsia="zh-CN"/>
        </w:rPr>
        <w:t xml:space="preserve"> provides an additional allocation to the fixed and mobile service on a primary basis in several count</w:t>
      </w:r>
      <w:r w:rsidR="00394075" w:rsidRPr="00DB251D">
        <w:rPr>
          <w:i/>
          <w:iCs/>
          <w:lang w:val="en-US" w:eastAsia="zh-CN"/>
        </w:rPr>
        <w:t xml:space="preserve">ries. </w:t>
      </w:r>
      <w:r w:rsidRPr="00DB251D">
        <w:rPr>
          <w:i/>
          <w:iCs/>
          <w:lang w:val="en-US" w:eastAsia="zh-CN"/>
        </w:rPr>
        <w:t>As the amateur and amateur-satellite service are allocated on a secondary basis further discussions are required to determine whether or not studies are necessary.]</w:t>
      </w:r>
    </w:p>
    <w:p w:rsidR="002176F6" w:rsidRPr="00DB251D" w:rsidRDefault="001E1BC0">
      <w:pPr>
        <w:rPr>
          <w:lang w:val="en-US"/>
        </w:rPr>
      </w:pPr>
      <w:r w:rsidRPr="00DB251D">
        <w:rPr>
          <w:lang w:val="en-US"/>
        </w:rPr>
        <w:t xml:space="preserve">The secondary allocation to the amateur radio service is 5 650 to 5 850 MHz in Regions 1 and 3 and to 5 650 to 5 925 MHz in Region 2. The reference document for amateur signal characteristics for sharing studies is Rec. </w:t>
      </w:r>
      <w:proofErr w:type="spellStart"/>
      <w:r w:rsidRPr="00DB251D">
        <w:rPr>
          <w:lang w:val="en-US"/>
        </w:rPr>
        <w:t>ITU</w:t>
      </w:r>
      <w:proofErr w:type="spellEnd"/>
      <w:r w:rsidRPr="00DB251D">
        <w:rPr>
          <w:lang w:val="en-US"/>
        </w:rPr>
        <w:t xml:space="preserve">-R </w:t>
      </w:r>
      <w:proofErr w:type="spellStart"/>
      <w:r w:rsidRPr="00DB251D">
        <w:rPr>
          <w:lang w:val="en-US"/>
        </w:rPr>
        <w:t>M.1732</w:t>
      </w:r>
      <w:proofErr w:type="spellEnd"/>
      <w:r w:rsidRPr="00DB251D">
        <w:rPr>
          <w:lang w:val="en-US"/>
        </w:rPr>
        <w:t>-2 (01/2017).</w:t>
      </w:r>
    </w:p>
    <w:p w:rsidR="002176F6" w:rsidRPr="00DB251D" w:rsidRDefault="001E1BC0">
      <w:pPr>
        <w:pStyle w:val="enumlev1"/>
        <w:tabs>
          <w:tab w:val="clear" w:pos="1134"/>
          <w:tab w:val="left" w:pos="0"/>
        </w:tabs>
        <w:ind w:left="0" w:firstLine="0"/>
        <w:rPr>
          <w:lang w:val="en-US" w:eastAsia="zh-CN"/>
        </w:rPr>
      </w:pPr>
      <w:r w:rsidRPr="00DB251D">
        <w:rPr>
          <w:lang w:val="en-US" w:eastAsia="zh-CN"/>
        </w:rPr>
        <w:t>Amateur radio service activities in this frequency range and in particular in 5 760 to 5 765 MHz include terrestrial and Earth-Moon-Earth (</w:t>
      </w:r>
      <w:proofErr w:type="spellStart"/>
      <w:r w:rsidRPr="00DB251D">
        <w:rPr>
          <w:lang w:val="en-US" w:eastAsia="zh-CN"/>
        </w:rPr>
        <w:t>EME</w:t>
      </w:r>
      <w:proofErr w:type="spellEnd"/>
      <w:r w:rsidRPr="00DB251D">
        <w:rPr>
          <w:lang w:val="en-US" w:eastAsia="zh-CN"/>
        </w:rPr>
        <w:t xml:space="preserve">) communications and weak-signal communications. These activities </w:t>
      </w:r>
      <w:r w:rsidRPr="00DB251D">
        <w:rPr>
          <w:lang w:val="en-US"/>
        </w:rPr>
        <w:t xml:space="preserve">are typically not channelized and </w:t>
      </w:r>
      <w:r w:rsidRPr="00DB251D">
        <w:rPr>
          <w:lang w:val="en-US" w:eastAsia="zh-CN"/>
        </w:rPr>
        <w:t>are very sensitive to increases in noise and interference.</w:t>
      </w:r>
    </w:p>
    <w:p w:rsidR="002176F6" w:rsidRPr="00DB251D" w:rsidRDefault="001E1BC0" w:rsidP="00FA01C3">
      <w:pPr>
        <w:pStyle w:val="Heading3"/>
        <w:spacing w:after="120"/>
        <w:rPr>
          <w:rFonts w:ascii="Times New Roman Bold" w:hAnsi="Times New Roman Bold"/>
          <w:lang w:val="en-US"/>
        </w:rPr>
      </w:pPr>
      <w:r w:rsidRPr="00DB251D">
        <w:rPr>
          <w:lang w:val="en-US"/>
        </w:rPr>
        <w:lastRenderedPageBreak/>
        <w:t>4.4.1</w:t>
      </w:r>
      <w:r w:rsidRPr="00DB251D">
        <w:rPr>
          <w:lang w:val="en-US"/>
        </w:rPr>
        <w:tab/>
        <w:t>Amateur systems (Morse, analogue voice and data)</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tblGrid>
      <w:tr w:rsidR="002176F6" w:rsidRPr="00DB251D" w:rsidTr="00FA01C3">
        <w:trPr>
          <w:gridAfter w:val="1"/>
          <w:wAfter w:w="1418" w:type="dxa"/>
          <w:cantSplit/>
          <w:jc w:val="center"/>
        </w:trPr>
        <w:tc>
          <w:tcPr>
            <w:tcW w:w="3402" w:type="dxa"/>
          </w:tcPr>
          <w:p w:rsidR="002176F6" w:rsidRPr="00DB251D" w:rsidRDefault="001E1BC0" w:rsidP="00FA01C3">
            <w:pPr>
              <w:pStyle w:val="Tablehead"/>
              <w:keepLines/>
              <w:rPr>
                <w:snapToGrid w:val="0"/>
                <w:lang w:val="en-US"/>
              </w:rPr>
            </w:pPr>
            <w:r w:rsidRPr="00DB251D">
              <w:rPr>
                <w:snapToGrid w:val="0"/>
                <w:lang w:val="en-US"/>
              </w:rPr>
              <w:t>Parameter</w:t>
            </w:r>
          </w:p>
        </w:tc>
      </w:tr>
      <w:tr w:rsidR="002176F6" w:rsidRPr="00237057"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 xml:space="preserve">Necessary bandwidth and emission class designator </w:t>
            </w:r>
          </w:p>
        </w:tc>
        <w:tc>
          <w:tcPr>
            <w:tcW w:w="1418" w:type="dxa"/>
          </w:tcPr>
          <w:p w:rsidR="002176F6" w:rsidRPr="00237057" w:rsidRDefault="001E1BC0" w:rsidP="00FA01C3">
            <w:pPr>
              <w:pStyle w:val="Tabletext"/>
              <w:keepNext/>
              <w:keepLines/>
              <w:jc w:val="center"/>
              <w:rPr>
                <w:lang w:val="es-ES_tradnl"/>
              </w:rPr>
            </w:pPr>
            <w:r w:rsidRPr="00237057">
              <w:rPr>
                <w:lang w:val="es-ES_tradnl"/>
              </w:rPr>
              <w:t>150HA1A</w:t>
            </w:r>
            <w:r w:rsidRPr="00237057">
              <w:rPr>
                <w:lang w:val="es-ES_tradnl"/>
              </w:rPr>
              <w:br/>
              <w:t>150HJ2A</w:t>
            </w:r>
            <w:r w:rsidRPr="00237057">
              <w:rPr>
                <w:lang w:val="es-ES_tradnl"/>
              </w:rPr>
              <w:br/>
              <w:t>60H0J2B</w:t>
            </w:r>
            <w:r w:rsidRPr="00237057">
              <w:rPr>
                <w:lang w:val="es-ES_tradnl"/>
              </w:rPr>
              <w:br/>
              <w:t>250HF1B</w:t>
            </w:r>
          </w:p>
          <w:p w:rsidR="002176F6" w:rsidRPr="00237057" w:rsidRDefault="001E1BC0" w:rsidP="00FA01C3">
            <w:pPr>
              <w:pStyle w:val="Tabletext"/>
              <w:keepNext/>
              <w:keepLines/>
              <w:jc w:val="center"/>
              <w:rPr>
                <w:lang w:val="es-ES_tradnl"/>
              </w:rPr>
            </w:pPr>
            <w:r w:rsidRPr="00237057">
              <w:rPr>
                <w:lang w:val="es-ES_tradnl"/>
              </w:rPr>
              <w:t>2K70J3E</w:t>
            </w:r>
            <w:r w:rsidRPr="00237057">
              <w:rPr>
                <w:lang w:val="es-ES_tradnl"/>
              </w:rPr>
              <w:br/>
              <w:t>11K0F3E</w:t>
            </w:r>
            <w:r w:rsidRPr="00237057">
              <w:rPr>
                <w:lang w:val="es-ES_tradnl"/>
              </w:rPr>
              <w:br/>
              <w:t>16K0F3E</w:t>
            </w:r>
            <w:r w:rsidRPr="00237057">
              <w:rPr>
                <w:lang w:val="es-ES_tradnl"/>
              </w:rPr>
              <w:br/>
              <w:t>20K0F3E</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Transmitter power (</w:t>
            </w:r>
            <w:proofErr w:type="spellStart"/>
            <w:r w:rsidRPr="00DB251D">
              <w:rPr>
                <w:lang w:val="en-US"/>
              </w:rPr>
              <w:t>dBW</w:t>
            </w:r>
            <w:proofErr w:type="spellEnd"/>
            <w:r w:rsidRPr="00DB251D">
              <w:rPr>
                <w:lang w:val="en-US"/>
              </w:rPr>
              <w:t>)</w:t>
            </w:r>
          </w:p>
        </w:tc>
        <w:tc>
          <w:tcPr>
            <w:tcW w:w="1418" w:type="dxa"/>
          </w:tcPr>
          <w:p w:rsidR="002176F6" w:rsidRPr="00DB251D" w:rsidRDefault="001E1BC0" w:rsidP="00FA01C3">
            <w:pPr>
              <w:pStyle w:val="Tabletext"/>
              <w:keepNext/>
              <w:keepLines/>
              <w:jc w:val="center"/>
              <w:rPr>
                <w:lang w:val="en-US"/>
              </w:rPr>
            </w:pPr>
            <w:r w:rsidRPr="00DB251D">
              <w:rPr>
                <w:lang w:val="en-US"/>
              </w:rPr>
              <w:t>3 to 20</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Feeder loss (dB)</w:t>
            </w:r>
          </w:p>
        </w:tc>
        <w:tc>
          <w:tcPr>
            <w:tcW w:w="1418" w:type="dxa"/>
          </w:tcPr>
          <w:p w:rsidR="002176F6" w:rsidRPr="00DB251D" w:rsidRDefault="001E1BC0" w:rsidP="00FA01C3">
            <w:pPr>
              <w:pStyle w:val="Tabletext"/>
              <w:keepNext/>
              <w:keepLines/>
              <w:jc w:val="center"/>
              <w:rPr>
                <w:lang w:val="en-US"/>
              </w:rPr>
            </w:pPr>
            <w:r w:rsidRPr="00DB251D">
              <w:rPr>
                <w:lang w:val="en-US"/>
              </w:rPr>
              <w:t>1 to 6</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Transmitting antenna gain (</w:t>
            </w:r>
            <w:proofErr w:type="spellStart"/>
            <w:r w:rsidRPr="00DB251D">
              <w:rPr>
                <w:lang w:val="en-US"/>
              </w:rPr>
              <w:t>dBi</w:t>
            </w:r>
            <w:proofErr w:type="spellEnd"/>
            <w:r w:rsidRPr="00DB251D">
              <w:rPr>
                <w:lang w:val="en-US"/>
              </w:rPr>
              <w:t>)</w:t>
            </w:r>
          </w:p>
        </w:tc>
        <w:tc>
          <w:tcPr>
            <w:tcW w:w="1418" w:type="dxa"/>
          </w:tcPr>
          <w:p w:rsidR="002176F6" w:rsidRPr="00DB251D" w:rsidRDefault="001E1BC0" w:rsidP="00FA01C3">
            <w:pPr>
              <w:pStyle w:val="Tabletext"/>
              <w:keepNext/>
              <w:keepLines/>
              <w:jc w:val="center"/>
              <w:rPr>
                <w:lang w:val="en-US"/>
              </w:rPr>
            </w:pPr>
            <w:r w:rsidRPr="00DB251D">
              <w:rPr>
                <w:lang w:val="en-US"/>
              </w:rPr>
              <w:t>10 to 42</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 xml:space="preserve">Typical </w:t>
            </w:r>
            <w:proofErr w:type="spellStart"/>
            <w:r w:rsidRPr="00DB251D">
              <w:rPr>
                <w:lang w:val="en-US"/>
              </w:rPr>
              <w:t>e.i.r.p</w:t>
            </w:r>
            <w:proofErr w:type="spellEnd"/>
            <w:r w:rsidRPr="00DB251D">
              <w:rPr>
                <w:lang w:val="en-US"/>
              </w:rPr>
              <w:t>. (</w:t>
            </w:r>
            <w:proofErr w:type="spellStart"/>
            <w:r w:rsidRPr="00DB251D">
              <w:rPr>
                <w:lang w:val="en-US"/>
              </w:rPr>
              <w:t>dBW</w:t>
            </w:r>
            <w:proofErr w:type="spellEnd"/>
            <w:r w:rsidRPr="00DB251D">
              <w:rPr>
                <w:lang w:val="en-US"/>
              </w:rPr>
              <w:t xml:space="preserve">) </w:t>
            </w:r>
          </w:p>
        </w:tc>
        <w:tc>
          <w:tcPr>
            <w:tcW w:w="1418" w:type="dxa"/>
          </w:tcPr>
          <w:p w:rsidR="002176F6" w:rsidRPr="00DB251D" w:rsidRDefault="001E1BC0" w:rsidP="00FA01C3">
            <w:pPr>
              <w:pStyle w:val="Tabletext"/>
              <w:keepNext/>
              <w:keepLines/>
              <w:jc w:val="center"/>
              <w:rPr>
                <w:lang w:val="en-US"/>
              </w:rPr>
            </w:pPr>
            <w:r w:rsidRPr="00DB251D">
              <w:rPr>
                <w:lang w:val="en-US"/>
              </w:rPr>
              <w:t>1 to 45</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Antenna polarization</w:t>
            </w:r>
          </w:p>
        </w:tc>
        <w:tc>
          <w:tcPr>
            <w:tcW w:w="1418" w:type="dxa"/>
          </w:tcPr>
          <w:p w:rsidR="002176F6" w:rsidRPr="00DB251D" w:rsidRDefault="001E1BC0" w:rsidP="00FA01C3">
            <w:pPr>
              <w:pStyle w:val="Tabletext"/>
              <w:keepNext/>
              <w:keepLines/>
              <w:jc w:val="center"/>
              <w:rPr>
                <w:lang w:val="en-US"/>
              </w:rPr>
            </w:pPr>
            <w:r w:rsidRPr="00DB251D">
              <w:rPr>
                <w:lang w:val="en-US"/>
              </w:rPr>
              <w:t>Horizontal, vertical</w:t>
            </w:r>
          </w:p>
        </w:tc>
      </w:tr>
      <w:tr w:rsidR="002176F6" w:rsidRPr="00DB251D" w:rsidTr="00FA01C3">
        <w:trPr>
          <w:cantSplit/>
          <w:jc w:val="center"/>
        </w:trPr>
        <w:tc>
          <w:tcPr>
            <w:tcW w:w="3402" w:type="dxa"/>
          </w:tcPr>
          <w:p w:rsidR="002176F6" w:rsidRPr="00DB251D" w:rsidRDefault="001E1BC0" w:rsidP="00FA01C3">
            <w:pPr>
              <w:pStyle w:val="Tabletext"/>
              <w:keepNext/>
              <w:keepLines/>
              <w:rPr>
                <w:lang w:val="en-US"/>
              </w:rPr>
            </w:pPr>
            <w:r w:rsidRPr="00DB251D">
              <w:rPr>
                <w:lang w:val="en-US"/>
              </w:rPr>
              <w:t>Receiver Noise Figure (dB)</w:t>
            </w:r>
          </w:p>
        </w:tc>
        <w:tc>
          <w:tcPr>
            <w:tcW w:w="1418" w:type="dxa"/>
          </w:tcPr>
          <w:p w:rsidR="002176F6" w:rsidRPr="00DB251D" w:rsidRDefault="001E1BC0" w:rsidP="00FA01C3">
            <w:pPr>
              <w:pStyle w:val="Tabletext"/>
              <w:keepNext/>
              <w:keepLines/>
              <w:jc w:val="center"/>
              <w:rPr>
                <w:lang w:val="en-US"/>
              </w:rPr>
            </w:pPr>
            <w:r w:rsidRPr="00DB251D">
              <w:rPr>
                <w:lang w:val="en-US"/>
              </w:rPr>
              <w:t>0.5 to 1</w:t>
            </w:r>
          </w:p>
        </w:tc>
      </w:tr>
    </w:tbl>
    <w:p w:rsidR="002176F6" w:rsidRPr="00DB251D" w:rsidRDefault="002176F6" w:rsidP="00FA01C3">
      <w:pPr>
        <w:pStyle w:val="Tablefin"/>
        <w:rPr>
          <w:lang w:val="en-US"/>
        </w:rPr>
      </w:pPr>
    </w:p>
    <w:p w:rsidR="002176F6" w:rsidRPr="00DB251D" w:rsidRDefault="001E1BC0" w:rsidP="00FA01C3">
      <w:pPr>
        <w:rPr>
          <w:lang w:val="en-US" w:eastAsia="zh-CN"/>
        </w:rPr>
      </w:pPr>
      <w:r w:rsidRPr="00DB251D">
        <w:rPr>
          <w:lang w:val="en-US" w:eastAsia="zh-CN"/>
        </w:rPr>
        <w:t>While the foregoing parameters principally characterize amateur radio signals in 5 760 to 5 765</w:t>
      </w:r>
      <w:r w:rsidR="00FA01C3" w:rsidRPr="00DB251D">
        <w:rPr>
          <w:lang w:val="en-US" w:eastAsia="zh-CN"/>
        </w:rPr>
        <w:t> </w:t>
      </w:r>
      <w:r w:rsidRPr="00DB251D">
        <w:rPr>
          <w:lang w:val="en-US" w:eastAsia="zh-CN"/>
        </w:rPr>
        <w:t>MHz, they may be used anywhere in the allocation.</w:t>
      </w:r>
    </w:p>
    <w:p w:rsidR="002176F6" w:rsidRPr="00DB251D" w:rsidRDefault="001E1BC0" w:rsidP="00FA01C3">
      <w:pPr>
        <w:rPr>
          <w:lang w:val="en-US" w:eastAsia="zh-CN"/>
        </w:rPr>
      </w:pPr>
      <w:r w:rsidRPr="00DB251D">
        <w:rPr>
          <w:lang w:val="en-US" w:eastAsia="zh-CN"/>
        </w:rPr>
        <w:t>Receiver bandwidths, as indicated in the emission class designators, range from 150 Hz to 20 kHz</w:t>
      </w:r>
    </w:p>
    <w:p w:rsidR="002176F6" w:rsidRPr="00DB251D" w:rsidRDefault="001E1BC0" w:rsidP="00FA01C3">
      <w:pPr>
        <w:pStyle w:val="Heading3"/>
        <w:spacing w:after="240"/>
        <w:rPr>
          <w:rFonts w:ascii="Times New Roman Bold" w:hAnsi="Times New Roman Bold"/>
          <w:lang w:val="en-US"/>
        </w:rPr>
      </w:pPr>
      <w:r w:rsidRPr="00DB251D">
        <w:rPr>
          <w:lang w:val="en-US"/>
        </w:rPr>
        <w:t>4.4.2</w:t>
      </w:r>
      <w:r w:rsidRPr="00DB251D">
        <w:rPr>
          <w:lang w:val="en-US"/>
        </w:rPr>
        <w:tab/>
        <w:t>Amateur Earth-Moon-Earth (</w:t>
      </w:r>
      <w:proofErr w:type="spellStart"/>
      <w:r w:rsidRPr="00DB251D">
        <w:rPr>
          <w:lang w:val="en-US"/>
        </w:rPr>
        <w:t>EME</w:t>
      </w:r>
      <w:proofErr w:type="spellEnd"/>
      <w:r w:rsidRPr="00DB251D">
        <w:rPr>
          <w:lang w:val="en-US"/>
        </w:rPr>
        <w: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030"/>
      </w:tblGrid>
      <w:tr w:rsidR="002176F6" w:rsidRPr="00DB251D">
        <w:trPr>
          <w:gridAfter w:val="1"/>
          <w:wAfter w:w="2030" w:type="dxa"/>
          <w:jc w:val="center"/>
        </w:trPr>
        <w:tc>
          <w:tcPr>
            <w:tcW w:w="3402" w:type="dxa"/>
          </w:tcPr>
          <w:p w:rsidR="002176F6" w:rsidRPr="00DB251D" w:rsidRDefault="001E1BC0" w:rsidP="00FA01C3">
            <w:pPr>
              <w:pStyle w:val="Tablehead"/>
              <w:rPr>
                <w:snapToGrid w:val="0"/>
                <w:lang w:val="en-US"/>
              </w:rPr>
            </w:pPr>
            <w:r w:rsidRPr="00DB251D">
              <w:rPr>
                <w:snapToGrid w:val="0"/>
                <w:lang w:val="en-US"/>
              </w:rPr>
              <w:t>Parameter</w:t>
            </w:r>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Necessary bandwidth and emission class designator</w:t>
            </w:r>
          </w:p>
        </w:tc>
        <w:tc>
          <w:tcPr>
            <w:tcW w:w="2030" w:type="dxa"/>
          </w:tcPr>
          <w:p w:rsidR="002176F6" w:rsidRPr="00DB251D" w:rsidRDefault="001E1BC0" w:rsidP="00FA01C3">
            <w:pPr>
              <w:pStyle w:val="Tabletext"/>
              <w:jc w:val="center"/>
              <w:rPr>
                <w:lang w:val="en-US"/>
              </w:rPr>
            </w:pPr>
            <w:proofErr w:type="spellStart"/>
            <w:r w:rsidRPr="00DB251D">
              <w:rPr>
                <w:lang w:val="en-US"/>
              </w:rPr>
              <w:t>50H0A1A</w:t>
            </w:r>
            <w:proofErr w:type="spellEnd"/>
            <w:r w:rsidRPr="00DB251D">
              <w:rPr>
                <w:lang w:val="en-US"/>
              </w:rPr>
              <w:br/>
            </w:r>
            <w:proofErr w:type="spellStart"/>
            <w:r w:rsidRPr="00DB251D">
              <w:rPr>
                <w:lang w:val="en-US"/>
              </w:rPr>
              <w:t>50H0J2A</w:t>
            </w:r>
            <w:proofErr w:type="spellEnd"/>
            <w:r w:rsidRPr="00DB251D">
              <w:rPr>
                <w:lang w:val="en-US"/>
              </w:rPr>
              <w:br/>
            </w:r>
            <w:proofErr w:type="spellStart"/>
            <w:r w:rsidRPr="00DB251D">
              <w:rPr>
                <w:lang w:val="en-US"/>
              </w:rPr>
              <w:t>1K80F1B</w:t>
            </w:r>
            <w:proofErr w:type="spellEnd"/>
          </w:p>
          <w:p w:rsidR="002176F6" w:rsidRPr="00DB251D" w:rsidRDefault="001E1BC0" w:rsidP="00FA01C3">
            <w:pPr>
              <w:pStyle w:val="Tabletext"/>
              <w:jc w:val="center"/>
              <w:rPr>
                <w:lang w:val="en-US"/>
              </w:rPr>
            </w:pPr>
            <w:proofErr w:type="spellStart"/>
            <w:r w:rsidRPr="00DB251D">
              <w:rPr>
                <w:lang w:val="en-US"/>
              </w:rPr>
              <w:t>1K50J2D</w:t>
            </w:r>
            <w:proofErr w:type="spellEnd"/>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Transmitter power (</w:t>
            </w:r>
            <w:proofErr w:type="spellStart"/>
            <w:r w:rsidRPr="00DB251D">
              <w:rPr>
                <w:lang w:val="en-US"/>
              </w:rPr>
              <w:t>dBW</w:t>
            </w:r>
            <w:proofErr w:type="spellEnd"/>
            <w:r w:rsidRPr="00DB251D">
              <w:rPr>
                <w:lang w:val="en-US"/>
              </w:rPr>
              <w:t>)</w:t>
            </w:r>
          </w:p>
        </w:tc>
        <w:tc>
          <w:tcPr>
            <w:tcW w:w="2030" w:type="dxa"/>
          </w:tcPr>
          <w:p w:rsidR="002176F6" w:rsidRPr="00DB251D" w:rsidRDefault="001E1BC0" w:rsidP="00FA01C3">
            <w:pPr>
              <w:pStyle w:val="Tabletext"/>
              <w:jc w:val="center"/>
              <w:rPr>
                <w:lang w:val="en-US"/>
              </w:rPr>
            </w:pPr>
            <w:r w:rsidRPr="00DB251D">
              <w:rPr>
                <w:lang w:val="en-US"/>
              </w:rPr>
              <w:t>13 to 20</w:t>
            </w:r>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Feeder loss (dB)</w:t>
            </w:r>
          </w:p>
        </w:tc>
        <w:tc>
          <w:tcPr>
            <w:tcW w:w="2030" w:type="dxa"/>
          </w:tcPr>
          <w:p w:rsidR="002176F6" w:rsidRPr="00DB251D" w:rsidRDefault="001E1BC0" w:rsidP="00FA01C3">
            <w:pPr>
              <w:pStyle w:val="Tabletext"/>
              <w:jc w:val="center"/>
              <w:rPr>
                <w:lang w:val="en-US"/>
              </w:rPr>
            </w:pPr>
            <w:r w:rsidRPr="00DB251D">
              <w:rPr>
                <w:lang w:val="en-US"/>
              </w:rPr>
              <w:t>1 to 4</w:t>
            </w:r>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Transmitting antenna gain (</w:t>
            </w:r>
            <w:proofErr w:type="spellStart"/>
            <w:r w:rsidRPr="00DB251D">
              <w:rPr>
                <w:lang w:val="en-US"/>
              </w:rPr>
              <w:t>dBi</w:t>
            </w:r>
            <w:proofErr w:type="spellEnd"/>
            <w:r w:rsidRPr="00DB251D">
              <w:rPr>
                <w:lang w:val="en-US"/>
              </w:rPr>
              <w:t>)</w:t>
            </w:r>
          </w:p>
        </w:tc>
        <w:tc>
          <w:tcPr>
            <w:tcW w:w="2030" w:type="dxa"/>
          </w:tcPr>
          <w:p w:rsidR="002176F6" w:rsidRPr="00DB251D" w:rsidRDefault="001E1BC0" w:rsidP="00FA01C3">
            <w:pPr>
              <w:pStyle w:val="Tabletext"/>
              <w:jc w:val="center"/>
              <w:rPr>
                <w:lang w:val="en-US"/>
              </w:rPr>
            </w:pPr>
            <w:r w:rsidRPr="00DB251D">
              <w:rPr>
                <w:lang w:val="en-US"/>
              </w:rPr>
              <w:t>25 to 46</w:t>
            </w:r>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 xml:space="preserve">Typical </w:t>
            </w:r>
            <w:proofErr w:type="spellStart"/>
            <w:r w:rsidRPr="00DB251D">
              <w:rPr>
                <w:lang w:val="en-US"/>
              </w:rPr>
              <w:t>e.i.r.p</w:t>
            </w:r>
            <w:proofErr w:type="spellEnd"/>
            <w:r w:rsidRPr="00DB251D">
              <w:rPr>
                <w:lang w:val="en-US"/>
              </w:rPr>
              <w:t>. (</w:t>
            </w:r>
            <w:proofErr w:type="spellStart"/>
            <w:r w:rsidRPr="00DB251D">
              <w:rPr>
                <w:lang w:val="en-US"/>
              </w:rPr>
              <w:t>dBW</w:t>
            </w:r>
            <w:proofErr w:type="spellEnd"/>
            <w:r w:rsidRPr="00DB251D">
              <w:rPr>
                <w:lang w:val="en-US"/>
              </w:rPr>
              <w:t>)</w:t>
            </w:r>
          </w:p>
        </w:tc>
        <w:tc>
          <w:tcPr>
            <w:tcW w:w="2030" w:type="dxa"/>
          </w:tcPr>
          <w:p w:rsidR="002176F6" w:rsidRPr="00DB251D" w:rsidRDefault="001E1BC0" w:rsidP="00FA01C3">
            <w:pPr>
              <w:pStyle w:val="Tabletext"/>
              <w:jc w:val="center"/>
              <w:rPr>
                <w:lang w:val="en-US"/>
              </w:rPr>
            </w:pPr>
            <w:r w:rsidRPr="00DB251D">
              <w:rPr>
                <w:lang w:val="en-US"/>
              </w:rPr>
              <w:t>50 to 65</w:t>
            </w:r>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Antenna polarization</w:t>
            </w:r>
          </w:p>
        </w:tc>
        <w:tc>
          <w:tcPr>
            <w:tcW w:w="2030" w:type="dxa"/>
          </w:tcPr>
          <w:p w:rsidR="002176F6" w:rsidRPr="00DB251D" w:rsidRDefault="001E1BC0" w:rsidP="00FA01C3">
            <w:pPr>
              <w:pStyle w:val="Tabletext"/>
              <w:jc w:val="center"/>
              <w:rPr>
                <w:lang w:val="en-US"/>
              </w:rPr>
            </w:pPr>
            <w:r w:rsidRPr="00DB251D">
              <w:rPr>
                <w:lang w:val="en-US"/>
              </w:rPr>
              <w:t xml:space="preserve">Horizontal, vertical, </w:t>
            </w:r>
            <w:proofErr w:type="spellStart"/>
            <w:r w:rsidRPr="00DB251D">
              <w:rPr>
                <w:lang w:val="en-US"/>
              </w:rPr>
              <w:t>LHCP</w:t>
            </w:r>
            <w:proofErr w:type="spellEnd"/>
            <w:r w:rsidRPr="00DB251D">
              <w:rPr>
                <w:lang w:val="en-US"/>
              </w:rPr>
              <w:t>,</w:t>
            </w:r>
            <w:r w:rsidRPr="00DB251D">
              <w:rPr>
                <w:lang w:val="en-US"/>
              </w:rPr>
              <w:br/>
            </w:r>
            <w:proofErr w:type="spellStart"/>
            <w:r w:rsidRPr="00DB251D">
              <w:rPr>
                <w:lang w:val="en-US"/>
              </w:rPr>
              <w:t>RHCP</w:t>
            </w:r>
            <w:proofErr w:type="spellEnd"/>
          </w:p>
        </w:tc>
      </w:tr>
      <w:tr w:rsidR="002176F6" w:rsidRPr="00DB251D">
        <w:trPr>
          <w:jc w:val="center"/>
        </w:trPr>
        <w:tc>
          <w:tcPr>
            <w:tcW w:w="3402" w:type="dxa"/>
          </w:tcPr>
          <w:p w:rsidR="002176F6" w:rsidRPr="00DB251D" w:rsidRDefault="001E1BC0" w:rsidP="00FA01C3">
            <w:pPr>
              <w:pStyle w:val="Tabletext"/>
              <w:rPr>
                <w:lang w:val="en-US"/>
              </w:rPr>
            </w:pPr>
            <w:r w:rsidRPr="00DB251D">
              <w:rPr>
                <w:lang w:val="en-US"/>
              </w:rPr>
              <w:t>Receiver noise figure (dB)</w:t>
            </w:r>
          </w:p>
        </w:tc>
        <w:tc>
          <w:tcPr>
            <w:tcW w:w="2030" w:type="dxa"/>
          </w:tcPr>
          <w:p w:rsidR="002176F6" w:rsidRPr="00DB251D" w:rsidRDefault="001E1BC0" w:rsidP="00FA01C3">
            <w:pPr>
              <w:pStyle w:val="Tabletext"/>
              <w:jc w:val="center"/>
              <w:rPr>
                <w:lang w:val="en-US"/>
              </w:rPr>
            </w:pPr>
            <w:r w:rsidRPr="00DB251D">
              <w:rPr>
                <w:lang w:val="en-US"/>
              </w:rPr>
              <w:t>1</w:t>
            </w:r>
          </w:p>
        </w:tc>
      </w:tr>
    </w:tbl>
    <w:p w:rsidR="00FA01C3" w:rsidRPr="00DB251D" w:rsidRDefault="00FA01C3" w:rsidP="00FA01C3">
      <w:pPr>
        <w:pStyle w:val="Tablefin"/>
        <w:rPr>
          <w:lang w:val="en-US"/>
        </w:rPr>
      </w:pPr>
    </w:p>
    <w:p w:rsidR="002176F6" w:rsidRPr="00DB251D" w:rsidRDefault="001E1BC0">
      <w:pPr>
        <w:rPr>
          <w:lang w:val="en-US"/>
        </w:rPr>
      </w:pPr>
      <w:proofErr w:type="spellStart"/>
      <w:r w:rsidRPr="00DB251D">
        <w:rPr>
          <w:lang w:val="en-US"/>
        </w:rPr>
        <w:t>EME</w:t>
      </w:r>
      <w:proofErr w:type="spellEnd"/>
      <w:r w:rsidRPr="00DB251D">
        <w:rPr>
          <w:lang w:val="en-US"/>
        </w:rPr>
        <w:t xml:space="preserve"> systems operating in 5 760 to 5 765 MHz increasingly employ digital “Weak Signal Modes” which are structured for very basic communication with low data rates and narrow bandwidth. The main antenna beam direction can be assumed to be pointing above the horizon; however, the technique is still vulnerable to noise on side lobes.</w:t>
      </w:r>
    </w:p>
    <w:p w:rsidR="002176F6" w:rsidRPr="00DB251D" w:rsidRDefault="001E1BC0">
      <w:pPr>
        <w:rPr>
          <w:lang w:val="en-US"/>
        </w:rPr>
      </w:pPr>
      <w:r w:rsidRPr="00DB251D">
        <w:rPr>
          <w:lang w:val="en-US" w:eastAsia="zh-CN"/>
        </w:rPr>
        <w:t>Receiver bandwidths, as indicated in the emission class designators, range from 50 Hz to 2 kHz.</w:t>
      </w:r>
    </w:p>
    <w:p w:rsidR="002176F6" w:rsidRPr="00DB251D" w:rsidRDefault="001E1BC0">
      <w:pPr>
        <w:pStyle w:val="Heading3"/>
        <w:rPr>
          <w:lang w:val="en-US"/>
        </w:rPr>
      </w:pPr>
      <w:r w:rsidRPr="00DB251D">
        <w:rPr>
          <w:lang w:val="en-US"/>
        </w:rPr>
        <w:lastRenderedPageBreak/>
        <w:t>4.4.3</w:t>
      </w:r>
      <w:r w:rsidRPr="00DB251D">
        <w:rPr>
          <w:lang w:val="en-US"/>
        </w:rPr>
        <w:tab/>
        <w:t>Amateur systems (digital voice, data and multimedia)</w:t>
      </w:r>
    </w:p>
    <w:p w:rsidR="002176F6" w:rsidRPr="00DB251D" w:rsidRDefault="001E1BC0" w:rsidP="00FA01C3">
      <w:pPr>
        <w:spacing w:after="240"/>
        <w:rPr>
          <w:lang w:val="en-US"/>
        </w:rPr>
      </w:pPr>
      <w:r w:rsidRPr="00DB251D">
        <w:rPr>
          <w:lang w:val="en-US"/>
        </w:rPr>
        <w:t xml:space="preserve">Amateur mesh networks, e.g., Broadband </w:t>
      </w:r>
      <w:proofErr w:type="spellStart"/>
      <w:r w:rsidRPr="00DB251D">
        <w:rPr>
          <w:lang w:val="en-US"/>
        </w:rPr>
        <w:t>HamNet</w:t>
      </w:r>
      <w:proofErr w:type="spellEnd"/>
      <w:r w:rsidRPr="00DB251D">
        <w:rPr>
          <w:lang w:val="en-US"/>
        </w:rPr>
        <w:t xml:space="preserve"> (</w:t>
      </w:r>
      <w:proofErr w:type="spellStart"/>
      <w:r w:rsidRPr="00DB251D">
        <w:rPr>
          <w:lang w:val="en-US"/>
        </w:rPr>
        <w:t>BBHN</w:t>
      </w:r>
      <w:proofErr w:type="spellEnd"/>
      <w:r w:rsidRPr="00DB251D">
        <w:rPr>
          <w:lang w:val="en-US"/>
        </w:rPr>
        <w:t xml:space="preserve">) systems, are implemented within the 5 725 to 5 875 MHz range shared with ISM users. However, in 5 760 to 5 765 MHz, narrowband weak signal terrestrial and </w:t>
      </w:r>
      <w:proofErr w:type="spellStart"/>
      <w:r w:rsidRPr="00DB251D">
        <w:rPr>
          <w:lang w:val="en-US"/>
        </w:rPr>
        <w:t>EME</w:t>
      </w:r>
      <w:proofErr w:type="spellEnd"/>
      <w:r w:rsidRPr="00DB251D">
        <w:rPr>
          <w:lang w:val="en-US"/>
        </w:rPr>
        <w:t xml:space="preserve"> operation is given priority.</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tblGrid>
      <w:tr w:rsidR="002176F6" w:rsidRPr="00DB251D">
        <w:trPr>
          <w:gridAfter w:val="1"/>
          <w:wAfter w:w="1418" w:type="dxa"/>
          <w:jc w:val="center"/>
        </w:trPr>
        <w:tc>
          <w:tcPr>
            <w:tcW w:w="3402" w:type="dxa"/>
          </w:tcPr>
          <w:p w:rsidR="002176F6" w:rsidRPr="00DB251D" w:rsidRDefault="001E1BC0" w:rsidP="00FA01C3">
            <w:pPr>
              <w:pStyle w:val="Tablehead"/>
              <w:rPr>
                <w:snapToGrid w:val="0"/>
                <w:lang w:val="en-US"/>
              </w:rPr>
            </w:pPr>
            <w:r w:rsidRPr="00DB251D">
              <w:rPr>
                <w:snapToGrid w:val="0"/>
                <w:lang w:val="en-US"/>
              </w:rPr>
              <w:t>Parameter</w:t>
            </w:r>
          </w:p>
        </w:tc>
      </w:tr>
      <w:tr w:rsidR="002176F6" w:rsidRPr="00DB251D">
        <w:trPr>
          <w:jc w:val="center"/>
        </w:trPr>
        <w:tc>
          <w:tcPr>
            <w:tcW w:w="3402" w:type="dxa"/>
          </w:tcPr>
          <w:p w:rsidR="002176F6" w:rsidRPr="00DB251D" w:rsidRDefault="001E1BC0">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Necessary bandwidth and emission class designator</w:t>
            </w:r>
          </w:p>
        </w:tc>
        <w:tc>
          <w:tcPr>
            <w:tcW w:w="1418" w:type="dxa"/>
          </w:tcPr>
          <w:p w:rsidR="002176F6" w:rsidRPr="00DB251D" w:rsidRDefault="001E1BC0">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u w:val="single"/>
                <w:lang w:val="en-US"/>
              </w:rPr>
            </w:pPr>
            <w:proofErr w:type="spellStart"/>
            <w:r w:rsidRPr="00DB251D">
              <w:rPr>
                <w:snapToGrid w:val="0"/>
                <w:lang w:val="en-US"/>
              </w:rPr>
              <w:t>2K70G1D</w:t>
            </w:r>
            <w:proofErr w:type="spellEnd"/>
            <w:r w:rsidRPr="00DB251D">
              <w:rPr>
                <w:snapToGrid w:val="0"/>
                <w:lang w:val="en-US"/>
              </w:rPr>
              <w:br/>
            </w:r>
            <w:proofErr w:type="spellStart"/>
            <w:r w:rsidRPr="00DB251D">
              <w:rPr>
                <w:snapToGrid w:val="0"/>
                <w:lang w:val="en-US"/>
              </w:rPr>
              <w:t>6K00F7D</w:t>
            </w:r>
            <w:proofErr w:type="spellEnd"/>
            <w:r w:rsidRPr="00DB251D">
              <w:rPr>
                <w:snapToGrid w:val="0"/>
                <w:lang w:val="en-US"/>
              </w:rPr>
              <w:br/>
            </w:r>
            <w:proofErr w:type="spellStart"/>
            <w:r w:rsidRPr="00DB251D">
              <w:rPr>
                <w:snapToGrid w:val="0"/>
                <w:lang w:val="en-US"/>
              </w:rPr>
              <w:t>16K0D1D</w:t>
            </w:r>
            <w:proofErr w:type="spellEnd"/>
            <w:r w:rsidRPr="00DB251D">
              <w:rPr>
                <w:snapToGrid w:val="0"/>
                <w:lang w:val="en-US"/>
              </w:rPr>
              <w:br/>
            </w:r>
            <w:proofErr w:type="spellStart"/>
            <w:r w:rsidRPr="00DB251D">
              <w:rPr>
                <w:snapToGrid w:val="0"/>
                <w:lang w:val="en-US"/>
              </w:rPr>
              <w:t>150KF1W</w:t>
            </w:r>
            <w:proofErr w:type="spellEnd"/>
            <w:r w:rsidRPr="00DB251D">
              <w:rPr>
                <w:snapToGrid w:val="0"/>
                <w:lang w:val="en-US"/>
              </w:rPr>
              <w:br/>
            </w:r>
            <w:proofErr w:type="spellStart"/>
            <w:r w:rsidRPr="00DB251D">
              <w:rPr>
                <w:snapToGrid w:val="0"/>
                <w:lang w:val="en-US"/>
              </w:rPr>
              <w:t>10M5G7W</w:t>
            </w:r>
            <w:proofErr w:type="spellEnd"/>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color w:val="000000"/>
                <w:lang w:val="en-US"/>
              </w:rPr>
              <w:t>Transmitter power (</w:t>
            </w:r>
            <w:proofErr w:type="spellStart"/>
            <w:r w:rsidRPr="00DB251D">
              <w:rPr>
                <w:snapToGrid w:val="0"/>
                <w:color w:val="000000"/>
                <w:lang w:val="en-US"/>
              </w:rPr>
              <w:t>dBW</w:t>
            </w:r>
            <w:proofErr w:type="spellEnd"/>
            <w:r w:rsidRPr="00DB251D">
              <w:rPr>
                <w:snapToGrid w:val="0"/>
                <w:color w:val="000000"/>
                <w:lang w:val="en-US"/>
              </w:rPr>
              <w:t>)</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DB251D">
              <w:rPr>
                <w:snapToGrid w:val="0"/>
                <w:lang w:val="en-US"/>
              </w:rPr>
              <w:t>3 to 20</w:t>
            </w:r>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Feeder loss (dB)</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DB251D">
              <w:rPr>
                <w:snapToGrid w:val="0"/>
                <w:lang w:val="en-US"/>
              </w:rPr>
              <w:t>1 to 6</w:t>
            </w:r>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Transmitting antenna gain (</w:t>
            </w:r>
            <w:proofErr w:type="spellStart"/>
            <w:r w:rsidRPr="00DB251D">
              <w:rPr>
                <w:snapToGrid w:val="0"/>
                <w:lang w:val="en-US"/>
              </w:rPr>
              <w:t>dBi</w:t>
            </w:r>
            <w:proofErr w:type="spellEnd"/>
            <w:r w:rsidRPr="00DB251D">
              <w:rPr>
                <w:snapToGrid w:val="0"/>
                <w:lang w:val="en-US"/>
              </w:rPr>
              <w:t>)</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n-US"/>
              </w:rPr>
            </w:pPr>
            <w:r w:rsidRPr="00DB251D">
              <w:rPr>
                <w:snapToGrid w:val="0"/>
                <w:lang w:val="en-US"/>
              </w:rPr>
              <w:t>10 to 42</w:t>
            </w:r>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 xml:space="preserve">Typical </w:t>
            </w:r>
            <w:proofErr w:type="spellStart"/>
            <w:r w:rsidRPr="00DB251D">
              <w:rPr>
                <w:snapToGrid w:val="0"/>
                <w:lang w:val="en-US"/>
              </w:rPr>
              <w:t>e.i.r.p</w:t>
            </w:r>
            <w:proofErr w:type="spellEnd"/>
            <w:r w:rsidRPr="00DB251D">
              <w:rPr>
                <w:snapToGrid w:val="0"/>
                <w:lang w:val="en-US"/>
              </w:rPr>
              <w:t>. (</w:t>
            </w:r>
            <w:proofErr w:type="spellStart"/>
            <w:r w:rsidRPr="00DB251D">
              <w:rPr>
                <w:snapToGrid w:val="0"/>
                <w:lang w:val="en-US"/>
              </w:rPr>
              <w:t>dBW</w:t>
            </w:r>
            <w:proofErr w:type="spellEnd"/>
            <w:r w:rsidRPr="00DB251D">
              <w:rPr>
                <w:snapToGrid w:val="0"/>
                <w:lang w:val="en-US"/>
              </w:rPr>
              <w:t>)</w:t>
            </w:r>
            <w:r w:rsidRPr="00DB251D">
              <w:rPr>
                <w:snapToGrid w:val="0"/>
                <w:vertAlign w:val="superscript"/>
                <w:lang w:val="en-US"/>
              </w:rPr>
              <w:t xml:space="preserve"> </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n-US"/>
              </w:rPr>
            </w:pPr>
            <w:r w:rsidRPr="00DB251D">
              <w:rPr>
                <w:snapToGrid w:val="0"/>
                <w:lang w:val="en-US"/>
              </w:rPr>
              <w:t>1 to 45</w:t>
            </w:r>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Antenna polarization</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n-US"/>
              </w:rPr>
            </w:pPr>
            <w:r w:rsidRPr="00DB251D">
              <w:rPr>
                <w:snapToGrid w:val="0"/>
                <w:lang w:val="en-US"/>
              </w:rPr>
              <w:t>Horizontal, vertical</w:t>
            </w:r>
          </w:p>
        </w:tc>
      </w:tr>
      <w:tr w:rsidR="002176F6" w:rsidRPr="00DB251D">
        <w:trPr>
          <w:jc w:val="center"/>
        </w:trPr>
        <w:tc>
          <w:tcPr>
            <w:tcW w:w="3402"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snapToGrid w:val="0"/>
                <w:lang w:val="en-US"/>
              </w:rPr>
            </w:pPr>
            <w:r w:rsidRPr="00DB251D">
              <w:rPr>
                <w:snapToGrid w:val="0"/>
                <w:lang w:val="en-US"/>
              </w:rPr>
              <w:t>Receiver noise figure (dB)</w:t>
            </w:r>
          </w:p>
        </w:tc>
        <w:tc>
          <w:tcPr>
            <w:tcW w:w="1418" w:type="dxa"/>
          </w:tcPr>
          <w:p w:rsidR="002176F6" w:rsidRPr="00DB251D" w:rsidRDefault="001E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n-US"/>
              </w:rPr>
            </w:pPr>
            <w:r w:rsidRPr="00DB251D">
              <w:rPr>
                <w:snapToGrid w:val="0"/>
                <w:lang w:val="en-US"/>
              </w:rPr>
              <w:t>0.5 to 1</w:t>
            </w:r>
          </w:p>
        </w:tc>
      </w:tr>
    </w:tbl>
    <w:p w:rsidR="002176F6" w:rsidRPr="00DB251D" w:rsidRDefault="002176F6" w:rsidP="00FA01C3">
      <w:pPr>
        <w:pStyle w:val="Tablefin"/>
        <w:rPr>
          <w:lang w:val="en-US"/>
        </w:rPr>
      </w:pPr>
    </w:p>
    <w:p w:rsidR="002176F6" w:rsidRPr="00DB251D" w:rsidRDefault="001E1BC0" w:rsidP="00FA01C3">
      <w:pPr>
        <w:rPr>
          <w:szCs w:val="24"/>
          <w:lang w:val="en-US"/>
        </w:rPr>
      </w:pPr>
      <w:r w:rsidRPr="00DB251D">
        <w:rPr>
          <w:lang w:val="en-US" w:eastAsia="zh-CN"/>
        </w:rPr>
        <w:t>Receiver bandwidths, as indicated in the emission class designators, range from 2.7 </w:t>
      </w:r>
      <w:proofErr w:type="gramStart"/>
      <w:r w:rsidRPr="00DB251D">
        <w:rPr>
          <w:lang w:val="en-US" w:eastAsia="zh-CN"/>
        </w:rPr>
        <w:t>kHz</w:t>
      </w:r>
      <w:proofErr w:type="gramEnd"/>
      <w:r w:rsidRPr="00DB251D">
        <w:rPr>
          <w:lang w:val="en-US" w:eastAsia="zh-CN"/>
        </w:rPr>
        <w:t xml:space="preserve"> to 10 </w:t>
      </w:r>
      <w:proofErr w:type="spellStart"/>
      <w:r w:rsidRPr="00DB251D">
        <w:rPr>
          <w:lang w:val="en-US" w:eastAsia="zh-CN"/>
        </w:rPr>
        <w:t>MHz.</w:t>
      </w:r>
      <w:proofErr w:type="spellEnd"/>
    </w:p>
    <w:p w:rsidR="002176F6" w:rsidRPr="00DB251D" w:rsidRDefault="001E1BC0">
      <w:pPr>
        <w:pStyle w:val="Heading3"/>
        <w:rPr>
          <w:lang w:val="en-US"/>
        </w:rPr>
      </w:pPr>
      <w:r w:rsidRPr="00DB251D">
        <w:rPr>
          <w:lang w:val="en-US"/>
        </w:rPr>
        <w:t>4.4.4</w:t>
      </w:r>
      <w:r w:rsidRPr="00DB251D">
        <w:rPr>
          <w:lang w:val="en-US"/>
        </w:rPr>
        <w:tab/>
        <w:t>Earth-to-space uplinks for amateur satellites</w:t>
      </w:r>
    </w:p>
    <w:p w:rsidR="002176F6" w:rsidRPr="00DB251D" w:rsidRDefault="001E1BC0" w:rsidP="00FA01C3">
      <w:pPr>
        <w:spacing w:after="240"/>
        <w:rPr>
          <w:lang w:val="en-US" w:eastAsia="zh-CN"/>
        </w:rPr>
      </w:pPr>
      <w:r w:rsidRPr="00DB251D">
        <w:rPr>
          <w:lang w:val="en-US" w:eastAsia="zh-CN"/>
        </w:rPr>
        <w:t>The amateur service allocation in 5 GHz, particularly in 5 760 to 5 765 MHz, is also being considered for uplinks to planned geosynchronous amateur satellites.</w:t>
      </w:r>
    </w:p>
    <w:tbl>
      <w:tblPr>
        <w:tblW w:w="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62"/>
      </w:tblGrid>
      <w:tr w:rsidR="002176F6" w:rsidRPr="00DB251D">
        <w:trPr>
          <w:gridAfter w:val="1"/>
          <w:wAfter w:w="2162" w:type="dxa"/>
          <w:trHeight w:val="361"/>
          <w:jc w:val="center"/>
        </w:trPr>
        <w:tc>
          <w:tcPr>
            <w:tcW w:w="3402" w:type="dxa"/>
          </w:tcPr>
          <w:p w:rsidR="002176F6" w:rsidRPr="00DB251D" w:rsidRDefault="001E1BC0" w:rsidP="00854A11">
            <w:pPr>
              <w:pStyle w:val="Tablehead"/>
              <w:rPr>
                <w:snapToGrid w:val="0"/>
                <w:lang w:val="en-US"/>
              </w:rPr>
            </w:pPr>
            <w:r w:rsidRPr="00DB251D">
              <w:rPr>
                <w:snapToGrid w:val="0"/>
                <w:lang w:val="en-US"/>
              </w:rPr>
              <w:t>Parameter</w:t>
            </w:r>
          </w:p>
        </w:tc>
      </w:tr>
      <w:tr w:rsidR="002176F6" w:rsidRPr="00DB251D">
        <w:trPr>
          <w:trHeight w:val="2280"/>
          <w:jc w:val="center"/>
        </w:trPr>
        <w:tc>
          <w:tcPr>
            <w:tcW w:w="3402" w:type="dxa"/>
          </w:tcPr>
          <w:p w:rsidR="002176F6" w:rsidRPr="00DB251D" w:rsidRDefault="001E1BC0" w:rsidP="00FA01C3">
            <w:pPr>
              <w:pStyle w:val="Tabletext"/>
              <w:rPr>
                <w:snapToGrid w:val="0"/>
                <w:lang w:val="en-US"/>
              </w:rPr>
            </w:pPr>
            <w:r w:rsidRPr="00DB251D">
              <w:rPr>
                <w:snapToGrid w:val="0"/>
                <w:lang w:val="en-US"/>
              </w:rPr>
              <w:t xml:space="preserve">Necessary bandwidth and class of </w:t>
            </w:r>
            <w:r w:rsidRPr="00DB251D">
              <w:rPr>
                <w:snapToGrid w:val="0"/>
                <w:lang w:val="en-US"/>
              </w:rPr>
              <w:br/>
              <w:t xml:space="preserve">emission (emission designator) </w:t>
            </w:r>
          </w:p>
        </w:tc>
        <w:tc>
          <w:tcPr>
            <w:tcW w:w="2162" w:type="dxa"/>
          </w:tcPr>
          <w:p w:rsidR="002176F6" w:rsidRPr="00237057" w:rsidRDefault="001E1BC0">
            <w:pPr>
              <w:pStyle w:val="Tabletext"/>
              <w:jc w:val="center"/>
              <w:rPr>
                <w:snapToGrid w:val="0"/>
                <w:lang w:val="es-ES_tradnl"/>
              </w:rPr>
            </w:pPr>
            <w:r w:rsidRPr="00237057">
              <w:rPr>
                <w:snapToGrid w:val="0"/>
                <w:lang w:val="es-ES_tradnl"/>
              </w:rPr>
              <w:t>150HA1A</w:t>
            </w:r>
            <w:r w:rsidRPr="00237057">
              <w:rPr>
                <w:snapToGrid w:val="0"/>
                <w:lang w:val="es-ES_tradnl"/>
              </w:rPr>
              <w:br/>
              <w:t>150HJ2A</w:t>
            </w:r>
          </w:p>
          <w:p w:rsidR="002176F6" w:rsidRPr="00237057" w:rsidRDefault="001E1BC0">
            <w:pPr>
              <w:pStyle w:val="Tabletext"/>
              <w:jc w:val="center"/>
              <w:rPr>
                <w:snapToGrid w:val="0"/>
                <w:lang w:val="es-ES_tradnl"/>
              </w:rPr>
            </w:pPr>
            <w:r w:rsidRPr="00237057">
              <w:rPr>
                <w:snapToGrid w:val="0"/>
                <w:lang w:val="es-ES_tradnl"/>
              </w:rPr>
              <w:t>2K70J3E</w:t>
            </w:r>
            <w:r w:rsidRPr="00237057">
              <w:rPr>
                <w:snapToGrid w:val="0"/>
                <w:lang w:val="es-ES_tradnl"/>
              </w:rPr>
              <w:br/>
              <w:t>2K70J2E</w:t>
            </w:r>
            <w:r w:rsidRPr="00237057">
              <w:rPr>
                <w:snapToGrid w:val="0"/>
                <w:lang w:val="es-ES_tradnl"/>
              </w:rPr>
              <w:br/>
              <w:t>16K0F3E</w:t>
            </w:r>
            <w:r w:rsidRPr="00237057">
              <w:rPr>
                <w:snapToGrid w:val="0"/>
                <w:lang w:val="es-ES_tradnl"/>
              </w:rPr>
              <w:br/>
              <w:t>44K2F1D</w:t>
            </w:r>
          </w:p>
          <w:p w:rsidR="002176F6" w:rsidRPr="00DB251D" w:rsidRDefault="001E1BC0">
            <w:pPr>
              <w:pStyle w:val="Tabletext"/>
              <w:jc w:val="center"/>
              <w:rPr>
                <w:snapToGrid w:val="0"/>
                <w:lang w:val="en-US"/>
              </w:rPr>
            </w:pPr>
            <w:proofErr w:type="spellStart"/>
            <w:r w:rsidRPr="00DB251D">
              <w:rPr>
                <w:snapToGrid w:val="0"/>
                <w:lang w:val="en-US"/>
              </w:rPr>
              <w:t>88K3F1D</w:t>
            </w:r>
            <w:proofErr w:type="spellEnd"/>
            <w:r w:rsidRPr="00DB251D">
              <w:rPr>
                <w:snapToGrid w:val="0"/>
                <w:lang w:val="en-US"/>
              </w:rPr>
              <w:br/>
            </w:r>
            <w:proofErr w:type="spellStart"/>
            <w:r w:rsidRPr="00DB251D">
              <w:rPr>
                <w:snapToGrid w:val="0"/>
                <w:lang w:val="en-US"/>
              </w:rPr>
              <w:t>350KF1D</w:t>
            </w:r>
            <w:proofErr w:type="spellEnd"/>
            <w:r w:rsidRPr="00DB251D">
              <w:rPr>
                <w:snapToGrid w:val="0"/>
                <w:lang w:val="en-US"/>
              </w:rPr>
              <w:br/>
            </w:r>
            <w:proofErr w:type="spellStart"/>
            <w:r w:rsidRPr="00DB251D">
              <w:rPr>
                <w:snapToGrid w:val="0"/>
                <w:lang w:val="en-US"/>
              </w:rPr>
              <w:t>10M0G7W</w:t>
            </w:r>
            <w:proofErr w:type="spellEnd"/>
          </w:p>
        </w:tc>
      </w:tr>
      <w:tr w:rsidR="002176F6" w:rsidRPr="00DB251D">
        <w:trPr>
          <w:jc w:val="center"/>
        </w:trPr>
        <w:tc>
          <w:tcPr>
            <w:tcW w:w="3402" w:type="dxa"/>
          </w:tcPr>
          <w:p w:rsidR="002176F6" w:rsidRPr="00DB251D" w:rsidRDefault="001E1BC0">
            <w:pPr>
              <w:pStyle w:val="Tabletext"/>
              <w:rPr>
                <w:snapToGrid w:val="0"/>
                <w:lang w:val="en-US"/>
              </w:rPr>
            </w:pPr>
            <w:r w:rsidRPr="00DB251D">
              <w:rPr>
                <w:snapToGrid w:val="0"/>
                <w:lang w:val="en-US"/>
              </w:rPr>
              <w:t>Transmitter power (</w:t>
            </w:r>
            <w:proofErr w:type="spellStart"/>
            <w:r w:rsidRPr="00DB251D">
              <w:rPr>
                <w:snapToGrid w:val="0"/>
                <w:lang w:val="en-US"/>
              </w:rPr>
              <w:t>dBW</w:t>
            </w:r>
            <w:proofErr w:type="spellEnd"/>
            <w:r w:rsidRPr="00DB251D">
              <w:rPr>
                <w:snapToGrid w:val="0"/>
                <w:lang w:val="en-US"/>
              </w:rPr>
              <w:t>)</w:t>
            </w:r>
          </w:p>
        </w:tc>
        <w:tc>
          <w:tcPr>
            <w:tcW w:w="2162" w:type="dxa"/>
          </w:tcPr>
          <w:p w:rsidR="002176F6" w:rsidRPr="00DB251D" w:rsidRDefault="001E1BC0">
            <w:pPr>
              <w:pStyle w:val="Tabletext"/>
              <w:jc w:val="center"/>
              <w:rPr>
                <w:snapToGrid w:val="0"/>
                <w:lang w:val="en-US"/>
              </w:rPr>
            </w:pPr>
            <w:r w:rsidRPr="00DB251D">
              <w:rPr>
                <w:snapToGrid w:val="0"/>
                <w:lang w:val="en-US"/>
              </w:rPr>
              <w:t>3 to 20</w:t>
            </w:r>
          </w:p>
        </w:tc>
      </w:tr>
      <w:tr w:rsidR="002176F6" w:rsidRPr="00DB251D">
        <w:trPr>
          <w:jc w:val="center"/>
        </w:trPr>
        <w:tc>
          <w:tcPr>
            <w:tcW w:w="3402" w:type="dxa"/>
          </w:tcPr>
          <w:p w:rsidR="002176F6" w:rsidRPr="00DB251D" w:rsidRDefault="001E1BC0">
            <w:pPr>
              <w:pStyle w:val="Tabletext"/>
              <w:rPr>
                <w:snapToGrid w:val="0"/>
                <w:lang w:val="en-US"/>
              </w:rPr>
            </w:pPr>
            <w:r w:rsidRPr="00DB251D">
              <w:rPr>
                <w:snapToGrid w:val="0"/>
                <w:lang w:val="en-US"/>
              </w:rPr>
              <w:t>Feeder loss (dB)</w:t>
            </w:r>
          </w:p>
        </w:tc>
        <w:tc>
          <w:tcPr>
            <w:tcW w:w="2162" w:type="dxa"/>
          </w:tcPr>
          <w:p w:rsidR="002176F6" w:rsidRPr="00DB251D" w:rsidRDefault="001E1BC0">
            <w:pPr>
              <w:pStyle w:val="Tabletext"/>
              <w:jc w:val="center"/>
              <w:rPr>
                <w:snapToGrid w:val="0"/>
                <w:u w:val="single"/>
                <w:lang w:val="en-US"/>
              </w:rPr>
            </w:pPr>
            <w:r w:rsidRPr="00DB251D">
              <w:rPr>
                <w:snapToGrid w:val="0"/>
                <w:lang w:val="en-US"/>
              </w:rPr>
              <w:t>1 to 10</w:t>
            </w:r>
          </w:p>
        </w:tc>
      </w:tr>
      <w:tr w:rsidR="002176F6" w:rsidRPr="00DB251D">
        <w:trPr>
          <w:jc w:val="center"/>
        </w:trPr>
        <w:tc>
          <w:tcPr>
            <w:tcW w:w="3402" w:type="dxa"/>
          </w:tcPr>
          <w:p w:rsidR="002176F6" w:rsidRPr="00DB251D" w:rsidRDefault="001E1BC0">
            <w:pPr>
              <w:pStyle w:val="Tabletext"/>
              <w:rPr>
                <w:snapToGrid w:val="0"/>
                <w:lang w:val="en-US"/>
              </w:rPr>
            </w:pPr>
            <w:r w:rsidRPr="00DB251D">
              <w:rPr>
                <w:snapToGrid w:val="0"/>
                <w:lang w:val="en-US"/>
              </w:rPr>
              <w:t>Transmitting antenna gain (</w:t>
            </w:r>
            <w:proofErr w:type="spellStart"/>
            <w:r w:rsidRPr="00DB251D">
              <w:rPr>
                <w:snapToGrid w:val="0"/>
                <w:lang w:val="en-US"/>
              </w:rPr>
              <w:t>dBi</w:t>
            </w:r>
            <w:proofErr w:type="spellEnd"/>
            <w:r w:rsidRPr="00DB251D">
              <w:rPr>
                <w:snapToGrid w:val="0"/>
                <w:lang w:val="en-US"/>
              </w:rPr>
              <w:t>)</w:t>
            </w:r>
          </w:p>
        </w:tc>
        <w:tc>
          <w:tcPr>
            <w:tcW w:w="2162" w:type="dxa"/>
          </w:tcPr>
          <w:p w:rsidR="002176F6" w:rsidRPr="00DB251D" w:rsidRDefault="001E1BC0">
            <w:pPr>
              <w:pStyle w:val="Tabletext"/>
              <w:jc w:val="center"/>
              <w:rPr>
                <w:snapToGrid w:val="0"/>
                <w:lang w:val="en-US"/>
              </w:rPr>
            </w:pPr>
            <w:r w:rsidRPr="00DB251D">
              <w:rPr>
                <w:snapToGrid w:val="0"/>
                <w:lang w:val="en-US"/>
              </w:rPr>
              <w:t>10 to 42</w:t>
            </w:r>
          </w:p>
        </w:tc>
      </w:tr>
      <w:tr w:rsidR="002176F6" w:rsidRPr="00DB251D">
        <w:trPr>
          <w:jc w:val="center"/>
        </w:trPr>
        <w:tc>
          <w:tcPr>
            <w:tcW w:w="3402" w:type="dxa"/>
          </w:tcPr>
          <w:p w:rsidR="002176F6" w:rsidRPr="00DB251D" w:rsidRDefault="001E1BC0">
            <w:pPr>
              <w:pStyle w:val="Tabletext"/>
              <w:rPr>
                <w:snapToGrid w:val="0"/>
                <w:lang w:val="en-US"/>
              </w:rPr>
            </w:pPr>
            <w:r w:rsidRPr="00DB251D">
              <w:rPr>
                <w:snapToGrid w:val="0"/>
                <w:lang w:val="en-US"/>
              </w:rPr>
              <w:t xml:space="preserve">Typical </w:t>
            </w:r>
            <w:proofErr w:type="spellStart"/>
            <w:r w:rsidRPr="00DB251D">
              <w:rPr>
                <w:snapToGrid w:val="0"/>
                <w:lang w:val="en-US"/>
              </w:rPr>
              <w:t>e.i.r.p</w:t>
            </w:r>
            <w:proofErr w:type="spellEnd"/>
            <w:r w:rsidRPr="00DB251D">
              <w:rPr>
                <w:snapToGrid w:val="0"/>
                <w:lang w:val="en-US"/>
              </w:rPr>
              <w:t>. (</w:t>
            </w:r>
            <w:proofErr w:type="spellStart"/>
            <w:r w:rsidRPr="00DB251D">
              <w:rPr>
                <w:snapToGrid w:val="0"/>
                <w:lang w:val="en-US"/>
              </w:rPr>
              <w:t>dBW</w:t>
            </w:r>
            <w:proofErr w:type="spellEnd"/>
            <w:r w:rsidRPr="00DB251D">
              <w:rPr>
                <w:snapToGrid w:val="0"/>
                <w:lang w:val="en-US"/>
              </w:rPr>
              <w:t>)</w:t>
            </w:r>
          </w:p>
        </w:tc>
        <w:tc>
          <w:tcPr>
            <w:tcW w:w="2162" w:type="dxa"/>
            <w:shd w:val="clear" w:color="auto" w:fill="auto"/>
          </w:tcPr>
          <w:p w:rsidR="002176F6" w:rsidRPr="00DB251D" w:rsidRDefault="001E1BC0">
            <w:pPr>
              <w:pStyle w:val="Tabletext"/>
              <w:jc w:val="center"/>
              <w:rPr>
                <w:snapToGrid w:val="0"/>
                <w:lang w:val="en-US"/>
              </w:rPr>
            </w:pPr>
            <w:r w:rsidRPr="00DB251D">
              <w:rPr>
                <w:snapToGrid w:val="0"/>
                <w:lang w:val="en-US"/>
              </w:rPr>
              <w:t>3 to 45</w:t>
            </w:r>
          </w:p>
        </w:tc>
      </w:tr>
      <w:tr w:rsidR="002176F6" w:rsidRPr="00DB251D">
        <w:trPr>
          <w:jc w:val="center"/>
        </w:trPr>
        <w:tc>
          <w:tcPr>
            <w:tcW w:w="3402" w:type="dxa"/>
          </w:tcPr>
          <w:p w:rsidR="002176F6" w:rsidRPr="00DB251D" w:rsidRDefault="001E1BC0">
            <w:pPr>
              <w:pStyle w:val="Tabletext"/>
              <w:rPr>
                <w:snapToGrid w:val="0"/>
                <w:lang w:val="en-US"/>
              </w:rPr>
            </w:pPr>
            <w:r w:rsidRPr="00DB251D">
              <w:rPr>
                <w:snapToGrid w:val="0"/>
                <w:lang w:val="en-US"/>
              </w:rPr>
              <w:t>Antenna polarization</w:t>
            </w:r>
          </w:p>
        </w:tc>
        <w:tc>
          <w:tcPr>
            <w:tcW w:w="2162" w:type="dxa"/>
          </w:tcPr>
          <w:p w:rsidR="002176F6" w:rsidRPr="00DB251D" w:rsidRDefault="001E1BC0">
            <w:pPr>
              <w:pStyle w:val="Tabletext"/>
              <w:jc w:val="center"/>
              <w:rPr>
                <w:snapToGrid w:val="0"/>
                <w:lang w:val="en-US"/>
              </w:rPr>
            </w:pPr>
            <w:r w:rsidRPr="00DB251D">
              <w:rPr>
                <w:snapToGrid w:val="0"/>
                <w:lang w:val="en-US"/>
              </w:rPr>
              <w:t xml:space="preserve">Horizontal, vertical, </w:t>
            </w:r>
            <w:proofErr w:type="spellStart"/>
            <w:r w:rsidRPr="00DB251D">
              <w:rPr>
                <w:snapToGrid w:val="0"/>
                <w:lang w:val="en-US"/>
              </w:rPr>
              <w:t>RHCP</w:t>
            </w:r>
            <w:proofErr w:type="spellEnd"/>
            <w:r w:rsidRPr="00DB251D">
              <w:rPr>
                <w:snapToGrid w:val="0"/>
                <w:lang w:val="en-US"/>
              </w:rPr>
              <w:t xml:space="preserve">, </w:t>
            </w:r>
            <w:proofErr w:type="spellStart"/>
            <w:r w:rsidRPr="00DB251D">
              <w:rPr>
                <w:snapToGrid w:val="0"/>
                <w:lang w:val="en-US"/>
              </w:rPr>
              <w:t>LHCP</w:t>
            </w:r>
            <w:proofErr w:type="spellEnd"/>
          </w:p>
        </w:tc>
      </w:tr>
      <w:tr w:rsidR="002176F6" w:rsidRPr="00DB251D">
        <w:trPr>
          <w:jc w:val="center"/>
        </w:trPr>
        <w:tc>
          <w:tcPr>
            <w:tcW w:w="3402" w:type="dxa"/>
          </w:tcPr>
          <w:p w:rsidR="002176F6" w:rsidRPr="00237057" w:rsidRDefault="001E1BC0">
            <w:pPr>
              <w:pStyle w:val="Tabletext"/>
              <w:rPr>
                <w:snapToGrid w:val="0"/>
                <w:lang w:val="fr-CH"/>
              </w:rPr>
            </w:pPr>
            <w:r w:rsidRPr="00237057">
              <w:rPr>
                <w:snapToGrid w:val="0"/>
                <w:lang w:val="fr-CH"/>
              </w:rPr>
              <w:t>Satellite receiver noise figure (dB)</w:t>
            </w:r>
          </w:p>
        </w:tc>
        <w:tc>
          <w:tcPr>
            <w:tcW w:w="2162" w:type="dxa"/>
          </w:tcPr>
          <w:p w:rsidR="002176F6" w:rsidRPr="00DB251D" w:rsidRDefault="001E1BC0">
            <w:pPr>
              <w:pStyle w:val="Tabletext"/>
              <w:jc w:val="center"/>
              <w:rPr>
                <w:snapToGrid w:val="0"/>
                <w:lang w:val="en-US"/>
              </w:rPr>
            </w:pPr>
            <w:r w:rsidRPr="00DB251D">
              <w:rPr>
                <w:snapToGrid w:val="0"/>
                <w:lang w:val="en-US"/>
              </w:rPr>
              <w:t>1 to 3</w:t>
            </w:r>
          </w:p>
        </w:tc>
      </w:tr>
    </w:tbl>
    <w:p w:rsidR="002176F6" w:rsidRPr="00DB251D" w:rsidRDefault="002176F6" w:rsidP="00854A11">
      <w:pPr>
        <w:pStyle w:val="Tablefin"/>
        <w:rPr>
          <w:lang w:val="en-US"/>
        </w:rPr>
      </w:pPr>
    </w:p>
    <w:p w:rsidR="002176F6" w:rsidRPr="00DB251D" w:rsidRDefault="001E1BC0" w:rsidP="00854A11">
      <w:pPr>
        <w:rPr>
          <w:lang w:val="en-US" w:eastAsia="zh-CN"/>
        </w:rPr>
      </w:pPr>
      <w:r w:rsidRPr="00DB251D">
        <w:rPr>
          <w:lang w:val="en-US"/>
        </w:rPr>
        <w:t xml:space="preserve">The receiver bandwidth of an amateur radio satellite is usually as wide as its uplink frequency band unless the transponder is equipped for demodulation and re-modulation. However, the required signal bandwidths, </w:t>
      </w:r>
      <w:r w:rsidRPr="00DB251D">
        <w:rPr>
          <w:lang w:val="en-US" w:eastAsia="zh-CN"/>
        </w:rPr>
        <w:t xml:space="preserve">as indicated in the emission class designators, range from 150 Hz to 10 </w:t>
      </w:r>
      <w:proofErr w:type="spellStart"/>
      <w:r w:rsidRPr="00DB251D">
        <w:rPr>
          <w:lang w:val="en-US" w:eastAsia="zh-CN"/>
        </w:rPr>
        <w:t>MHz.</w:t>
      </w:r>
      <w:proofErr w:type="spellEnd"/>
    </w:p>
    <w:p w:rsidR="002176F6" w:rsidRPr="00DB251D" w:rsidRDefault="001E1BC0" w:rsidP="00854A11">
      <w:pPr>
        <w:pStyle w:val="Heading1"/>
        <w:rPr>
          <w:lang w:val="en-US"/>
        </w:rPr>
      </w:pPr>
      <w:r w:rsidRPr="00DB251D">
        <w:rPr>
          <w:lang w:val="en-US"/>
        </w:rPr>
        <w:lastRenderedPageBreak/>
        <w:t>5</w:t>
      </w:r>
      <w:r w:rsidRPr="00DB251D">
        <w:rPr>
          <w:lang w:val="en-US"/>
        </w:rPr>
        <w:tab/>
        <w:t>Sharing studies per service</w:t>
      </w:r>
    </w:p>
    <w:p w:rsidR="002176F6" w:rsidRPr="00DB251D" w:rsidRDefault="001E1BC0" w:rsidP="00854A11">
      <w:pPr>
        <w:pStyle w:val="Heading2"/>
        <w:rPr>
          <w:shd w:val="clear" w:color="auto" w:fill="FFFFFF"/>
          <w:lang w:val="en-US"/>
        </w:rPr>
      </w:pPr>
      <w:r w:rsidRPr="00DB251D">
        <w:rPr>
          <w:shd w:val="clear" w:color="auto" w:fill="FFFFFF"/>
          <w:lang w:val="en-US"/>
        </w:rPr>
        <w:t>5.1</w:t>
      </w:r>
      <w:r w:rsidRPr="00DB251D">
        <w:rPr>
          <w:shd w:val="clear" w:color="auto" w:fill="FFFFFF"/>
          <w:lang w:val="en-US"/>
        </w:rPr>
        <w:tab/>
        <w:t>Sharing and compatibility of Fixed Service versus WAS/</w:t>
      </w:r>
      <w:proofErr w:type="spellStart"/>
      <w:r w:rsidRPr="00DB251D">
        <w:rPr>
          <w:shd w:val="clear" w:color="auto" w:fill="FFFFFF"/>
          <w:lang w:val="en-US"/>
        </w:rPr>
        <w:t>RLAN</w:t>
      </w:r>
      <w:proofErr w:type="spellEnd"/>
      <w:r w:rsidRPr="00DB251D">
        <w:rPr>
          <w:shd w:val="clear" w:color="auto" w:fill="FFFFFF"/>
          <w:lang w:val="en-US"/>
        </w:rPr>
        <w:t xml:space="preserve"> in the 5 850</w:t>
      </w:r>
      <w:r w:rsidRPr="00DB251D">
        <w:rPr>
          <w:shd w:val="clear" w:color="auto" w:fill="FFFFFF"/>
          <w:lang w:val="en-US"/>
        </w:rPr>
        <w:noBreakHyphen/>
        <w:t>5 925 MHz</w:t>
      </w:r>
    </w:p>
    <w:p w:rsidR="002176F6" w:rsidRPr="00DB251D" w:rsidRDefault="001E1BC0" w:rsidP="00854A11">
      <w:pPr>
        <w:rPr>
          <w:i/>
          <w:iCs/>
          <w:shd w:val="clear" w:color="auto" w:fill="FFFFFF"/>
          <w:lang w:val="en-US"/>
        </w:rPr>
      </w:pPr>
      <w:r w:rsidRPr="00DB251D">
        <w:rPr>
          <w:i/>
          <w:iCs/>
          <w:lang w:val="en-US"/>
        </w:rPr>
        <w:t>[TBD]</w:t>
      </w:r>
    </w:p>
    <w:p w:rsidR="002176F6" w:rsidRPr="00DB251D" w:rsidRDefault="001E1BC0" w:rsidP="00854A11">
      <w:pPr>
        <w:pStyle w:val="Heading2"/>
        <w:rPr>
          <w:shd w:val="clear" w:color="auto" w:fill="FFFFFF"/>
          <w:lang w:val="en-US"/>
        </w:rPr>
      </w:pPr>
      <w:r w:rsidRPr="00DB251D">
        <w:rPr>
          <w:shd w:val="clear" w:color="auto" w:fill="FFFFFF"/>
          <w:lang w:val="en-US"/>
        </w:rPr>
        <w:t>5.2</w:t>
      </w:r>
      <w:r w:rsidRPr="00DB251D">
        <w:rPr>
          <w:shd w:val="clear" w:color="auto" w:fill="FFFFFF"/>
          <w:lang w:val="en-US"/>
        </w:rPr>
        <w:tab/>
        <w:t>Sharing and compatibility of Fixed Satellite Service versus WAS/</w:t>
      </w:r>
      <w:proofErr w:type="spellStart"/>
      <w:r w:rsidRPr="00DB251D">
        <w:rPr>
          <w:shd w:val="clear" w:color="auto" w:fill="FFFFFF"/>
          <w:lang w:val="en-US"/>
        </w:rPr>
        <w:t>RLAN</w:t>
      </w:r>
      <w:proofErr w:type="spellEnd"/>
      <w:r w:rsidRPr="00DB251D">
        <w:rPr>
          <w:shd w:val="clear" w:color="auto" w:fill="FFFFFF"/>
          <w:lang w:val="en-US"/>
        </w:rPr>
        <w:t xml:space="preserve"> in the 5 850</w:t>
      </w:r>
      <w:r w:rsidRPr="00DB251D">
        <w:rPr>
          <w:shd w:val="clear" w:color="auto" w:fill="FFFFFF"/>
          <w:lang w:val="en-US"/>
        </w:rPr>
        <w:noBreakHyphen/>
        <w:t>5 925 MHz</w:t>
      </w:r>
    </w:p>
    <w:p w:rsidR="002176F6" w:rsidRPr="00DB251D" w:rsidRDefault="001E1BC0">
      <w:pPr>
        <w:pStyle w:val="Heading3"/>
        <w:rPr>
          <w:lang w:val="en-US"/>
        </w:rPr>
      </w:pPr>
      <w:r w:rsidRPr="00DB251D">
        <w:rPr>
          <w:lang w:val="en-US"/>
        </w:rPr>
        <w:t>5.2.2</w:t>
      </w:r>
      <w:r w:rsidRPr="00DB251D">
        <w:rPr>
          <w:lang w:val="en-US"/>
        </w:rPr>
        <w:tab/>
        <w:t>Sharing and compatibility in 5 850-5 925 MHz band</w:t>
      </w:r>
    </w:p>
    <w:p w:rsidR="002176F6" w:rsidRPr="00DB251D" w:rsidRDefault="001E1BC0" w:rsidP="00854A11">
      <w:pPr>
        <w:rPr>
          <w:i/>
          <w:iCs/>
          <w:lang w:val="en-US"/>
        </w:rPr>
      </w:pPr>
      <w:r w:rsidRPr="00DB251D">
        <w:rPr>
          <w:i/>
          <w:iCs/>
          <w:lang w:val="en-US"/>
        </w:rPr>
        <w:t>[</w:t>
      </w:r>
      <w:proofErr w:type="spellStart"/>
      <w:r w:rsidRPr="00DB251D">
        <w:rPr>
          <w:i/>
          <w:iCs/>
          <w:lang w:val="en-US"/>
        </w:rPr>
        <w:t>YAHSAT</w:t>
      </w:r>
      <w:proofErr w:type="spellEnd"/>
      <w:r w:rsidRPr="00DB251D">
        <w:rPr>
          <w:rFonts w:eastAsia="Calibri"/>
          <w:i/>
          <w:iCs/>
          <w:lang w:val="en-US" w:eastAsia="es-ES"/>
        </w:rPr>
        <w:t xml:space="preserve"> </w:t>
      </w:r>
      <w:hyperlink r:id="rId22" w:history="1">
        <w:proofErr w:type="spellStart"/>
        <w:r w:rsidR="00854A11" w:rsidRPr="00DB251D">
          <w:rPr>
            <w:rStyle w:val="Hyperlink"/>
            <w:rFonts w:eastAsia="Calibri"/>
            <w:i/>
            <w:iCs/>
            <w:lang w:val="en-US" w:eastAsia="es-ES"/>
          </w:rPr>
          <w:t>5A</w:t>
        </w:r>
        <w:proofErr w:type="spellEnd"/>
        <w:r w:rsidR="00854A11" w:rsidRPr="00DB251D">
          <w:rPr>
            <w:rStyle w:val="Hyperlink"/>
            <w:rFonts w:eastAsia="Calibri"/>
            <w:i/>
            <w:iCs/>
            <w:lang w:val="en-US" w:eastAsia="es-ES"/>
          </w:rPr>
          <w:t>/449</w:t>
        </w:r>
      </w:hyperlink>
      <w:r w:rsidRPr="00DB251D">
        <w:rPr>
          <w:i/>
          <w:iCs/>
          <w:lang w:val="en-US"/>
        </w:rPr>
        <w:t xml:space="preserve">] </w:t>
      </w:r>
    </w:p>
    <w:p w:rsidR="002176F6" w:rsidRPr="00DB251D" w:rsidRDefault="001E1BC0">
      <w:pPr>
        <w:pStyle w:val="enumlev1"/>
        <w:rPr>
          <w:lang w:val="en-US" w:eastAsia="zh-CN"/>
        </w:rPr>
      </w:pPr>
      <w:r w:rsidRPr="00DB251D">
        <w:rPr>
          <w:lang w:val="en-US" w:eastAsia="zh-CN"/>
        </w:rPr>
        <w:t>[Editor’s Note: Further clarification for the text below is needed in the future meetings]</w:t>
      </w:r>
    </w:p>
    <w:p w:rsidR="002176F6" w:rsidRPr="00DB251D" w:rsidRDefault="001E1BC0">
      <w:pPr>
        <w:rPr>
          <w:lang w:val="en-US"/>
        </w:rPr>
      </w:pPr>
      <w:r w:rsidRPr="00DB251D">
        <w:rPr>
          <w:lang w:val="en-US"/>
        </w:rPr>
        <w:t xml:space="preserve">At worldwide level, there may be geographical areas where population densities are higher than in Europe, such as in Africa and Asia. Therefore, densities for </w:t>
      </w:r>
      <w:proofErr w:type="spellStart"/>
      <w:r w:rsidRPr="00DB251D">
        <w:rPr>
          <w:lang w:val="en-US"/>
        </w:rPr>
        <w:t>RLAN</w:t>
      </w:r>
      <w:proofErr w:type="spellEnd"/>
      <w:r w:rsidRPr="00DB251D">
        <w:rPr>
          <w:lang w:val="en-US"/>
        </w:rPr>
        <w:t xml:space="preserve"> access points should take these geographical areas as well in the studies. </w:t>
      </w:r>
    </w:p>
    <w:p w:rsidR="002176F6" w:rsidRPr="00DB251D" w:rsidRDefault="001E1BC0" w:rsidP="00854A11">
      <w:pPr>
        <w:rPr>
          <w:i/>
          <w:iCs/>
          <w:lang w:val="en-US" w:eastAsia="zh-CN"/>
        </w:rPr>
      </w:pPr>
      <w:r w:rsidRPr="00DB251D">
        <w:rPr>
          <w:i/>
          <w:iCs/>
          <w:lang w:val="en-US" w:eastAsia="zh-CN"/>
        </w:rPr>
        <w:t>[LUX</w:t>
      </w:r>
      <w:r w:rsidRPr="00DB251D">
        <w:rPr>
          <w:rFonts w:eastAsia="Calibri"/>
          <w:i/>
          <w:iCs/>
          <w:lang w:val="en-US" w:eastAsia="es-ES"/>
        </w:rPr>
        <w:t xml:space="preserve"> </w:t>
      </w:r>
      <w:hyperlink r:id="rId23" w:history="1">
        <w:proofErr w:type="spellStart"/>
        <w:r w:rsidR="00854A11" w:rsidRPr="00DB251D">
          <w:rPr>
            <w:rStyle w:val="Hyperlink"/>
            <w:rFonts w:eastAsia="Calibri"/>
            <w:i/>
            <w:iCs/>
            <w:lang w:val="en-US" w:eastAsia="es-ES"/>
          </w:rPr>
          <w:t>5A</w:t>
        </w:r>
        <w:proofErr w:type="spellEnd"/>
        <w:r w:rsidR="00854A11" w:rsidRPr="00DB251D">
          <w:rPr>
            <w:rStyle w:val="Hyperlink"/>
            <w:rFonts w:eastAsia="Calibri"/>
            <w:i/>
            <w:iCs/>
            <w:lang w:val="en-US" w:eastAsia="es-ES"/>
          </w:rPr>
          <w:t>/264</w:t>
        </w:r>
      </w:hyperlink>
      <w:r w:rsidRPr="00DB251D">
        <w:rPr>
          <w:i/>
          <w:iCs/>
          <w:lang w:val="en-US" w:eastAsia="zh-CN"/>
        </w:rPr>
        <w:t>]</w:t>
      </w:r>
    </w:p>
    <w:p w:rsidR="002176F6" w:rsidRPr="00DB251D" w:rsidRDefault="001E1BC0" w:rsidP="00854A11">
      <w:pPr>
        <w:rPr>
          <w:lang w:val="en-US"/>
        </w:rPr>
      </w:pPr>
      <w:r w:rsidRPr="00DB251D">
        <w:rPr>
          <w:lang w:val="en-US"/>
        </w:rPr>
        <w:t xml:space="preserve">Studies have been conducted by interested Administrations (for example, within </w:t>
      </w:r>
      <w:proofErr w:type="spellStart"/>
      <w:r w:rsidRPr="00DB251D">
        <w:rPr>
          <w:lang w:val="en-US"/>
        </w:rPr>
        <w:t>CEPT</w:t>
      </w:r>
      <w:proofErr w:type="spellEnd"/>
      <w:r w:rsidRPr="00DB251D">
        <w:rPr>
          <w:lang w:val="en-US"/>
        </w:rPr>
        <w:t xml:space="preserve"> SE 24) to estimate the levels of interference which </w:t>
      </w:r>
      <w:proofErr w:type="spellStart"/>
      <w:r w:rsidRPr="00DB251D">
        <w:rPr>
          <w:lang w:val="en-US"/>
        </w:rPr>
        <w:t>FSS</w:t>
      </w:r>
      <w:proofErr w:type="spellEnd"/>
      <w:r w:rsidRPr="00DB251D">
        <w:rPr>
          <w:lang w:val="en-US"/>
        </w:rPr>
        <w:t xml:space="preserve"> space receivers could absorb without generating a harmful level of interference into </w:t>
      </w:r>
      <w:proofErr w:type="spellStart"/>
      <w:r w:rsidRPr="00DB251D">
        <w:rPr>
          <w:lang w:val="en-US"/>
        </w:rPr>
        <w:t>FSS</w:t>
      </w:r>
      <w:proofErr w:type="spellEnd"/>
      <w:r w:rsidRPr="00DB251D">
        <w:rPr>
          <w:lang w:val="en-US"/>
        </w:rPr>
        <w:t xml:space="preserve"> space receivers. Extracts of such studies are provided in Doc.</w:t>
      </w:r>
      <w:r w:rsidR="00854A11" w:rsidRPr="00DB251D">
        <w:rPr>
          <w:lang w:val="en-US"/>
        </w:rPr>
        <w:t> </w:t>
      </w:r>
      <w:proofErr w:type="spellStart"/>
      <w:r w:rsidR="00E65EC6" w:rsidRPr="00DB251D">
        <w:fldChar w:fldCharType="begin"/>
      </w:r>
      <w:r w:rsidR="00E65EC6" w:rsidRPr="00DB251D">
        <w:rPr>
          <w:lang w:val="en-US"/>
        </w:rPr>
        <w:instrText xml:space="preserve"> HYPERLINK "http://www.itu.int/md/R15-WP5A-C-0246/en" </w:instrText>
      </w:r>
      <w:r w:rsidR="00E65EC6" w:rsidRPr="00DB251D">
        <w:fldChar w:fldCharType="separate"/>
      </w:r>
      <w:r w:rsidRPr="00DB251D">
        <w:rPr>
          <w:rStyle w:val="Hyperlink"/>
          <w:lang w:val="en-US"/>
        </w:rPr>
        <w:t>5A</w:t>
      </w:r>
      <w:proofErr w:type="spellEnd"/>
      <w:r w:rsidRPr="00DB251D">
        <w:rPr>
          <w:rStyle w:val="Hyperlink"/>
          <w:lang w:val="en-US"/>
        </w:rPr>
        <w:t>/246</w:t>
      </w:r>
      <w:r w:rsidR="00E65EC6" w:rsidRPr="00DB251D">
        <w:rPr>
          <w:rStyle w:val="Hyperlink"/>
          <w:lang w:val="en-US"/>
        </w:rPr>
        <w:fldChar w:fldCharType="end"/>
      </w:r>
      <w:r w:rsidRPr="00DB251D">
        <w:rPr>
          <w:lang w:val="en-US"/>
        </w:rPr>
        <w:t xml:space="preserve"> [UK] and included here as Study 2. The general conclusions reached indicate that sharing of WAS/</w:t>
      </w:r>
      <w:proofErr w:type="spellStart"/>
      <w:r w:rsidRPr="00DB251D">
        <w:rPr>
          <w:lang w:val="en-US"/>
        </w:rPr>
        <w:t>RLAN</w:t>
      </w:r>
      <w:proofErr w:type="spellEnd"/>
      <w:r w:rsidRPr="00DB251D">
        <w:rPr>
          <w:lang w:val="en-US"/>
        </w:rPr>
        <w:t xml:space="preserve"> and </w:t>
      </w:r>
      <w:proofErr w:type="spellStart"/>
      <w:r w:rsidRPr="00DB251D">
        <w:rPr>
          <w:lang w:val="en-US"/>
        </w:rPr>
        <w:t>FSS</w:t>
      </w:r>
      <w:proofErr w:type="spellEnd"/>
      <w:r w:rsidRPr="00DB251D">
        <w:rPr>
          <w:lang w:val="en-US"/>
        </w:rPr>
        <w:t xml:space="preserve"> space receivers would be very difficult and additional techniques should be developed to mitigate the risk of harmful interference created by the aggregate interfering signals originated by transmitting WAS/</w:t>
      </w:r>
      <w:proofErr w:type="spellStart"/>
      <w:r w:rsidRPr="00DB251D">
        <w:rPr>
          <w:lang w:val="en-US"/>
        </w:rPr>
        <w:t>RLAN</w:t>
      </w:r>
      <w:proofErr w:type="spellEnd"/>
      <w:r w:rsidRPr="00DB251D">
        <w:rPr>
          <w:lang w:val="en-US"/>
        </w:rPr>
        <w:t xml:space="preserve"> stations. Indeed, the agenda item 1.16 called for studies on suitable mitigation techniques (</w:t>
      </w:r>
      <w:r w:rsidRPr="00DB251D">
        <w:rPr>
          <w:i/>
          <w:iCs/>
          <w:lang w:val="en-US"/>
        </w:rPr>
        <w:t>resolves b)</w:t>
      </w:r>
      <w:r w:rsidRPr="00DB251D">
        <w:rPr>
          <w:lang w:val="en-US"/>
        </w:rPr>
        <w:t>). [At the lack of reliable mitigation techniques which could be implemented at affordable costs for WAS/</w:t>
      </w:r>
      <w:proofErr w:type="spellStart"/>
      <w:r w:rsidRPr="00DB251D">
        <w:rPr>
          <w:lang w:val="en-US"/>
        </w:rPr>
        <w:t>RLAN</w:t>
      </w:r>
      <w:proofErr w:type="spellEnd"/>
      <w:r w:rsidRPr="00DB251D">
        <w:rPr>
          <w:lang w:val="en-US"/>
        </w:rPr>
        <w:t xml:space="preserve"> networks, assumptions on the </w:t>
      </w:r>
      <w:proofErr w:type="spellStart"/>
      <w:r w:rsidRPr="00DB251D">
        <w:rPr>
          <w:lang w:val="en-US"/>
        </w:rPr>
        <w:t>RLAN</w:t>
      </w:r>
      <w:proofErr w:type="spellEnd"/>
      <w:r w:rsidRPr="00DB251D">
        <w:rPr>
          <w:lang w:val="en-US"/>
        </w:rPr>
        <w:t xml:space="preserve"> characteristics are based on Annex 24 of the WP </w:t>
      </w:r>
      <w:proofErr w:type="spellStart"/>
      <w:r w:rsidRPr="00DB251D">
        <w:rPr>
          <w:lang w:val="en-US"/>
        </w:rPr>
        <w:t>5A</w:t>
      </w:r>
      <w:proofErr w:type="spellEnd"/>
      <w:r w:rsidRPr="00DB251D">
        <w:rPr>
          <w:lang w:val="en-US"/>
        </w:rPr>
        <w:t xml:space="preserve"> Chairman´s Report from May 2016 meeting.]</w:t>
      </w:r>
    </w:p>
    <w:p w:rsidR="002176F6" w:rsidRPr="00DB251D" w:rsidRDefault="001E1BC0">
      <w:pPr>
        <w:rPr>
          <w:i/>
          <w:iCs/>
          <w:lang w:val="en-US" w:eastAsia="zh-CN"/>
        </w:rPr>
      </w:pPr>
      <w:r w:rsidRPr="00DB251D">
        <w:rPr>
          <w:i/>
          <w:iCs/>
          <w:lang w:val="en-US" w:eastAsia="zh-CN"/>
        </w:rPr>
        <w:t>[IRAN]</w:t>
      </w:r>
    </w:p>
    <w:p w:rsidR="002176F6" w:rsidRPr="00DB251D" w:rsidRDefault="001E1BC0">
      <w:pPr>
        <w:rPr>
          <w:lang w:val="en-US"/>
        </w:rPr>
      </w:pPr>
      <w:r w:rsidRPr="00DB251D">
        <w:rPr>
          <w:lang w:val="en-US"/>
        </w:rPr>
        <w:t xml:space="preserve">[Any Mitigation Techniques proposed under Agenda Item 1.16 as a possible measure to facilitate compatibility between </w:t>
      </w:r>
      <w:proofErr w:type="spellStart"/>
      <w:r w:rsidRPr="00DB251D">
        <w:rPr>
          <w:lang w:val="en-US"/>
        </w:rPr>
        <w:t>RLAN</w:t>
      </w:r>
      <w:proofErr w:type="spellEnd"/>
      <w:r w:rsidRPr="00DB251D">
        <w:rPr>
          <w:lang w:val="en-US"/>
        </w:rPr>
        <w:t xml:space="preserve"> should be accompanied by clear implementation steps so as a) to ensure its efficiency, effectiveness and  its practicality of use. Such technique(s) should be implementable without any technical, logistical and operational burden to the administrations/operators of incumbent services/applications to which the band is allocated. </w:t>
      </w:r>
      <w:proofErr w:type="spellStart"/>
      <w:r w:rsidRPr="00DB251D">
        <w:rPr>
          <w:lang w:val="en-US"/>
        </w:rPr>
        <w:t>RLAN</w:t>
      </w:r>
      <w:proofErr w:type="spellEnd"/>
      <w:r w:rsidRPr="00DB251D">
        <w:rPr>
          <w:lang w:val="en-US"/>
        </w:rPr>
        <w:t xml:space="preserve"> administration(s)/operator(s) should undertake the due diligence to fully respect the above-mentioned conditions and course of actions.]</w:t>
      </w:r>
    </w:p>
    <w:p w:rsidR="002176F6" w:rsidRPr="00DB251D" w:rsidRDefault="001E1BC0" w:rsidP="00854A11">
      <w:pPr>
        <w:rPr>
          <w:i/>
          <w:iCs/>
          <w:lang w:val="en-US" w:eastAsia="zh-CN"/>
        </w:rPr>
      </w:pPr>
      <w:r w:rsidRPr="00DB251D">
        <w:rPr>
          <w:i/>
          <w:iCs/>
          <w:lang w:val="en-US" w:eastAsia="zh-CN"/>
        </w:rPr>
        <w:t xml:space="preserve">[LUX </w:t>
      </w:r>
      <w:hyperlink r:id="rId24" w:history="1">
        <w:proofErr w:type="spellStart"/>
        <w:r w:rsidR="00854A11" w:rsidRPr="00DB251D">
          <w:rPr>
            <w:rStyle w:val="Hyperlink"/>
            <w:i/>
            <w:iCs/>
            <w:lang w:val="en-US" w:eastAsia="zh-CN"/>
          </w:rPr>
          <w:t>5A</w:t>
        </w:r>
        <w:proofErr w:type="spellEnd"/>
        <w:r w:rsidR="00854A11" w:rsidRPr="00DB251D">
          <w:rPr>
            <w:rStyle w:val="Hyperlink"/>
            <w:i/>
            <w:iCs/>
            <w:lang w:val="en-US" w:eastAsia="zh-CN"/>
          </w:rPr>
          <w:t>/442</w:t>
        </w:r>
      </w:hyperlink>
      <w:r w:rsidRPr="00DB251D">
        <w:rPr>
          <w:i/>
          <w:iCs/>
          <w:lang w:val="en-US" w:eastAsia="zh-CN"/>
        </w:rPr>
        <w:t>]</w:t>
      </w:r>
    </w:p>
    <w:p w:rsidR="002176F6" w:rsidRPr="00DB251D" w:rsidRDefault="001E1BC0" w:rsidP="00854A11">
      <w:pPr>
        <w:rPr>
          <w:lang w:val="en-US"/>
        </w:rPr>
      </w:pPr>
      <w:r w:rsidRPr="00DB251D">
        <w:rPr>
          <w:lang w:val="en-US"/>
        </w:rPr>
        <w:t xml:space="preserve">Without reliable mitigation techniques to be proposed, sharing of </w:t>
      </w:r>
      <w:proofErr w:type="spellStart"/>
      <w:r w:rsidRPr="00DB251D">
        <w:rPr>
          <w:lang w:val="en-US"/>
        </w:rPr>
        <w:t>FSS</w:t>
      </w:r>
      <w:proofErr w:type="spellEnd"/>
      <w:r w:rsidRPr="00DB251D">
        <w:rPr>
          <w:lang w:val="en-US"/>
        </w:rPr>
        <w:t xml:space="preserve"> and </w:t>
      </w:r>
      <w:proofErr w:type="spellStart"/>
      <w:r w:rsidRPr="00DB251D">
        <w:rPr>
          <w:lang w:val="en-US"/>
        </w:rPr>
        <w:t>RLAN</w:t>
      </w:r>
      <w:proofErr w:type="spellEnd"/>
      <w:r w:rsidRPr="00DB251D">
        <w:rPr>
          <w:lang w:val="en-US"/>
        </w:rPr>
        <w:t xml:space="preserve"> in this band is very difficult. This conclusion takes account that all scenarios considered so far by the </w:t>
      </w:r>
      <w:proofErr w:type="spellStart"/>
      <w:r w:rsidRPr="00DB251D">
        <w:rPr>
          <w:lang w:val="en-US"/>
        </w:rPr>
        <w:t>ECC</w:t>
      </w:r>
      <w:proofErr w:type="spellEnd"/>
      <w:r w:rsidRPr="00DB251D">
        <w:rPr>
          <w:lang w:val="en-US"/>
        </w:rPr>
        <w:t xml:space="preserve"> Report 244 are valid and realistic and most of the cases studies will present sharing difficulties. Indeed, some previous considerations on the conservativeness of assumptions adopted by the </w:t>
      </w:r>
      <w:proofErr w:type="spellStart"/>
      <w:r w:rsidRPr="00DB251D">
        <w:rPr>
          <w:lang w:val="en-US"/>
        </w:rPr>
        <w:t>ECC</w:t>
      </w:r>
      <w:proofErr w:type="spellEnd"/>
      <w:r w:rsidRPr="00DB251D">
        <w:rPr>
          <w:lang w:val="en-US"/>
        </w:rPr>
        <w:t xml:space="preserve"> Report 244 have not been endorsed by the recent studies of </w:t>
      </w:r>
      <w:proofErr w:type="spellStart"/>
      <w:r w:rsidRPr="00DB251D">
        <w:rPr>
          <w:lang w:val="en-US"/>
        </w:rPr>
        <w:t>WP3K</w:t>
      </w:r>
      <w:proofErr w:type="spellEnd"/>
      <w:r w:rsidRPr="00DB251D">
        <w:rPr>
          <w:lang w:val="en-US"/>
        </w:rPr>
        <w:t>/</w:t>
      </w:r>
      <w:proofErr w:type="spellStart"/>
      <w:r w:rsidRPr="00DB251D">
        <w:rPr>
          <w:lang w:val="en-US"/>
        </w:rPr>
        <w:t>WP3M</w:t>
      </w:r>
      <w:proofErr w:type="spellEnd"/>
      <w:r w:rsidRPr="00DB251D">
        <w:rPr>
          <w:lang w:val="en-US"/>
        </w:rPr>
        <w:t xml:space="preserve"> and, in particular, these WPs (22-29 March 2017) concluded that the analysis of the clutter loss and building entry loss models provided in the </w:t>
      </w:r>
      <w:proofErr w:type="spellStart"/>
      <w:r w:rsidRPr="00DB251D">
        <w:rPr>
          <w:lang w:val="en-US"/>
        </w:rPr>
        <w:t>ITU</w:t>
      </w:r>
      <w:proofErr w:type="spellEnd"/>
      <w:r w:rsidRPr="00DB251D">
        <w:rPr>
          <w:lang w:val="en-US"/>
        </w:rPr>
        <w:t xml:space="preserve"> Draft New Recommendations  show that:</w:t>
      </w:r>
    </w:p>
    <w:p w:rsidR="002176F6" w:rsidRPr="00DB251D" w:rsidRDefault="001E1BC0" w:rsidP="00854A11">
      <w:pPr>
        <w:pStyle w:val="enumlev1"/>
        <w:rPr>
          <w:lang w:val="en-US"/>
        </w:rPr>
      </w:pPr>
      <w:r w:rsidRPr="00DB251D">
        <w:rPr>
          <w:lang w:val="en-US"/>
        </w:rPr>
        <w:t>–</w:t>
      </w:r>
      <w:r w:rsidRPr="00DB251D">
        <w:rPr>
          <w:lang w:val="en-US"/>
        </w:rPr>
        <w:tab/>
        <w:t xml:space="preserve">Working Party </w:t>
      </w:r>
      <w:proofErr w:type="spellStart"/>
      <w:r w:rsidRPr="00DB251D">
        <w:rPr>
          <w:lang w:val="en-US"/>
        </w:rPr>
        <w:t>5A</w:t>
      </w:r>
      <w:proofErr w:type="spellEnd"/>
      <w:r w:rsidRPr="00DB251D">
        <w:rPr>
          <w:lang w:val="en-US"/>
        </w:rPr>
        <w:t xml:space="preserve"> should not use the clutter component of </w:t>
      </w:r>
      <w:proofErr w:type="spellStart"/>
      <w:r w:rsidRPr="00DB251D">
        <w:rPr>
          <w:lang w:val="en-US"/>
        </w:rPr>
        <w:t>P.452</w:t>
      </w:r>
      <w:proofErr w:type="spellEnd"/>
    </w:p>
    <w:p w:rsidR="002176F6" w:rsidRPr="00DB251D" w:rsidRDefault="001E1BC0" w:rsidP="00854A11">
      <w:pPr>
        <w:pStyle w:val="enumlev1"/>
        <w:rPr>
          <w:lang w:val="en-US"/>
        </w:rPr>
      </w:pPr>
      <w:r w:rsidRPr="00DB251D">
        <w:rPr>
          <w:lang w:val="en-US"/>
        </w:rPr>
        <w:t>–</w:t>
      </w:r>
      <w:r w:rsidRPr="00DB251D">
        <w:rPr>
          <w:lang w:val="en-US"/>
        </w:rPr>
        <w:tab/>
        <w:t xml:space="preserve">The clutter loss model of </w:t>
      </w:r>
      <w:proofErr w:type="spellStart"/>
      <w:r w:rsidRPr="00DB251D">
        <w:rPr>
          <w:lang w:val="en-US"/>
        </w:rPr>
        <w:t>DNR</w:t>
      </w:r>
      <w:proofErr w:type="spellEnd"/>
      <w:r w:rsidRPr="00DB251D">
        <w:rPr>
          <w:lang w:val="en-US"/>
        </w:rPr>
        <w:t xml:space="preserve"> P. [Clutter], currently applicable from 10 GHz to </w:t>
      </w:r>
      <w:r w:rsidRPr="00DB251D">
        <w:rPr>
          <w:lang w:val="en-US"/>
        </w:rPr>
        <w:br/>
        <w:t xml:space="preserve">100 GHz, could be extended to the </w:t>
      </w:r>
      <w:proofErr w:type="spellStart"/>
      <w:r w:rsidRPr="00DB251D">
        <w:rPr>
          <w:lang w:val="en-US"/>
        </w:rPr>
        <w:t>5G</w:t>
      </w:r>
      <w:proofErr w:type="spellEnd"/>
      <w:r w:rsidRPr="00DB251D">
        <w:rPr>
          <w:lang w:val="en-US"/>
        </w:rPr>
        <w:t> Hz range</w:t>
      </w:r>
    </w:p>
    <w:p w:rsidR="002176F6" w:rsidRPr="00DB251D" w:rsidRDefault="001E1BC0" w:rsidP="00854A11">
      <w:pPr>
        <w:pStyle w:val="enumlev1"/>
        <w:rPr>
          <w:lang w:val="en-US"/>
        </w:rPr>
      </w:pPr>
      <w:r w:rsidRPr="00DB251D">
        <w:rPr>
          <w:lang w:val="en-US"/>
        </w:rPr>
        <w:lastRenderedPageBreak/>
        <w:t>–</w:t>
      </w:r>
      <w:r w:rsidRPr="00DB251D">
        <w:rPr>
          <w:lang w:val="en-US"/>
        </w:rPr>
        <w:tab/>
        <w:t xml:space="preserve">This clutter model would provide lower values for clutter losses at 5 GHz than those currently assumed in </w:t>
      </w:r>
      <w:proofErr w:type="spellStart"/>
      <w:r w:rsidRPr="00DB251D">
        <w:rPr>
          <w:lang w:val="en-US"/>
        </w:rPr>
        <w:t>ECC</w:t>
      </w:r>
      <w:proofErr w:type="spellEnd"/>
      <w:r w:rsidRPr="00DB251D">
        <w:rPr>
          <w:lang w:val="en-US"/>
        </w:rPr>
        <w:t xml:space="preserve"> Report 244</w:t>
      </w:r>
      <w:r w:rsidR="00854A11" w:rsidRPr="00DB251D">
        <w:rPr>
          <w:lang w:val="en-US"/>
        </w:rPr>
        <w:t>.</w:t>
      </w:r>
    </w:p>
    <w:p w:rsidR="002176F6" w:rsidRPr="00DB251D" w:rsidRDefault="001E1BC0" w:rsidP="00854A11">
      <w:pPr>
        <w:pStyle w:val="enumlev1"/>
        <w:rPr>
          <w:lang w:val="en-US"/>
        </w:rPr>
      </w:pPr>
      <w:r w:rsidRPr="00DB251D">
        <w:rPr>
          <w:lang w:val="en-US"/>
        </w:rPr>
        <w:t>–</w:t>
      </w:r>
      <w:r w:rsidRPr="00DB251D">
        <w:rPr>
          <w:lang w:val="en-US"/>
        </w:rPr>
        <w:tab/>
        <w:t>For the building entry loss model, applicable from 80 MHz to 100 GHz, the average values obtained for the building entry loss at 30 degrees elevation angle is 14 dB at 5.8</w:t>
      </w:r>
      <w:r w:rsidR="00854A11" w:rsidRPr="00DB251D">
        <w:rPr>
          <w:lang w:val="en-US"/>
        </w:rPr>
        <w:t> </w:t>
      </w:r>
      <w:r w:rsidRPr="00DB251D">
        <w:rPr>
          <w:lang w:val="en-US"/>
        </w:rPr>
        <w:t>GHz and 13.4 dB at 2.4 GHz, which is only a 0.6 dB difference. Some airborne measurements submitted previously to WP 5 A showed a difference of 6.1 dB (8.4 dB at 2.4 GHz and 14.5 dB at 5 GHz)</w:t>
      </w:r>
      <w:r w:rsidR="00854A11" w:rsidRPr="00DB251D">
        <w:rPr>
          <w:lang w:val="en-US"/>
        </w:rPr>
        <w:t>.</w:t>
      </w:r>
    </w:p>
    <w:p w:rsidR="002176F6" w:rsidRPr="00DB251D" w:rsidRDefault="001E1BC0" w:rsidP="00854A11">
      <w:pPr>
        <w:rPr>
          <w:lang w:val="en-US"/>
        </w:rPr>
      </w:pPr>
      <w:r w:rsidRPr="00DB251D">
        <w:rPr>
          <w:lang w:val="en-US"/>
        </w:rPr>
        <w:t>Building entry losses. It was concluded that indoor/outdoor attenuation (currently estimated as 12 and 17 dB) should be considered as very similar at 2.4 GHz and 5 GHz and not a difference of 8,4 dB at 2,4 GHz and 14,5 dB at 5 GHz. Instead, the building losses are actually 13.4 dB at 2.4 GHz and 14.5 dB at 5 GHz, almost no significant difference.</w:t>
      </w:r>
    </w:p>
    <w:p w:rsidR="002176F6" w:rsidRPr="00DB251D" w:rsidRDefault="001E1BC0" w:rsidP="00854A11">
      <w:pPr>
        <w:spacing w:after="240"/>
        <w:rPr>
          <w:lang w:val="en-US"/>
        </w:rPr>
      </w:pPr>
      <w:r w:rsidRPr="00DB251D">
        <w:rPr>
          <w:lang w:val="en-US"/>
        </w:rPr>
        <w:t>The following table provides a summary of the conclusions of the studies for three selected representative scenarios (out of the 27 scenarios considered).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09"/>
        <w:gridCol w:w="1026"/>
        <w:gridCol w:w="2779"/>
        <w:gridCol w:w="2904"/>
      </w:tblGrid>
      <w:tr w:rsidR="002176F6" w:rsidRPr="00DB251D" w:rsidTr="00DB251D">
        <w:trPr>
          <w:cantSplit/>
          <w:tblHeader/>
          <w:jc w:val="center"/>
        </w:trPr>
        <w:tc>
          <w:tcPr>
            <w:tcW w:w="992" w:type="pct"/>
            <w:shd w:val="clear" w:color="auto" w:fill="D22A22"/>
            <w:vAlign w:val="center"/>
            <w:hideMark/>
          </w:tcPr>
          <w:p w:rsidR="002176F6" w:rsidRPr="00DB251D" w:rsidRDefault="001E1BC0" w:rsidP="00854A11">
            <w:pPr>
              <w:pStyle w:val="Tablehead"/>
              <w:rPr>
                <w:highlight w:val="yellow"/>
                <w:lang w:val="en-US"/>
              </w:rPr>
            </w:pPr>
            <w:r w:rsidRPr="00DB251D">
              <w:rPr>
                <w:highlight w:val="yellow"/>
                <w:lang w:val="en-US"/>
              </w:rPr>
              <w:t>Scenario</w:t>
            </w:r>
          </w:p>
        </w:tc>
        <w:tc>
          <w:tcPr>
            <w:tcW w:w="524" w:type="pct"/>
            <w:shd w:val="clear" w:color="auto" w:fill="D22A22"/>
            <w:vAlign w:val="center"/>
            <w:hideMark/>
          </w:tcPr>
          <w:p w:rsidR="002176F6" w:rsidRPr="00DB251D" w:rsidRDefault="001E1BC0" w:rsidP="00854A11">
            <w:pPr>
              <w:pStyle w:val="Tablehead"/>
              <w:rPr>
                <w:highlight w:val="yellow"/>
                <w:lang w:val="en-US"/>
              </w:rPr>
            </w:pPr>
            <w:r w:rsidRPr="00DB251D">
              <w:rPr>
                <w:highlight w:val="yellow"/>
                <w:lang w:val="en-US"/>
              </w:rPr>
              <w:t xml:space="preserve">Antenna </w:t>
            </w:r>
            <w:proofErr w:type="spellStart"/>
            <w:r w:rsidRPr="00DB251D">
              <w:rPr>
                <w:highlight w:val="yellow"/>
                <w:lang w:val="en-US"/>
              </w:rPr>
              <w:t>discr</w:t>
            </w:r>
            <w:proofErr w:type="spellEnd"/>
            <w:r w:rsidRPr="00DB251D">
              <w:rPr>
                <w:highlight w:val="yellow"/>
                <w:lang w:val="en-US"/>
              </w:rPr>
              <w:t>.</w:t>
            </w:r>
          </w:p>
          <w:p w:rsidR="002176F6" w:rsidRPr="00DB251D" w:rsidRDefault="001E1BC0" w:rsidP="00854A11">
            <w:pPr>
              <w:pStyle w:val="Tablehead"/>
              <w:rPr>
                <w:highlight w:val="yellow"/>
                <w:lang w:val="en-US"/>
              </w:rPr>
            </w:pPr>
            <w:r w:rsidRPr="00DB251D">
              <w:rPr>
                <w:highlight w:val="yellow"/>
                <w:lang w:val="en-US"/>
              </w:rPr>
              <w:t>(dB)</w:t>
            </w:r>
          </w:p>
        </w:tc>
        <w:tc>
          <w:tcPr>
            <w:tcW w:w="533" w:type="pct"/>
            <w:shd w:val="clear" w:color="auto" w:fill="D22A22"/>
            <w:vAlign w:val="center"/>
            <w:hideMark/>
          </w:tcPr>
          <w:p w:rsidR="002176F6" w:rsidRPr="00DB251D" w:rsidRDefault="001E1BC0" w:rsidP="00854A11">
            <w:pPr>
              <w:pStyle w:val="Tablehead"/>
              <w:rPr>
                <w:highlight w:val="yellow"/>
                <w:lang w:val="en-US"/>
              </w:rPr>
            </w:pPr>
            <w:r w:rsidRPr="00DB251D">
              <w:rPr>
                <w:highlight w:val="yellow"/>
                <w:lang w:val="en-US"/>
              </w:rPr>
              <w:t xml:space="preserve">Building </w:t>
            </w:r>
            <w:r w:rsidRPr="00DB251D">
              <w:rPr>
                <w:highlight w:val="yellow"/>
                <w:lang w:val="en-US"/>
              </w:rPr>
              <w:br/>
              <w:t>loss (dB)</w:t>
            </w:r>
          </w:p>
        </w:tc>
        <w:tc>
          <w:tcPr>
            <w:tcW w:w="1443" w:type="pct"/>
            <w:shd w:val="clear" w:color="auto" w:fill="D22A22"/>
            <w:vAlign w:val="center"/>
            <w:hideMark/>
          </w:tcPr>
          <w:p w:rsidR="002176F6" w:rsidRPr="00DB251D" w:rsidRDefault="001E1BC0" w:rsidP="00854A11">
            <w:pPr>
              <w:pStyle w:val="Tablehead"/>
              <w:rPr>
                <w:highlight w:val="yellow"/>
                <w:lang w:val="en-US"/>
              </w:rPr>
            </w:pPr>
            <w:r w:rsidRPr="00DB251D">
              <w:rPr>
                <w:highlight w:val="yellow"/>
                <w:lang w:val="en-US"/>
              </w:rPr>
              <w:t>Band 5 725-5 850 MHz</w:t>
            </w:r>
          </w:p>
        </w:tc>
        <w:tc>
          <w:tcPr>
            <w:tcW w:w="1508" w:type="pct"/>
            <w:shd w:val="clear" w:color="auto" w:fill="D22A22"/>
            <w:vAlign w:val="center"/>
            <w:hideMark/>
          </w:tcPr>
          <w:p w:rsidR="002176F6" w:rsidRPr="00DB251D" w:rsidRDefault="001E1BC0" w:rsidP="00854A11">
            <w:pPr>
              <w:pStyle w:val="Tablehead"/>
              <w:rPr>
                <w:highlight w:val="yellow"/>
                <w:lang w:val="en-US"/>
              </w:rPr>
            </w:pPr>
            <w:r w:rsidRPr="00DB251D">
              <w:rPr>
                <w:highlight w:val="yellow"/>
                <w:lang w:val="en-US"/>
              </w:rPr>
              <w:t>Band 5 850 5 925-MHz</w:t>
            </w:r>
          </w:p>
        </w:tc>
      </w:tr>
      <w:tr w:rsidR="002176F6" w:rsidRPr="00DB251D" w:rsidTr="00DB251D">
        <w:trPr>
          <w:cantSplit/>
          <w:jc w:val="center"/>
        </w:trPr>
        <w:tc>
          <w:tcPr>
            <w:tcW w:w="992" w:type="pct"/>
            <w:vMerge w:val="restart"/>
            <w:vAlign w:val="center"/>
            <w:hideMark/>
          </w:tcPr>
          <w:p w:rsidR="002176F6" w:rsidRPr="00DB251D" w:rsidRDefault="001E1BC0">
            <w:pPr>
              <w:pStyle w:val="Tabletext"/>
              <w:rPr>
                <w:rFonts w:eastAsia="Arial"/>
                <w:lang w:val="en-US"/>
              </w:rPr>
            </w:pPr>
            <w:r w:rsidRPr="00DB251D">
              <w:rPr>
                <w:rFonts w:eastAsia="Arial"/>
                <w:lang w:val="en-US"/>
              </w:rPr>
              <w:t>“Optimistic” scenario (Case 1 above)</w:t>
            </w: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vAlign w:val="center"/>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 for all </w:t>
            </w:r>
            <w:proofErr w:type="spellStart"/>
            <w:r w:rsidRPr="00DB251D">
              <w:rPr>
                <w:rFonts w:eastAsia="Arial"/>
                <w:lang w:val="en-US"/>
              </w:rPr>
              <w:t>FSS</w:t>
            </w:r>
            <w:proofErr w:type="spellEnd"/>
            <w:r w:rsidRPr="00DB251D">
              <w:rPr>
                <w:rFonts w:eastAsia="Arial"/>
                <w:lang w:val="en-US"/>
              </w:rPr>
              <w:t xml:space="preserve"> groups 1, 2 and 4 (margin ranges 1.3 to 12 dB)</w:t>
            </w:r>
          </w:p>
        </w:tc>
        <w:tc>
          <w:tcPr>
            <w:tcW w:w="1508" w:type="pct"/>
            <w:vAlign w:val="center"/>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 </w:t>
            </w:r>
            <w:r w:rsidRPr="00DB251D">
              <w:rPr>
                <w:rFonts w:eastAsia="Arial"/>
                <w:lang w:val="en-US"/>
              </w:rPr>
              <w:br/>
              <w:t xml:space="preserve">for all </w:t>
            </w:r>
            <w:proofErr w:type="spellStart"/>
            <w:r w:rsidRPr="00DB251D">
              <w:rPr>
                <w:rFonts w:eastAsia="Arial"/>
                <w:lang w:val="en-US"/>
              </w:rPr>
              <w:t>FSS</w:t>
            </w:r>
            <w:proofErr w:type="spellEnd"/>
            <w:r w:rsidRPr="00DB251D">
              <w:rPr>
                <w:rFonts w:eastAsia="Arial"/>
                <w:lang w:val="en-US"/>
              </w:rPr>
              <w:t xml:space="preserve"> groups 1, 2, 3, 4 and </w:t>
            </w:r>
            <w:r w:rsidRPr="00DB251D">
              <w:rPr>
                <w:rFonts w:eastAsia="Arial"/>
                <w:lang w:val="en-US"/>
              </w:rPr>
              <w:br/>
              <w:t>5 (margin ranges 0.1 to 10.3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 for </w:t>
            </w:r>
            <w:proofErr w:type="spellStart"/>
            <w:r w:rsidRPr="00DB251D">
              <w:rPr>
                <w:rFonts w:eastAsia="Arial"/>
                <w:lang w:val="en-US"/>
              </w:rPr>
              <w:t>FSS</w:t>
            </w:r>
            <w:proofErr w:type="spellEnd"/>
            <w:r w:rsidRPr="00DB251D">
              <w:rPr>
                <w:rFonts w:eastAsia="Arial"/>
                <w:lang w:val="en-US"/>
              </w:rPr>
              <w:t xml:space="preserve"> groups 1 and 2 (margin ranges 2.6 to 9.9 dB). </w:t>
            </w:r>
            <w:proofErr w:type="spellStart"/>
            <w:r w:rsidRPr="00DB251D">
              <w:rPr>
                <w:rFonts w:eastAsia="Arial"/>
                <w:lang w:val="en-US"/>
              </w:rPr>
              <w:t>FSS</w:t>
            </w:r>
            <w:proofErr w:type="spellEnd"/>
            <w:r w:rsidRPr="00DB251D">
              <w:rPr>
                <w:rFonts w:eastAsia="Arial"/>
                <w:lang w:val="en-US"/>
              </w:rPr>
              <w:t xml:space="preserve"> protection criteria exceeded for other </w:t>
            </w:r>
            <w:proofErr w:type="spellStart"/>
            <w:r w:rsidRPr="00DB251D">
              <w:rPr>
                <w:rFonts w:eastAsia="Arial"/>
                <w:lang w:val="en-US"/>
              </w:rPr>
              <w:t>FSS</w:t>
            </w:r>
            <w:proofErr w:type="spellEnd"/>
            <w:r w:rsidRPr="00DB251D">
              <w:rPr>
                <w:rFonts w:eastAsia="Arial"/>
                <w:lang w:val="en-US"/>
              </w:rPr>
              <w:t xml:space="preserve"> group 4 (exceeding of 0.9 dB)</w:t>
            </w:r>
          </w:p>
        </w:tc>
        <w:tc>
          <w:tcPr>
            <w:tcW w:w="1508"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 for </w:t>
            </w:r>
            <w:proofErr w:type="spellStart"/>
            <w:r w:rsidRPr="00DB251D">
              <w:rPr>
                <w:rFonts w:eastAsia="Arial"/>
                <w:lang w:val="en-US"/>
              </w:rPr>
              <w:t>FSS</w:t>
            </w:r>
            <w:proofErr w:type="spellEnd"/>
            <w:r w:rsidRPr="00DB251D">
              <w:rPr>
                <w:rFonts w:eastAsia="Arial"/>
                <w:lang w:val="en-US"/>
              </w:rPr>
              <w:t xml:space="preserve"> groups 1 2 and 3 (margin ranges 0.6 to 8.1 dB). </w:t>
            </w:r>
            <w:proofErr w:type="spellStart"/>
            <w:r w:rsidRPr="00DB251D">
              <w:rPr>
                <w:rFonts w:eastAsia="Arial"/>
                <w:lang w:val="en-US"/>
              </w:rPr>
              <w:t>FSS</w:t>
            </w:r>
            <w:proofErr w:type="spellEnd"/>
            <w:r w:rsidRPr="00DB251D">
              <w:rPr>
                <w:rFonts w:eastAsia="Arial"/>
                <w:lang w:val="en-US"/>
              </w:rPr>
              <w:t xml:space="preserve"> protection criteria exceeded for other </w:t>
            </w:r>
            <w:proofErr w:type="spellStart"/>
            <w:r w:rsidRPr="00DB251D">
              <w:rPr>
                <w:rFonts w:eastAsia="Arial"/>
                <w:lang w:val="en-US"/>
              </w:rPr>
              <w:t>FSS</w:t>
            </w:r>
            <w:proofErr w:type="spellEnd"/>
            <w:r w:rsidRPr="00DB251D">
              <w:rPr>
                <w:rFonts w:eastAsia="Arial"/>
                <w:lang w:val="en-US"/>
              </w:rPr>
              <w:t xml:space="preserve"> groups 4 and 5 (exceeding ranges 0.2 to 2.1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 for </w:t>
            </w:r>
            <w:proofErr w:type="spellStart"/>
            <w:r w:rsidRPr="00DB251D">
              <w:rPr>
                <w:rFonts w:eastAsia="Arial"/>
                <w:lang w:val="en-US"/>
              </w:rPr>
              <w:t>FSS</w:t>
            </w:r>
            <w:proofErr w:type="spellEnd"/>
            <w:r w:rsidRPr="00DB251D">
              <w:rPr>
                <w:rFonts w:eastAsia="Arial"/>
                <w:lang w:val="en-US"/>
              </w:rPr>
              <w:t xml:space="preserve"> groups 1 and 2 (margin ranges 0.8 to 8 dB):</w:t>
            </w:r>
          </w:p>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w:t>
            </w:r>
          </w:p>
          <w:p w:rsidR="002176F6" w:rsidRPr="00DB251D" w:rsidRDefault="001E1BC0">
            <w:pPr>
              <w:pStyle w:val="Tabletext"/>
              <w:rPr>
                <w:rFonts w:eastAsia="Arial"/>
                <w:spacing w:val="-2"/>
                <w:lang w:val="en-US"/>
              </w:rPr>
            </w:pPr>
            <w:r w:rsidRPr="00DB251D">
              <w:rPr>
                <w:rFonts w:eastAsia="Arial"/>
                <w:spacing w:val="-2"/>
                <w:lang w:val="en-US"/>
              </w:rPr>
              <w:t xml:space="preserve">exceeded for other </w:t>
            </w:r>
            <w:proofErr w:type="spellStart"/>
            <w:r w:rsidRPr="00DB251D">
              <w:rPr>
                <w:rFonts w:eastAsia="Arial"/>
                <w:spacing w:val="-2"/>
                <w:lang w:val="en-US"/>
              </w:rPr>
              <w:t>FSS</w:t>
            </w:r>
            <w:proofErr w:type="spellEnd"/>
            <w:r w:rsidRPr="00DB251D">
              <w:rPr>
                <w:rFonts w:eastAsia="Arial"/>
                <w:spacing w:val="-2"/>
                <w:lang w:val="en-US"/>
              </w:rPr>
              <w:t xml:space="preserve"> group 4 (exceeding of 2.7 dB)</w:t>
            </w:r>
          </w:p>
        </w:tc>
        <w:tc>
          <w:tcPr>
            <w:tcW w:w="1508" w:type="pct"/>
            <w:hideMark/>
          </w:tcPr>
          <w:p w:rsidR="002176F6" w:rsidRPr="00DB251D" w:rsidRDefault="001E1BC0">
            <w:pPr>
              <w:pStyle w:val="Tabletext"/>
              <w:rPr>
                <w:rFonts w:eastAsia="Arial"/>
                <w:spacing w:val="-3"/>
                <w:lang w:val="en-US"/>
              </w:rPr>
            </w:pPr>
            <w:proofErr w:type="spellStart"/>
            <w:r w:rsidRPr="00DB251D">
              <w:rPr>
                <w:rFonts w:eastAsia="Arial"/>
                <w:spacing w:val="-3"/>
                <w:lang w:val="en-US"/>
              </w:rPr>
              <w:t>FSS</w:t>
            </w:r>
            <w:proofErr w:type="spellEnd"/>
            <w:r w:rsidRPr="00DB251D">
              <w:rPr>
                <w:rFonts w:eastAsia="Arial"/>
                <w:spacing w:val="-3"/>
                <w:lang w:val="en-US"/>
              </w:rPr>
              <w:t xml:space="preserve"> protection criteria satisfied for </w:t>
            </w:r>
            <w:proofErr w:type="spellStart"/>
            <w:r w:rsidRPr="00DB251D">
              <w:rPr>
                <w:rFonts w:eastAsia="Arial"/>
                <w:spacing w:val="-3"/>
                <w:lang w:val="en-US"/>
              </w:rPr>
              <w:t>FSS</w:t>
            </w:r>
            <w:proofErr w:type="spellEnd"/>
            <w:r w:rsidRPr="00DB251D">
              <w:rPr>
                <w:rFonts w:eastAsia="Arial"/>
                <w:spacing w:val="-3"/>
                <w:lang w:val="en-US"/>
              </w:rPr>
              <w:t xml:space="preserve"> groups 1 and 2 (margin ranges 0.8 to 6.3 dB).</w:t>
            </w:r>
          </w:p>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 for other </w:t>
            </w:r>
            <w:proofErr w:type="spellStart"/>
            <w:r w:rsidRPr="00DB251D">
              <w:rPr>
                <w:rFonts w:eastAsia="Arial"/>
                <w:lang w:val="en-US"/>
              </w:rPr>
              <w:t>FSS</w:t>
            </w:r>
            <w:proofErr w:type="spellEnd"/>
            <w:r w:rsidRPr="00DB251D">
              <w:rPr>
                <w:rFonts w:eastAsia="Arial"/>
                <w:lang w:val="en-US"/>
              </w:rPr>
              <w:t xml:space="preserve"> groups 3, 4 and 5 (exceeding ranges 0 to 3.9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vAlign w:val="center"/>
            <w:hideMark/>
          </w:tcPr>
          <w:p w:rsidR="002176F6" w:rsidRPr="00DB251D" w:rsidRDefault="001E1BC0">
            <w:pPr>
              <w:pStyle w:val="Tabletext"/>
              <w:rPr>
                <w:rFonts w:eastAsia="Arial"/>
                <w:spacing w:val="2"/>
                <w:lang w:val="en-US"/>
              </w:rPr>
            </w:pPr>
            <w:proofErr w:type="spellStart"/>
            <w:r w:rsidRPr="00DB251D">
              <w:rPr>
                <w:rFonts w:eastAsia="Arial"/>
                <w:spacing w:val="2"/>
                <w:lang w:val="en-US"/>
              </w:rPr>
              <w:t>FSS</w:t>
            </w:r>
            <w:proofErr w:type="spellEnd"/>
            <w:r w:rsidRPr="00DB251D">
              <w:rPr>
                <w:rFonts w:eastAsia="Arial"/>
                <w:spacing w:val="2"/>
                <w:lang w:val="en-US"/>
              </w:rPr>
              <w:t xml:space="preserve"> protection criteria satisfied for </w:t>
            </w:r>
            <w:proofErr w:type="spellStart"/>
            <w:r w:rsidRPr="00DB251D">
              <w:rPr>
                <w:rFonts w:eastAsia="Arial"/>
                <w:spacing w:val="2"/>
                <w:lang w:val="en-US"/>
              </w:rPr>
              <w:t>FSS</w:t>
            </w:r>
            <w:proofErr w:type="spellEnd"/>
            <w:r w:rsidRPr="00DB251D">
              <w:rPr>
                <w:rFonts w:eastAsia="Arial"/>
                <w:spacing w:val="2"/>
                <w:lang w:val="en-US"/>
              </w:rPr>
              <w:t xml:space="preserve"> group 1 (margin ranges 5.2 to 5.9 dB). </w:t>
            </w:r>
            <w:proofErr w:type="spellStart"/>
            <w:r w:rsidRPr="00DB251D">
              <w:rPr>
                <w:rFonts w:eastAsia="Arial"/>
                <w:spacing w:val="2"/>
                <w:lang w:val="en-US"/>
              </w:rPr>
              <w:t>FSS</w:t>
            </w:r>
            <w:proofErr w:type="spellEnd"/>
            <w:r w:rsidRPr="00DB251D">
              <w:rPr>
                <w:rFonts w:eastAsia="Arial"/>
                <w:spacing w:val="2"/>
                <w:lang w:val="en-US"/>
              </w:rPr>
              <w:t xml:space="preserve"> protection criteria exceeded for other </w:t>
            </w:r>
            <w:proofErr w:type="spellStart"/>
            <w:r w:rsidRPr="00DB251D">
              <w:rPr>
                <w:rFonts w:eastAsia="Arial"/>
                <w:spacing w:val="2"/>
                <w:lang w:val="en-US"/>
              </w:rPr>
              <w:t>FSS</w:t>
            </w:r>
            <w:proofErr w:type="spellEnd"/>
            <w:r w:rsidRPr="00DB251D">
              <w:rPr>
                <w:rFonts w:eastAsia="Arial"/>
                <w:spacing w:val="2"/>
                <w:lang w:val="en-US"/>
              </w:rPr>
              <w:t xml:space="preserve"> groups 2 and 4 (exceeding ranges 1.4 to 4.9 dB)</w:t>
            </w:r>
          </w:p>
        </w:tc>
        <w:tc>
          <w:tcPr>
            <w:tcW w:w="1508"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satisfied</w:t>
            </w:r>
          </w:p>
          <w:p w:rsidR="002176F6" w:rsidRPr="00DB251D" w:rsidRDefault="001E1BC0">
            <w:pPr>
              <w:pStyle w:val="Tabletext"/>
              <w:rPr>
                <w:rFonts w:eastAsia="Arial"/>
                <w:lang w:val="en-US"/>
              </w:rPr>
            </w:pPr>
            <w:r w:rsidRPr="00DB251D">
              <w:rPr>
                <w:rFonts w:eastAsia="Arial"/>
                <w:lang w:val="en-US"/>
              </w:rPr>
              <w:t xml:space="preserve">for </w:t>
            </w:r>
            <w:proofErr w:type="spellStart"/>
            <w:r w:rsidRPr="00DB251D">
              <w:rPr>
                <w:rFonts w:eastAsia="Arial"/>
                <w:lang w:val="en-US"/>
              </w:rPr>
              <w:t>FSS</w:t>
            </w:r>
            <w:proofErr w:type="spellEnd"/>
            <w:r w:rsidRPr="00DB251D">
              <w:rPr>
                <w:rFonts w:eastAsia="Arial"/>
                <w:lang w:val="en-US"/>
              </w:rPr>
              <w:t xml:space="preserve"> groups 1</w:t>
            </w:r>
          </w:p>
          <w:p w:rsidR="002176F6" w:rsidRPr="00DB251D" w:rsidRDefault="001E1BC0">
            <w:pPr>
              <w:pStyle w:val="Tabletext"/>
              <w:rPr>
                <w:rFonts w:eastAsia="Arial"/>
                <w:lang w:val="en-US"/>
              </w:rPr>
            </w:pPr>
            <w:r w:rsidRPr="00DB251D">
              <w:rPr>
                <w:rFonts w:eastAsia="Arial"/>
                <w:lang w:val="en-US"/>
              </w:rPr>
              <w:t>(margin ranges 0 to 4.1 dB)</w:t>
            </w:r>
          </w:p>
          <w:p w:rsidR="002176F6" w:rsidRPr="00DB251D" w:rsidRDefault="001E1BC0">
            <w:pPr>
              <w:pStyle w:val="Tabletext"/>
              <w:rPr>
                <w:rFonts w:eastAsia="Arial"/>
                <w:lang w:val="en-US"/>
              </w:rPr>
            </w:pPr>
            <w:r w:rsidRPr="00DB251D">
              <w:rPr>
                <w:rFonts w:eastAsia="Arial"/>
                <w:lang w:val="en-US"/>
              </w:rPr>
              <w:t xml:space="preserve">and Satellite N (28.5 </w:t>
            </w:r>
            <w:proofErr w:type="spellStart"/>
            <w:r w:rsidRPr="00DB251D">
              <w:rPr>
                <w:rFonts w:eastAsia="Arial"/>
                <w:lang w:val="en-US"/>
              </w:rPr>
              <w:t>dBi</w:t>
            </w:r>
            <w:proofErr w:type="spellEnd"/>
            <w:r w:rsidRPr="00DB251D">
              <w:rPr>
                <w:rFonts w:eastAsia="Arial"/>
                <w:lang w:val="en-US"/>
              </w:rPr>
              <w:t>)</w:t>
            </w:r>
          </w:p>
          <w:p w:rsidR="002176F6" w:rsidRPr="00DB251D" w:rsidRDefault="001E1BC0">
            <w:pPr>
              <w:pStyle w:val="Tabletext"/>
              <w:rPr>
                <w:rFonts w:eastAsia="Arial"/>
                <w:lang w:val="en-US"/>
              </w:rPr>
            </w:pPr>
            <w:proofErr w:type="gramStart"/>
            <w:r w:rsidRPr="00DB251D">
              <w:rPr>
                <w:rFonts w:eastAsia="Arial"/>
                <w:lang w:val="en-US"/>
              </w:rPr>
              <w:t>with</w:t>
            </w:r>
            <w:proofErr w:type="gramEnd"/>
            <w:r w:rsidRPr="00DB251D">
              <w:rPr>
                <w:rFonts w:eastAsia="Arial"/>
                <w:lang w:val="en-US"/>
              </w:rPr>
              <w:t xml:space="preserve"> a margin of 0 </w:t>
            </w:r>
            <w:proofErr w:type="spellStart"/>
            <w:r w:rsidRPr="00DB251D">
              <w:rPr>
                <w:rFonts w:eastAsia="Arial"/>
                <w:lang w:val="en-US"/>
              </w:rPr>
              <w:t>dB.</w:t>
            </w:r>
            <w:proofErr w:type="spellEnd"/>
          </w:p>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w:t>
            </w:r>
          </w:p>
          <w:p w:rsidR="002176F6" w:rsidRPr="00DB251D" w:rsidRDefault="001E1BC0">
            <w:pPr>
              <w:pStyle w:val="Tabletext"/>
              <w:rPr>
                <w:rFonts w:eastAsia="Arial"/>
                <w:lang w:val="en-US"/>
              </w:rPr>
            </w:pPr>
            <w:r w:rsidRPr="00DB251D">
              <w:rPr>
                <w:rFonts w:eastAsia="Arial"/>
                <w:lang w:val="en-US"/>
              </w:rPr>
              <w:t xml:space="preserve">for other </w:t>
            </w:r>
            <w:proofErr w:type="spellStart"/>
            <w:r w:rsidRPr="00DB251D">
              <w:rPr>
                <w:rFonts w:eastAsia="Arial"/>
                <w:lang w:val="en-US"/>
              </w:rPr>
              <w:t>FSS</w:t>
            </w:r>
            <w:proofErr w:type="spellEnd"/>
            <w:r w:rsidRPr="00DB251D">
              <w:rPr>
                <w:rFonts w:eastAsia="Arial"/>
                <w:lang w:val="en-US"/>
              </w:rPr>
              <w:t xml:space="preserve"> groups 2</w:t>
            </w:r>
          </w:p>
          <w:p w:rsidR="002176F6" w:rsidRPr="00DB251D" w:rsidRDefault="001E1BC0">
            <w:pPr>
              <w:pStyle w:val="Tabletext"/>
              <w:rPr>
                <w:rFonts w:eastAsia="Arial"/>
                <w:lang w:val="en-US"/>
              </w:rPr>
            </w:pPr>
            <w:r w:rsidRPr="00DB251D">
              <w:rPr>
                <w:rFonts w:eastAsia="Arial"/>
                <w:lang w:val="en-US"/>
              </w:rPr>
              <w:t>(except satellite N), 3, 4 and 5</w:t>
            </w:r>
          </w:p>
          <w:p w:rsidR="002176F6" w:rsidRPr="00DB251D" w:rsidRDefault="001E1BC0">
            <w:pPr>
              <w:pStyle w:val="Tabletext"/>
              <w:rPr>
                <w:rFonts w:eastAsia="Arial"/>
                <w:lang w:val="en-US"/>
              </w:rPr>
            </w:pPr>
            <w:r w:rsidRPr="00DB251D">
              <w:rPr>
                <w:rFonts w:eastAsia="Arial"/>
                <w:lang w:val="en-US"/>
              </w:rPr>
              <w:t>(exceeding ranges 0.2 to 6 dB)</w:t>
            </w:r>
          </w:p>
        </w:tc>
      </w:tr>
      <w:tr w:rsidR="002176F6" w:rsidRPr="00DB251D" w:rsidTr="00DB251D">
        <w:trPr>
          <w:cantSplit/>
          <w:jc w:val="center"/>
        </w:trPr>
        <w:tc>
          <w:tcPr>
            <w:tcW w:w="992" w:type="pct"/>
            <w:vMerge w:val="restart"/>
            <w:vAlign w:val="center"/>
            <w:hideMark/>
          </w:tcPr>
          <w:p w:rsidR="002176F6" w:rsidRPr="00DB251D" w:rsidRDefault="001E1BC0">
            <w:pPr>
              <w:pStyle w:val="Tabletext"/>
              <w:rPr>
                <w:rFonts w:eastAsia="Arial"/>
                <w:lang w:val="en-US"/>
              </w:rPr>
            </w:pPr>
            <w:r w:rsidRPr="00DB251D">
              <w:rPr>
                <w:rFonts w:eastAsia="Arial"/>
                <w:lang w:val="en-US"/>
              </w:rPr>
              <w:t>“Medium” scenario (Case 14 above)</w:t>
            </w: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hideMark/>
          </w:tcPr>
          <w:p w:rsidR="002176F6" w:rsidRPr="00DB251D" w:rsidRDefault="001E1BC0">
            <w:pPr>
              <w:pStyle w:val="Tabletext"/>
              <w:rPr>
                <w:rFonts w:eastAsia="Arial"/>
                <w:spacing w:val="2"/>
                <w:lang w:val="en-US"/>
              </w:rPr>
            </w:pPr>
            <w:proofErr w:type="spellStart"/>
            <w:r w:rsidRPr="00DB251D">
              <w:rPr>
                <w:rFonts w:eastAsia="Arial"/>
                <w:spacing w:val="2"/>
                <w:lang w:val="en-US"/>
              </w:rPr>
              <w:t>FSS</w:t>
            </w:r>
            <w:proofErr w:type="spellEnd"/>
            <w:r w:rsidRPr="00DB251D">
              <w:rPr>
                <w:rFonts w:eastAsia="Arial"/>
                <w:spacing w:val="2"/>
                <w:lang w:val="en-US"/>
              </w:rPr>
              <w:t xml:space="preserve"> protection criteria satisfied for </w:t>
            </w:r>
            <w:proofErr w:type="spellStart"/>
            <w:r w:rsidRPr="00DB251D">
              <w:rPr>
                <w:rFonts w:eastAsia="Arial"/>
                <w:spacing w:val="2"/>
                <w:lang w:val="en-US"/>
              </w:rPr>
              <w:t>FSS</w:t>
            </w:r>
            <w:proofErr w:type="spellEnd"/>
            <w:r w:rsidRPr="00DB251D">
              <w:rPr>
                <w:rFonts w:eastAsia="Arial"/>
                <w:spacing w:val="2"/>
                <w:lang w:val="en-US"/>
              </w:rPr>
              <w:t xml:space="preserve"> group 1 (margin ranges 2.2 to 2.9 dB). </w:t>
            </w:r>
            <w:proofErr w:type="spellStart"/>
            <w:r w:rsidRPr="00DB251D">
              <w:rPr>
                <w:rFonts w:eastAsia="Arial"/>
                <w:spacing w:val="2"/>
                <w:lang w:val="en-US"/>
              </w:rPr>
              <w:t>FSS</w:t>
            </w:r>
            <w:proofErr w:type="spellEnd"/>
            <w:r w:rsidRPr="00DB251D">
              <w:rPr>
                <w:rFonts w:eastAsia="Arial"/>
                <w:spacing w:val="2"/>
                <w:lang w:val="en-US"/>
              </w:rPr>
              <w:t xml:space="preserve"> protection criteria exceeded for other </w:t>
            </w:r>
            <w:proofErr w:type="spellStart"/>
            <w:r w:rsidRPr="00DB251D">
              <w:rPr>
                <w:rFonts w:eastAsia="Arial"/>
                <w:spacing w:val="2"/>
                <w:lang w:val="en-US"/>
              </w:rPr>
              <w:t>FSS</w:t>
            </w:r>
            <w:proofErr w:type="spellEnd"/>
            <w:r w:rsidRPr="00DB251D">
              <w:rPr>
                <w:rFonts w:eastAsia="Arial"/>
                <w:spacing w:val="2"/>
                <w:lang w:val="en-US"/>
              </w:rPr>
              <w:t xml:space="preserve"> groups 2 and 4 (exceeding ranges 4.4 to 7.9 dB)</w:t>
            </w:r>
          </w:p>
        </w:tc>
        <w:tc>
          <w:tcPr>
            <w:tcW w:w="1508" w:type="pct"/>
            <w:hideMark/>
          </w:tcPr>
          <w:p w:rsidR="002176F6" w:rsidRPr="00DB251D" w:rsidRDefault="001E1BC0">
            <w:pPr>
              <w:pStyle w:val="Tabletext"/>
              <w:rPr>
                <w:rFonts w:eastAsia="Arial"/>
                <w:spacing w:val="-2"/>
                <w:lang w:val="en-US"/>
              </w:rPr>
            </w:pPr>
            <w:proofErr w:type="spellStart"/>
            <w:r w:rsidRPr="00DB251D">
              <w:rPr>
                <w:rFonts w:eastAsia="Arial"/>
                <w:spacing w:val="-2"/>
                <w:lang w:val="en-US"/>
              </w:rPr>
              <w:t>FSS</w:t>
            </w:r>
            <w:proofErr w:type="spellEnd"/>
            <w:r w:rsidRPr="00DB251D">
              <w:rPr>
                <w:rFonts w:eastAsia="Arial"/>
                <w:spacing w:val="-2"/>
                <w:lang w:val="en-US"/>
              </w:rPr>
              <w:t xml:space="preserve"> protection criteria satisfied for </w:t>
            </w:r>
            <w:proofErr w:type="spellStart"/>
            <w:r w:rsidRPr="00DB251D">
              <w:rPr>
                <w:rFonts w:eastAsia="Arial"/>
                <w:spacing w:val="-2"/>
                <w:lang w:val="en-US"/>
              </w:rPr>
              <w:t>FSS</w:t>
            </w:r>
            <w:proofErr w:type="spellEnd"/>
            <w:r w:rsidRPr="00DB251D">
              <w:rPr>
                <w:rFonts w:eastAsia="Arial"/>
                <w:spacing w:val="-2"/>
                <w:lang w:val="en-US"/>
              </w:rPr>
              <w:t xml:space="preserve"> group 1 (margin ranges 0.5 to 1.1 dB).</w:t>
            </w:r>
          </w:p>
          <w:p w:rsidR="002176F6" w:rsidRPr="00DB251D" w:rsidRDefault="001E1BC0">
            <w:pPr>
              <w:pStyle w:val="Tabletext"/>
              <w:rPr>
                <w:rFonts w:eastAsia="Arial"/>
                <w:spacing w:val="-4"/>
                <w:lang w:val="en-US"/>
              </w:rPr>
            </w:pPr>
            <w:proofErr w:type="spellStart"/>
            <w:r w:rsidRPr="00DB251D">
              <w:rPr>
                <w:rFonts w:eastAsia="Arial"/>
                <w:spacing w:val="-4"/>
                <w:lang w:val="en-US"/>
              </w:rPr>
              <w:t>FSS</w:t>
            </w:r>
            <w:proofErr w:type="spellEnd"/>
            <w:r w:rsidRPr="00DB251D">
              <w:rPr>
                <w:rFonts w:eastAsia="Arial"/>
                <w:spacing w:val="-4"/>
                <w:lang w:val="en-US"/>
              </w:rPr>
              <w:t xml:space="preserve"> protection criteria exceeded for other </w:t>
            </w:r>
            <w:proofErr w:type="spellStart"/>
            <w:r w:rsidRPr="00DB251D">
              <w:rPr>
                <w:rFonts w:eastAsia="Arial"/>
                <w:spacing w:val="-4"/>
                <w:lang w:val="en-US"/>
              </w:rPr>
              <w:t>FSS</w:t>
            </w:r>
            <w:proofErr w:type="spellEnd"/>
            <w:r w:rsidRPr="00DB251D">
              <w:rPr>
                <w:rFonts w:eastAsia="Arial"/>
                <w:spacing w:val="-4"/>
                <w:lang w:val="en-US"/>
              </w:rPr>
              <w:t xml:space="preserve"> groups 2, 3, 4 and 5 (exceeding ranges 3 to 9.1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hideMark/>
          </w:tcPr>
          <w:p w:rsidR="002176F6" w:rsidRPr="00DB251D" w:rsidRDefault="001E1BC0">
            <w:pPr>
              <w:pStyle w:val="Tabletext"/>
              <w:rPr>
                <w:rFonts w:eastAsia="Arial"/>
                <w:spacing w:val="2"/>
                <w:lang w:val="en-US"/>
              </w:rPr>
            </w:pPr>
            <w:proofErr w:type="spellStart"/>
            <w:r w:rsidRPr="00DB251D">
              <w:rPr>
                <w:rFonts w:eastAsia="Arial"/>
                <w:spacing w:val="2"/>
                <w:lang w:val="en-US"/>
              </w:rPr>
              <w:t>FSS</w:t>
            </w:r>
            <w:proofErr w:type="spellEnd"/>
            <w:r w:rsidRPr="00DB251D">
              <w:rPr>
                <w:rFonts w:eastAsia="Arial"/>
                <w:spacing w:val="2"/>
                <w:lang w:val="en-US"/>
              </w:rPr>
              <w:t xml:space="preserve"> protection criteria satisfied for </w:t>
            </w:r>
            <w:proofErr w:type="spellStart"/>
            <w:r w:rsidRPr="00DB251D">
              <w:rPr>
                <w:rFonts w:eastAsia="Arial"/>
                <w:spacing w:val="2"/>
                <w:lang w:val="en-US"/>
              </w:rPr>
              <w:t>FSS</w:t>
            </w:r>
            <w:proofErr w:type="spellEnd"/>
            <w:r w:rsidRPr="00DB251D">
              <w:rPr>
                <w:rFonts w:eastAsia="Arial"/>
                <w:spacing w:val="2"/>
                <w:lang w:val="en-US"/>
              </w:rPr>
              <w:t xml:space="preserve"> group 1 (margin ranges 0 to 0.7 dB). </w:t>
            </w:r>
            <w:proofErr w:type="spellStart"/>
            <w:r w:rsidRPr="00DB251D">
              <w:rPr>
                <w:rFonts w:eastAsia="Arial"/>
                <w:spacing w:val="2"/>
                <w:lang w:val="en-US"/>
              </w:rPr>
              <w:t>FSS</w:t>
            </w:r>
            <w:proofErr w:type="spellEnd"/>
            <w:r w:rsidRPr="00DB251D">
              <w:rPr>
                <w:rFonts w:eastAsia="Arial"/>
                <w:spacing w:val="2"/>
                <w:lang w:val="en-US"/>
              </w:rPr>
              <w:t xml:space="preserve"> protection criteria exceeded for other </w:t>
            </w:r>
            <w:proofErr w:type="spellStart"/>
            <w:r w:rsidRPr="00DB251D">
              <w:rPr>
                <w:rFonts w:eastAsia="Arial"/>
                <w:spacing w:val="2"/>
                <w:lang w:val="en-US"/>
              </w:rPr>
              <w:t>FSS</w:t>
            </w:r>
            <w:proofErr w:type="spellEnd"/>
            <w:r w:rsidRPr="00DB251D">
              <w:rPr>
                <w:rFonts w:eastAsia="Arial"/>
                <w:spacing w:val="2"/>
                <w:lang w:val="en-US"/>
              </w:rPr>
              <w:t xml:space="preserve"> groups 2 and 4 (exceeding ranges 6.5 to 10.1 dB)</w:t>
            </w:r>
          </w:p>
        </w:tc>
        <w:tc>
          <w:tcPr>
            <w:tcW w:w="1508" w:type="pct"/>
            <w:vAlign w:val="center"/>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 for all </w:t>
            </w:r>
            <w:proofErr w:type="spellStart"/>
            <w:r w:rsidRPr="00DB251D">
              <w:rPr>
                <w:rFonts w:eastAsia="Arial"/>
                <w:lang w:val="en-US"/>
              </w:rPr>
              <w:t>FSS</w:t>
            </w:r>
            <w:proofErr w:type="spellEnd"/>
            <w:r w:rsidRPr="00DB251D">
              <w:rPr>
                <w:rFonts w:eastAsia="Arial"/>
                <w:lang w:val="en-US"/>
              </w:rPr>
              <w:t xml:space="preserve"> groups 1, 2, 3, 4 and 5 (exceeding ranges 1.1 to 11.2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w:t>
            </w:r>
          </w:p>
          <w:p w:rsidR="002176F6" w:rsidRPr="00DB251D" w:rsidRDefault="001E1BC0">
            <w:pPr>
              <w:pStyle w:val="Tabletext"/>
              <w:rPr>
                <w:rFonts w:eastAsia="Arial"/>
                <w:lang w:val="en-US"/>
              </w:rPr>
            </w:pPr>
            <w:r w:rsidRPr="00DB251D">
              <w:rPr>
                <w:rFonts w:eastAsia="Arial"/>
                <w:lang w:val="en-US"/>
              </w:rPr>
              <w:t xml:space="preserve">exceeded for all </w:t>
            </w:r>
            <w:proofErr w:type="spellStart"/>
            <w:r w:rsidRPr="00DB251D">
              <w:rPr>
                <w:rFonts w:eastAsia="Arial"/>
                <w:lang w:val="en-US"/>
              </w:rPr>
              <w:t>FSS</w:t>
            </w:r>
            <w:proofErr w:type="spellEnd"/>
            <w:r w:rsidRPr="00DB251D">
              <w:rPr>
                <w:rFonts w:eastAsia="Arial"/>
                <w:lang w:val="en-US"/>
              </w:rPr>
              <w:t xml:space="preserve"> groups 1, 2 and 4 (exceeding ranges 1.1 to 11.9 dB)</w:t>
            </w:r>
          </w:p>
        </w:tc>
        <w:tc>
          <w:tcPr>
            <w:tcW w:w="1508"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 for all </w:t>
            </w:r>
            <w:proofErr w:type="spellStart"/>
            <w:r w:rsidRPr="00DB251D">
              <w:rPr>
                <w:rFonts w:eastAsia="Arial"/>
                <w:lang w:val="en-US"/>
              </w:rPr>
              <w:t>FSS</w:t>
            </w:r>
            <w:proofErr w:type="spellEnd"/>
            <w:r w:rsidRPr="00DB251D">
              <w:rPr>
                <w:rFonts w:eastAsia="Arial"/>
                <w:lang w:val="en-US"/>
              </w:rPr>
              <w:t xml:space="preserve"> groups 1, 2, 3, 4 and 5 (exceeding ranges 2.9 to 13.1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w:t>
            </w:r>
          </w:p>
          <w:p w:rsidR="002176F6" w:rsidRPr="00DB251D" w:rsidRDefault="001E1BC0">
            <w:pPr>
              <w:pStyle w:val="Tabletext"/>
              <w:rPr>
                <w:rFonts w:eastAsia="Arial"/>
                <w:lang w:val="en-US"/>
              </w:rPr>
            </w:pPr>
            <w:r w:rsidRPr="00DB251D">
              <w:rPr>
                <w:rFonts w:eastAsia="Arial"/>
                <w:lang w:val="en-US"/>
              </w:rPr>
              <w:t xml:space="preserve">exceeded for all </w:t>
            </w:r>
            <w:proofErr w:type="spellStart"/>
            <w:r w:rsidRPr="00DB251D">
              <w:rPr>
                <w:rFonts w:eastAsia="Arial"/>
                <w:lang w:val="en-US"/>
              </w:rPr>
              <w:t>FSS</w:t>
            </w:r>
            <w:proofErr w:type="spellEnd"/>
            <w:r w:rsidRPr="00DB251D">
              <w:rPr>
                <w:rFonts w:eastAsia="Arial"/>
                <w:lang w:val="en-US"/>
              </w:rPr>
              <w:t xml:space="preserve"> groups 1, 2 and 4 (exceeding ranges 3.3 to 14.1 dB)</w:t>
            </w:r>
          </w:p>
        </w:tc>
        <w:tc>
          <w:tcPr>
            <w:tcW w:w="1508" w:type="pct"/>
            <w:hideMark/>
          </w:tcPr>
          <w:p w:rsidR="002176F6" w:rsidRPr="00DB251D" w:rsidRDefault="001E1BC0">
            <w:pPr>
              <w:pStyle w:val="Tabletext"/>
              <w:rPr>
                <w:rFonts w:eastAsia="Arial"/>
                <w:spacing w:val="-1"/>
                <w:lang w:val="en-US"/>
              </w:rPr>
            </w:pPr>
            <w:proofErr w:type="spellStart"/>
            <w:r w:rsidRPr="00DB251D">
              <w:rPr>
                <w:rFonts w:eastAsia="Arial"/>
                <w:spacing w:val="-1"/>
                <w:lang w:val="en-US"/>
              </w:rPr>
              <w:t>FSS</w:t>
            </w:r>
            <w:proofErr w:type="spellEnd"/>
            <w:r w:rsidRPr="00DB251D">
              <w:rPr>
                <w:rFonts w:eastAsia="Arial"/>
                <w:spacing w:val="-1"/>
                <w:lang w:val="en-US"/>
              </w:rPr>
              <w:t xml:space="preserve"> protection criteria exceeded for all </w:t>
            </w:r>
            <w:proofErr w:type="spellStart"/>
            <w:r w:rsidRPr="00DB251D">
              <w:rPr>
                <w:rFonts w:eastAsia="Arial"/>
                <w:spacing w:val="-1"/>
                <w:lang w:val="en-US"/>
              </w:rPr>
              <w:t>FSS</w:t>
            </w:r>
            <w:proofErr w:type="spellEnd"/>
            <w:r w:rsidRPr="00DB251D">
              <w:rPr>
                <w:rFonts w:eastAsia="Arial"/>
                <w:spacing w:val="-1"/>
                <w:lang w:val="en-US"/>
              </w:rPr>
              <w:t xml:space="preserve"> groups 1, 2, 3, 4 and 5 (exceeding ranges 5.1 to 15.2 dB)</w:t>
            </w:r>
          </w:p>
        </w:tc>
      </w:tr>
      <w:tr w:rsidR="002176F6" w:rsidRPr="00DB251D" w:rsidTr="00DB251D">
        <w:trPr>
          <w:cantSplit/>
          <w:jc w:val="center"/>
        </w:trPr>
        <w:tc>
          <w:tcPr>
            <w:tcW w:w="992" w:type="pct"/>
            <w:vMerge w:val="restart"/>
            <w:vAlign w:val="center"/>
            <w:hideMark/>
          </w:tcPr>
          <w:p w:rsidR="002176F6" w:rsidRPr="00DB251D" w:rsidRDefault="001E1BC0">
            <w:pPr>
              <w:pStyle w:val="Tabletext"/>
              <w:rPr>
                <w:rFonts w:eastAsia="Arial"/>
                <w:lang w:val="en-US"/>
              </w:rPr>
            </w:pPr>
            <w:r w:rsidRPr="00DB251D">
              <w:rPr>
                <w:rFonts w:eastAsia="Arial"/>
                <w:lang w:val="en-US"/>
              </w:rPr>
              <w:t xml:space="preserve">“Pessimistic” </w:t>
            </w:r>
            <w:r w:rsidRPr="00DB251D">
              <w:rPr>
                <w:rFonts w:eastAsia="Arial"/>
                <w:lang w:val="en-US"/>
              </w:rPr>
              <w:br/>
              <w:t>scenario</w:t>
            </w:r>
          </w:p>
          <w:p w:rsidR="002176F6" w:rsidRPr="00DB251D" w:rsidRDefault="001E1BC0">
            <w:pPr>
              <w:pStyle w:val="Tabletext"/>
              <w:rPr>
                <w:rFonts w:eastAsia="Arial"/>
                <w:lang w:val="en-US"/>
              </w:rPr>
            </w:pPr>
            <w:r w:rsidRPr="00DB251D">
              <w:rPr>
                <w:rFonts w:eastAsia="Arial"/>
                <w:lang w:val="en-US"/>
              </w:rPr>
              <w:t>(Case 27 above)</w:t>
            </w: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hideMark/>
          </w:tcPr>
          <w:p w:rsidR="002176F6" w:rsidRPr="00DB251D" w:rsidRDefault="001E1BC0">
            <w:pPr>
              <w:pStyle w:val="Tabletext"/>
              <w:rPr>
                <w:rFonts w:eastAsia="Arial"/>
                <w:spacing w:val="-3"/>
                <w:lang w:val="en-US"/>
              </w:rPr>
            </w:pPr>
            <w:proofErr w:type="spellStart"/>
            <w:r w:rsidRPr="00DB251D">
              <w:rPr>
                <w:rFonts w:eastAsia="Arial"/>
                <w:spacing w:val="-3"/>
                <w:lang w:val="en-US"/>
              </w:rPr>
              <w:t>FSS</w:t>
            </w:r>
            <w:proofErr w:type="spellEnd"/>
            <w:r w:rsidRPr="00DB251D">
              <w:rPr>
                <w:rFonts w:eastAsia="Arial"/>
                <w:spacing w:val="-3"/>
                <w:lang w:val="en-US"/>
              </w:rPr>
              <w:t xml:space="preserve"> protection criteria exceeded for all </w:t>
            </w:r>
            <w:proofErr w:type="spellStart"/>
            <w:r w:rsidRPr="00DB251D">
              <w:rPr>
                <w:rFonts w:eastAsia="Arial"/>
                <w:spacing w:val="-3"/>
                <w:lang w:val="en-US"/>
              </w:rPr>
              <w:t>FSS</w:t>
            </w:r>
            <w:proofErr w:type="spellEnd"/>
            <w:r w:rsidRPr="00DB251D">
              <w:rPr>
                <w:rFonts w:eastAsia="Arial"/>
                <w:spacing w:val="-3"/>
                <w:lang w:val="en-US"/>
              </w:rPr>
              <w:t xml:space="preserve"> groups</w:t>
            </w:r>
          </w:p>
          <w:p w:rsidR="002176F6" w:rsidRPr="00DB251D" w:rsidRDefault="001E1BC0">
            <w:pPr>
              <w:pStyle w:val="Tabletext"/>
              <w:rPr>
                <w:rFonts w:eastAsia="Arial"/>
                <w:lang w:val="en-US"/>
              </w:rPr>
            </w:pPr>
            <w:r w:rsidRPr="00DB251D">
              <w:rPr>
                <w:rFonts w:eastAsia="Arial"/>
                <w:lang w:val="en-US"/>
              </w:rPr>
              <w:t>1, 2, 3, 4 and 5 (exceeding ranges 4.5 to 15.3 dB)</w:t>
            </w:r>
          </w:p>
        </w:tc>
        <w:tc>
          <w:tcPr>
            <w:tcW w:w="1508" w:type="pct"/>
            <w:hideMark/>
          </w:tcPr>
          <w:p w:rsidR="002176F6" w:rsidRPr="00DB251D" w:rsidRDefault="001E1BC0">
            <w:pPr>
              <w:pStyle w:val="Tabletext"/>
              <w:rPr>
                <w:rFonts w:eastAsia="Arial"/>
                <w:spacing w:val="-2"/>
                <w:lang w:val="en-US"/>
              </w:rPr>
            </w:pPr>
            <w:proofErr w:type="spellStart"/>
            <w:r w:rsidRPr="00DB251D">
              <w:rPr>
                <w:rFonts w:eastAsia="Arial"/>
                <w:spacing w:val="-2"/>
                <w:lang w:val="en-US"/>
              </w:rPr>
              <w:t>FSS</w:t>
            </w:r>
            <w:proofErr w:type="spellEnd"/>
            <w:r w:rsidRPr="00DB251D">
              <w:rPr>
                <w:rFonts w:eastAsia="Arial"/>
                <w:spacing w:val="-2"/>
                <w:lang w:val="en-US"/>
              </w:rPr>
              <w:t xml:space="preserve"> protection criteria exceeded for all </w:t>
            </w:r>
            <w:proofErr w:type="spellStart"/>
            <w:r w:rsidRPr="00DB251D">
              <w:rPr>
                <w:rFonts w:eastAsia="Arial"/>
                <w:spacing w:val="-2"/>
                <w:lang w:val="en-US"/>
              </w:rPr>
              <w:t>FSS</w:t>
            </w:r>
            <w:proofErr w:type="spellEnd"/>
            <w:r w:rsidRPr="00DB251D">
              <w:rPr>
                <w:rFonts w:eastAsia="Arial"/>
                <w:spacing w:val="-2"/>
                <w:lang w:val="en-US"/>
              </w:rPr>
              <w:t xml:space="preserve"> groups 1, 2 and 4 (exceeding ranges 6.3 to 16.5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4</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hideMark/>
          </w:tcPr>
          <w:p w:rsidR="002176F6" w:rsidRPr="00DB251D" w:rsidRDefault="001E1BC0">
            <w:pPr>
              <w:pStyle w:val="Tabletext"/>
              <w:rPr>
                <w:rFonts w:eastAsia="Arial"/>
                <w:spacing w:val="-3"/>
                <w:lang w:val="en-US"/>
              </w:rPr>
            </w:pPr>
            <w:proofErr w:type="spellStart"/>
            <w:r w:rsidRPr="00DB251D">
              <w:rPr>
                <w:rFonts w:eastAsia="Arial"/>
                <w:spacing w:val="-3"/>
                <w:lang w:val="en-US"/>
              </w:rPr>
              <w:t>FSS</w:t>
            </w:r>
            <w:proofErr w:type="spellEnd"/>
            <w:r w:rsidRPr="00DB251D">
              <w:rPr>
                <w:rFonts w:eastAsia="Arial"/>
                <w:spacing w:val="-3"/>
                <w:lang w:val="en-US"/>
              </w:rPr>
              <w:t xml:space="preserve"> protection criteria exceeded for all </w:t>
            </w:r>
            <w:proofErr w:type="spellStart"/>
            <w:r w:rsidRPr="00DB251D">
              <w:rPr>
                <w:rFonts w:eastAsia="Arial"/>
                <w:spacing w:val="-3"/>
                <w:lang w:val="en-US"/>
              </w:rPr>
              <w:t>FSS</w:t>
            </w:r>
            <w:proofErr w:type="spellEnd"/>
            <w:r w:rsidRPr="00DB251D">
              <w:rPr>
                <w:rFonts w:eastAsia="Arial"/>
                <w:spacing w:val="-3"/>
                <w:lang w:val="en-US"/>
              </w:rPr>
              <w:t xml:space="preserve"> groups</w:t>
            </w:r>
          </w:p>
          <w:p w:rsidR="002176F6" w:rsidRPr="00DB251D" w:rsidRDefault="001E1BC0">
            <w:pPr>
              <w:pStyle w:val="Tabletext"/>
              <w:rPr>
                <w:rFonts w:eastAsia="Arial"/>
                <w:lang w:val="en-US"/>
              </w:rPr>
            </w:pPr>
            <w:r w:rsidRPr="00DB251D">
              <w:rPr>
                <w:rFonts w:eastAsia="Arial"/>
                <w:lang w:val="en-US"/>
              </w:rPr>
              <w:t>2, 3, 4 and 5 (exceeding ranges 6.7 to 17.4 dB)</w:t>
            </w:r>
          </w:p>
        </w:tc>
        <w:tc>
          <w:tcPr>
            <w:tcW w:w="1508" w:type="pct"/>
            <w:hideMark/>
          </w:tcPr>
          <w:p w:rsidR="002176F6" w:rsidRPr="00DB251D" w:rsidRDefault="001E1BC0">
            <w:pPr>
              <w:pStyle w:val="Tabletext"/>
              <w:rPr>
                <w:rFonts w:eastAsia="Arial"/>
                <w:spacing w:val="-1"/>
                <w:lang w:val="en-US"/>
              </w:rPr>
            </w:pPr>
            <w:proofErr w:type="spellStart"/>
            <w:r w:rsidRPr="00DB251D">
              <w:rPr>
                <w:rFonts w:eastAsia="Arial"/>
                <w:spacing w:val="-1"/>
                <w:lang w:val="en-US"/>
              </w:rPr>
              <w:t>FSS</w:t>
            </w:r>
            <w:proofErr w:type="spellEnd"/>
            <w:r w:rsidRPr="00DB251D">
              <w:rPr>
                <w:rFonts w:eastAsia="Arial"/>
                <w:spacing w:val="-1"/>
                <w:lang w:val="en-US"/>
              </w:rPr>
              <w:t xml:space="preserve"> protection criteria exceeded for all </w:t>
            </w:r>
            <w:proofErr w:type="spellStart"/>
            <w:r w:rsidRPr="00DB251D">
              <w:rPr>
                <w:rFonts w:eastAsia="Arial"/>
                <w:spacing w:val="-1"/>
                <w:lang w:val="en-US"/>
              </w:rPr>
              <w:t>FSS</w:t>
            </w:r>
            <w:proofErr w:type="spellEnd"/>
            <w:r w:rsidRPr="00DB251D">
              <w:rPr>
                <w:rFonts w:eastAsia="Arial"/>
                <w:spacing w:val="-1"/>
                <w:lang w:val="en-US"/>
              </w:rPr>
              <w:t xml:space="preserve"> groups 1, 2 and 4 (exceeding ranges 8.4 to 18.6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17</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w:t>
            </w:r>
          </w:p>
          <w:p w:rsidR="002176F6" w:rsidRPr="00DB251D" w:rsidRDefault="001E1BC0">
            <w:pPr>
              <w:pStyle w:val="Tabletext"/>
              <w:rPr>
                <w:rFonts w:eastAsia="Arial"/>
                <w:lang w:val="en-US"/>
              </w:rPr>
            </w:pPr>
            <w:r w:rsidRPr="00DB251D">
              <w:rPr>
                <w:rFonts w:eastAsia="Arial"/>
                <w:lang w:val="en-US"/>
              </w:rPr>
              <w:t xml:space="preserve">exceeded for all </w:t>
            </w:r>
            <w:proofErr w:type="spellStart"/>
            <w:r w:rsidRPr="00DB251D">
              <w:rPr>
                <w:rFonts w:eastAsia="Arial"/>
                <w:lang w:val="en-US"/>
              </w:rPr>
              <w:t>FSS</w:t>
            </w:r>
            <w:proofErr w:type="spellEnd"/>
            <w:r w:rsidRPr="00DB251D">
              <w:rPr>
                <w:rFonts w:eastAsia="Arial"/>
                <w:lang w:val="en-US"/>
              </w:rPr>
              <w:t xml:space="preserve"> groups 1,</w:t>
            </w:r>
          </w:p>
          <w:p w:rsidR="002176F6" w:rsidRPr="00DB251D" w:rsidRDefault="001E1BC0">
            <w:pPr>
              <w:pStyle w:val="Tabletext"/>
              <w:rPr>
                <w:rFonts w:eastAsia="Arial"/>
                <w:spacing w:val="-1"/>
                <w:lang w:val="en-US"/>
              </w:rPr>
            </w:pPr>
            <w:r w:rsidRPr="00DB251D">
              <w:rPr>
                <w:rFonts w:eastAsia="Arial"/>
                <w:spacing w:val="-1"/>
                <w:lang w:val="en-US"/>
              </w:rPr>
              <w:t>3, 4 and 5 (exceeding ranges 8.5 to 19.2 dB)</w:t>
            </w:r>
          </w:p>
        </w:tc>
        <w:tc>
          <w:tcPr>
            <w:tcW w:w="1508"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 for all </w:t>
            </w:r>
            <w:proofErr w:type="spellStart"/>
            <w:r w:rsidRPr="00DB251D">
              <w:rPr>
                <w:rFonts w:eastAsia="Arial"/>
                <w:lang w:val="en-US"/>
              </w:rPr>
              <w:t>FSS</w:t>
            </w:r>
            <w:proofErr w:type="spellEnd"/>
            <w:r w:rsidRPr="00DB251D">
              <w:rPr>
                <w:rFonts w:eastAsia="Arial"/>
                <w:lang w:val="en-US"/>
              </w:rPr>
              <w:t xml:space="preserve"> groups 1, 2 and 4 (exceeding ranges 10.3 to 20.4 dB)</w:t>
            </w:r>
          </w:p>
        </w:tc>
      </w:tr>
      <w:tr w:rsidR="002176F6" w:rsidRPr="00DB251D" w:rsidTr="00DB251D">
        <w:trPr>
          <w:cantSplit/>
          <w:jc w:val="center"/>
        </w:trPr>
        <w:tc>
          <w:tcPr>
            <w:tcW w:w="0" w:type="auto"/>
            <w:vMerge/>
            <w:vAlign w:val="center"/>
            <w:hideMark/>
          </w:tcPr>
          <w:p w:rsidR="002176F6" w:rsidRPr="00DB251D" w:rsidRDefault="002176F6">
            <w:pPr>
              <w:pStyle w:val="Tabletext"/>
              <w:rPr>
                <w:rFonts w:eastAsia="Arial"/>
                <w:lang w:val="en-US"/>
              </w:rPr>
            </w:pPr>
          </w:p>
        </w:tc>
        <w:tc>
          <w:tcPr>
            <w:tcW w:w="524" w:type="pct"/>
            <w:vAlign w:val="center"/>
            <w:hideMark/>
          </w:tcPr>
          <w:p w:rsidR="002176F6" w:rsidRPr="00DB251D" w:rsidRDefault="001E1BC0">
            <w:pPr>
              <w:pStyle w:val="Tabletext"/>
              <w:rPr>
                <w:rFonts w:eastAsia="Arial"/>
                <w:lang w:val="en-US"/>
              </w:rPr>
            </w:pPr>
            <w:r w:rsidRPr="00DB251D">
              <w:rPr>
                <w:rFonts w:eastAsia="Arial"/>
                <w:lang w:val="en-US"/>
              </w:rPr>
              <w:t>0</w:t>
            </w:r>
          </w:p>
        </w:tc>
        <w:tc>
          <w:tcPr>
            <w:tcW w:w="533" w:type="pct"/>
            <w:vAlign w:val="center"/>
            <w:hideMark/>
          </w:tcPr>
          <w:p w:rsidR="002176F6" w:rsidRPr="00DB251D" w:rsidRDefault="001E1BC0">
            <w:pPr>
              <w:pStyle w:val="Tabletext"/>
              <w:rPr>
                <w:rFonts w:eastAsia="Arial"/>
                <w:lang w:val="en-US"/>
              </w:rPr>
            </w:pPr>
            <w:r w:rsidRPr="00DB251D">
              <w:rPr>
                <w:rFonts w:eastAsia="Arial"/>
                <w:lang w:val="en-US"/>
              </w:rPr>
              <w:t>12</w:t>
            </w:r>
          </w:p>
        </w:tc>
        <w:tc>
          <w:tcPr>
            <w:tcW w:w="1443"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w:t>
            </w:r>
          </w:p>
          <w:p w:rsidR="002176F6" w:rsidRPr="00DB251D" w:rsidRDefault="001E1BC0">
            <w:pPr>
              <w:pStyle w:val="Tabletext"/>
              <w:rPr>
                <w:rFonts w:eastAsia="Arial"/>
                <w:lang w:val="en-US"/>
              </w:rPr>
            </w:pPr>
            <w:r w:rsidRPr="00DB251D">
              <w:rPr>
                <w:rFonts w:eastAsia="Arial"/>
                <w:lang w:val="en-US"/>
              </w:rPr>
              <w:t xml:space="preserve">exceeded for all </w:t>
            </w:r>
            <w:proofErr w:type="spellStart"/>
            <w:r w:rsidRPr="00DB251D">
              <w:rPr>
                <w:rFonts w:eastAsia="Arial"/>
                <w:lang w:val="en-US"/>
              </w:rPr>
              <w:t>FSS</w:t>
            </w:r>
            <w:proofErr w:type="spellEnd"/>
            <w:r w:rsidRPr="00DB251D">
              <w:rPr>
                <w:rFonts w:eastAsia="Arial"/>
                <w:lang w:val="en-US"/>
              </w:rPr>
              <w:t xml:space="preserve"> groups 1,</w:t>
            </w:r>
          </w:p>
          <w:p w:rsidR="002176F6" w:rsidRPr="00DB251D" w:rsidRDefault="001E1BC0">
            <w:pPr>
              <w:pStyle w:val="Tabletext"/>
              <w:rPr>
                <w:rFonts w:eastAsia="Arial"/>
                <w:lang w:val="en-US"/>
              </w:rPr>
            </w:pPr>
            <w:r w:rsidRPr="00DB251D">
              <w:rPr>
                <w:rFonts w:eastAsia="Arial"/>
                <w:lang w:val="en-US"/>
              </w:rPr>
              <w:t xml:space="preserve">2, 3, 4 and 5 (exceeding </w:t>
            </w:r>
            <w:r w:rsidRPr="00DB251D">
              <w:rPr>
                <w:rFonts w:eastAsia="Arial"/>
                <w:lang w:val="en-US"/>
              </w:rPr>
              <w:br/>
              <w:t>ranges 10.7 to 21.4 dB)</w:t>
            </w:r>
          </w:p>
        </w:tc>
        <w:tc>
          <w:tcPr>
            <w:tcW w:w="1508" w:type="pct"/>
            <w:hideMark/>
          </w:tcPr>
          <w:p w:rsidR="002176F6" w:rsidRPr="00DB251D" w:rsidRDefault="001E1BC0">
            <w:pPr>
              <w:pStyle w:val="Tabletext"/>
              <w:rPr>
                <w:rFonts w:eastAsia="Arial"/>
                <w:lang w:val="en-US"/>
              </w:rPr>
            </w:pPr>
            <w:proofErr w:type="spellStart"/>
            <w:r w:rsidRPr="00DB251D">
              <w:rPr>
                <w:rFonts w:eastAsia="Arial"/>
                <w:lang w:val="en-US"/>
              </w:rPr>
              <w:t>FSS</w:t>
            </w:r>
            <w:proofErr w:type="spellEnd"/>
            <w:r w:rsidRPr="00DB251D">
              <w:rPr>
                <w:rFonts w:eastAsia="Arial"/>
                <w:lang w:val="en-US"/>
              </w:rPr>
              <w:t xml:space="preserve"> protection criteria exceeded for all </w:t>
            </w:r>
            <w:proofErr w:type="spellStart"/>
            <w:r w:rsidRPr="00DB251D">
              <w:rPr>
                <w:rFonts w:eastAsia="Arial"/>
                <w:lang w:val="en-US"/>
              </w:rPr>
              <w:t>FSS</w:t>
            </w:r>
            <w:proofErr w:type="spellEnd"/>
            <w:r w:rsidRPr="00DB251D">
              <w:rPr>
                <w:rFonts w:eastAsia="Arial"/>
                <w:lang w:val="en-US"/>
              </w:rPr>
              <w:t xml:space="preserve"> groups 1, 2 and 4 (exceeding ranges 12.4 to 22.6 dB)</w:t>
            </w:r>
          </w:p>
        </w:tc>
      </w:tr>
    </w:tbl>
    <w:p w:rsidR="00DB251D" w:rsidRPr="00DB251D" w:rsidRDefault="00DB251D" w:rsidP="00DB251D">
      <w:pPr>
        <w:pStyle w:val="Tablefin"/>
        <w:rPr>
          <w:lang w:val="en-US"/>
        </w:rPr>
      </w:pPr>
    </w:p>
    <w:p w:rsidR="002176F6" w:rsidRPr="00DB251D" w:rsidRDefault="001E1BC0">
      <w:pPr>
        <w:pStyle w:val="Heading4"/>
        <w:rPr>
          <w:b w:val="0"/>
          <w:lang w:val="en-US"/>
        </w:rPr>
      </w:pPr>
      <w:r w:rsidRPr="00DB251D">
        <w:rPr>
          <w:lang w:val="en-US"/>
        </w:rPr>
        <w:t>5.2.2.1</w:t>
      </w:r>
      <w:r w:rsidRPr="00DB251D">
        <w:rPr>
          <w:lang w:val="en-US"/>
        </w:rPr>
        <w:tab/>
        <w:t>Estimation of interference from WAS/</w:t>
      </w:r>
      <w:proofErr w:type="spellStart"/>
      <w:r w:rsidRPr="00DB251D">
        <w:rPr>
          <w:lang w:val="en-US"/>
        </w:rPr>
        <w:t>RLAN</w:t>
      </w:r>
      <w:proofErr w:type="spellEnd"/>
      <w:r w:rsidRPr="00DB251D">
        <w:rPr>
          <w:lang w:val="en-US"/>
        </w:rPr>
        <w:t xml:space="preserve"> through empirical methods</w:t>
      </w:r>
    </w:p>
    <w:p w:rsidR="002176F6" w:rsidRPr="00DB251D" w:rsidRDefault="001E1BC0">
      <w:pPr>
        <w:rPr>
          <w:rFonts w:eastAsia="SimSun"/>
          <w:lang w:val="en-US"/>
        </w:rPr>
      </w:pPr>
      <w:r w:rsidRPr="00DB251D">
        <w:rPr>
          <w:rFonts w:eastAsia="SimSun"/>
          <w:lang w:val="en-US"/>
        </w:rPr>
        <w:t>As a potential way forward to estimate the interference from WAS/</w:t>
      </w:r>
      <w:proofErr w:type="spellStart"/>
      <w:r w:rsidRPr="00DB251D">
        <w:rPr>
          <w:rFonts w:eastAsia="SimSun"/>
          <w:lang w:val="en-US"/>
        </w:rPr>
        <w:t>RLAN</w:t>
      </w:r>
      <w:proofErr w:type="spellEnd"/>
      <w:r w:rsidRPr="00DB251D">
        <w:rPr>
          <w:rFonts w:eastAsia="SimSun"/>
          <w:lang w:val="en-US"/>
        </w:rPr>
        <w:t xml:space="preserve">, an innovative contribution was made available to WP </w:t>
      </w:r>
      <w:proofErr w:type="spellStart"/>
      <w:r w:rsidRPr="00DB251D">
        <w:rPr>
          <w:rFonts w:eastAsia="SimSun"/>
          <w:lang w:val="en-US"/>
        </w:rPr>
        <w:t>5A</w:t>
      </w:r>
      <w:proofErr w:type="spellEnd"/>
      <w:r w:rsidRPr="00DB251D">
        <w:rPr>
          <w:rFonts w:eastAsia="SimSun"/>
          <w:lang w:val="en-US"/>
        </w:rPr>
        <w:t xml:space="preserve"> (Doc. </w:t>
      </w:r>
      <w:hyperlink r:id="rId25" w:history="1">
        <w:proofErr w:type="spellStart"/>
        <w:r w:rsidRPr="00DB251D">
          <w:rPr>
            <w:rStyle w:val="Hyperlink"/>
            <w:rFonts w:eastAsia="SimSun"/>
            <w:lang w:val="en-US"/>
          </w:rPr>
          <w:t>5A</w:t>
        </w:r>
        <w:proofErr w:type="spellEnd"/>
        <w:r w:rsidRPr="00DB251D">
          <w:rPr>
            <w:rStyle w:val="Hyperlink"/>
            <w:rFonts w:eastAsia="SimSun"/>
            <w:lang w:val="en-US"/>
          </w:rPr>
          <w:t>/91</w:t>
        </w:r>
      </w:hyperlink>
      <w:r w:rsidRPr="00DB251D">
        <w:rPr>
          <w:rFonts w:eastAsia="SimSun"/>
          <w:lang w:val="en-US"/>
        </w:rPr>
        <w:t xml:space="preserve">) suggesting the estimation of interference through an empirical method consisting on airborne measurements. A separate report on measurements on interference created by </w:t>
      </w:r>
      <w:proofErr w:type="spellStart"/>
      <w:r w:rsidRPr="00DB251D">
        <w:rPr>
          <w:rFonts w:eastAsia="SimSun"/>
          <w:lang w:val="en-US"/>
        </w:rPr>
        <w:t>RLAN</w:t>
      </w:r>
      <w:proofErr w:type="spellEnd"/>
      <w:r w:rsidRPr="00DB251D">
        <w:rPr>
          <w:rFonts w:eastAsia="SimSun"/>
          <w:lang w:val="en-US"/>
        </w:rPr>
        <w:t xml:space="preserve"> using airborne is under elaboration.</w:t>
      </w:r>
    </w:p>
    <w:p w:rsidR="002176F6" w:rsidRPr="00DB251D" w:rsidRDefault="001E1BC0">
      <w:pPr>
        <w:rPr>
          <w:rFonts w:eastAsia="Calibri"/>
          <w:color w:val="1A1A1A"/>
          <w:szCs w:val="24"/>
          <w:lang w:val="en-US"/>
        </w:rPr>
      </w:pPr>
      <w:r w:rsidRPr="00DB251D">
        <w:rPr>
          <w:rFonts w:eastAsia="Calibri"/>
          <w:color w:val="1A1A1A"/>
          <w:szCs w:val="24"/>
          <w:lang w:val="en-US"/>
        </w:rPr>
        <w:t>A detailed analysis on the set of airborne measurements has been made. In general these airborne measurements are potentially interesting to:</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Achieve a better understanding of the study models before the actual </w:t>
      </w:r>
      <w:proofErr w:type="spellStart"/>
      <w:r w:rsidR="001E1BC0" w:rsidRPr="00DB251D">
        <w:rPr>
          <w:lang w:val="en-US"/>
        </w:rPr>
        <w:t>RLAN</w:t>
      </w:r>
      <w:proofErr w:type="spellEnd"/>
      <w:r w:rsidR="001E1BC0" w:rsidRPr="00DB251D">
        <w:rPr>
          <w:lang w:val="en-US"/>
        </w:rPr>
        <w:t xml:space="preserve"> deployment, with a view to determine the actual interference level observed and compare it with calculated results of studies;</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To measure and control, including on the long term, the aggregate interference into </w:t>
      </w:r>
      <w:proofErr w:type="spellStart"/>
      <w:r w:rsidR="001E1BC0" w:rsidRPr="00DB251D">
        <w:rPr>
          <w:lang w:val="en-US"/>
        </w:rPr>
        <w:t>FSS</w:t>
      </w:r>
      <w:proofErr w:type="spellEnd"/>
      <w:r w:rsidR="001E1BC0" w:rsidRPr="00DB251D">
        <w:rPr>
          <w:lang w:val="en-US"/>
        </w:rPr>
        <w:t xml:space="preserve"> space stations when </w:t>
      </w:r>
      <w:proofErr w:type="spellStart"/>
      <w:r w:rsidR="001E1BC0" w:rsidRPr="00DB251D">
        <w:rPr>
          <w:lang w:val="en-US"/>
        </w:rPr>
        <w:t>RLAN</w:t>
      </w:r>
      <w:proofErr w:type="spellEnd"/>
      <w:r w:rsidR="001E1BC0" w:rsidRPr="00DB251D">
        <w:rPr>
          <w:lang w:val="en-US"/>
        </w:rPr>
        <w:t xml:space="preserve"> deployment is developing.</w:t>
      </w:r>
    </w:p>
    <w:p w:rsidR="002176F6" w:rsidRPr="00DB251D" w:rsidRDefault="001E1BC0">
      <w:pPr>
        <w:rPr>
          <w:rFonts w:eastAsia="Calibri"/>
          <w:lang w:val="en-US"/>
        </w:rPr>
      </w:pPr>
      <w:r w:rsidRPr="00DB251D">
        <w:rPr>
          <w:rFonts w:eastAsia="Calibri"/>
          <w:lang w:val="en-US"/>
        </w:rPr>
        <w:t xml:space="preserve">Preliminary conclusions on the airborne measurements do not allow at this stage </w:t>
      </w:r>
      <w:proofErr w:type="spellStart"/>
      <w:r w:rsidRPr="00DB251D">
        <w:rPr>
          <w:rFonts w:eastAsia="Calibri"/>
          <w:lang w:val="en-US"/>
        </w:rPr>
        <w:t>characterisation</w:t>
      </w:r>
      <w:proofErr w:type="spellEnd"/>
      <w:r w:rsidRPr="00DB251D">
        <w:rPr>
          <w:rFonts w:eastAsia="Calibri"/>
          <w:lang w:val="en-US"/>
        </w:rPr>
        <w:t xml:space="preserve"> of the interference environment and do not allow quantitative conclusions to be drawn. Additional </w:t>
      </w:r>
      <w:r w:rsidRPr="00DB251D">
        <w:rPr>
          <w:rFonts w:eastAsia="Calibri"/>
          <w:lang w:val="en-US"/>
        </w:rPr>
        <w:lastRenderedPageBreak/>
        <w:t>measurements campaigns from airplanes (including in other geographical areas) would be necessary before being able to draw any conclusions from such measurements.</w:t>
      </w:r>
    </w:p>
    <w:p w:rsidR="002176F6" w:rsidRPr="00DB251D" w:rsidRDefault="001E1BC0">
      <w:pPr>
        <w:rPr>
          <w:rFonts w:eastAsia="Calibri"/>
          <w:lang w:val="en-US"/>
        </w:rPr>
      </w:pPr>
      <w:r w:rsidRPr="00DB251D">
        <w:rPr>
          <w:rFonts w:eastAsia="Calibri"/>
          <w:lang w:val="en-US"/>
        </w:rPr>
        <w:t>Furthermore, the following issues should be investigated and clarified on possible future airborne measurements:</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Measurements are made locally at low altitude (few </w:t>
      </w:r>
      <w:proofErr w:type="spellStart"/>
      <w:r w:rsidR="001E1BC0" w:rsidRPr="00DB251D">
        <w:rPr>
          <w:lang w:val="en-US"/>
        </w:rPr>
        <w:t>kms</w:t>
      </w:r>
      <w:proofErr w:type="spellEnd"/>
      <w:r w:rsidR="001E1BC0" w:rsidRPr="00DB251D">
        <w:rPr>
          <w:lang w:val="en-US"/>
        </w:rPr>
        <w:t xml:space="preserve">) whereas </w:t>
      </w:r>
      <w:proofErr w:type="spellStart"/>
      <w:r w:rsidR="001E1BC0" w:rsidRPr="00DB251D">
        <w:rPr>
          <w:lang w:val="en-US"/>
        </w:rPr>
        <w:t>FSS</w:t>
      </w:r>
      <w:proofErr w:type="spellEnd"/>
      <w:r w:rsidR="001E1BC0" w:rsidRPr="00DB251D">
        <w:rPr>
          <w:lang w:val="en-US"/>
        </w:rPr>
        <w:t xml:space="preserve"> space stations cover wide geographic areas and operate from the </w:t>
      </w:r>
      <w:proofErr w:type="spellStart"/>
      <w:r w:rsidR="001E1BC0" w:rsidRPr="00DB251D">
        <w:rPr>
          <w:lang w:val="en-US"/>
        </w:rPr>
        <w:t>GSO</w:t>
      </w:r>
      <w:proofErr w:type="spellEnd"/>
      <w:r w:rsidR="001E1BC0" w:rsidRPr="00DB251D">
        <w:rPr>
          <w:lang w:val="en-US"/>
        </w:rPr>
        <w:t xml:space="preserve"> orbit in space.</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It is not clear how measurements at 2.4 GHz (for which the reference point is not clear, is it less congested than expected?) can help </w:t>
      </w:r>
      <w:proofErr w:type="spellStart"/>
      <w:r w:rsidR="001E1BC0" w:rsidRPr="00DB251D">
        <w:rPr>
          <w:lang w:val="en-US"/>
        </w:rPr>
        <w:t>characterise</w:t>
      </w:r>
      <w:proofErr w:type="spellEnd"/>
      <w:r w:rsidR="001E1BC0" w:rsidRPr="00DB251D">
        <w:rPr>
          <w:lang w:val="en-US"/>
        </w:rPr>
        <w:t xml:space="preserve"> the interference environment at 5 GHz, especially since measurements at 5 GHz are close the noise floor. </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Measurements should be made during busy hours.</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It is not clear how space and time dynamics of an airplane is comparable with the case of </w:t>
      </w:r>
      <w:proofErr w:type="spellStart"/>
      <w:r w:rsidR="001E1BC0" w:rsidRPr="00DB251D">
        <w:rPr>
          <w:lang w:val="en-US"/>
        </w:rPr>
        <w:t>GSO</w:t>
      </w:r>
      <w:proofErr w:type="spellEnd"/>
      <w:r w:rsidR="001E1BC0" w:rsidRPr="00DB251D">
        <w:rPr>
          <w:lang w:val="en-US"/>
        </w:rPr>
        <w:t xml:space="preserve"> satellites (which are seen from the Earth as static in the sky).</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 xml:space="preserve">These measurements have considered two elevation angles (30 and 90 degrees). It would seem useful to specifically conduct measurements at elevation and azimuths corresponding to the </w:t>
      </w:r>
      <w:proofErr w:type="spellStart"/>
      <w:r w:rsidR="001E1BC0" w:rsidRPr="00DB251D">
        <w:rPr>
          <w:lang w:val="en-US"/>
        </w:rPr>
        <w:t>GSO</w:t>
      </w:r>
      <w:proofErr w:type="spellEnd"/>
      <w:r w:rsidR="001E1BC0" w:rsidRPr="00DB251D">
        <w:rPr>
          <w:lang w:val="en-US"/>
        </w:rPr>
        <w:t xml:space="preserve"> orbit, since the </w:t>
      </w:r>
      <w:proofErr w:type="spellStart"/>
      <w:r w:rsidR="001E1BC0" w:rsidRPr="00DB251D">
        <w:rPr>
          <w:lang w:val="en-US"/>
        </w:rPr>
        <w:t>GSO</w:t>
      </w:r>
      <w:proofErr w:type="spellEnd"/>
      <w:r w:rsidR="001E1BC0" w:rsidRPr="00DB251D">
        <w:rPr>
          <w:lang w:val="en-US"/>
        </w:rPr>
        <w:t xml:space="preserve"> orbit as seen from the Earth is a particular path in the sky, from </w:t>
      </w:r>
      <w:r w:rsidR="002E7775" w:rsidRPr="00DB251D">
        <w:rPr>
          <w:lang w:val="en-US"/>
        </w:rPr>
        <w:t>0-degree</w:t>
      </w:r>
      <w:r w:rsidR="001E1BC0" w:rsidRPr="00DB251D">
        <w:rPr>
          <w:lang w:val="en-US"/>
        </w:rPr>
        <w:t xml:space="preserve"> elevation angle at horizon for the most western and eastern azimuths to about 48 degrees elevation angle at south azimuths, from London.</w:t>
      </w:r>
    </w:p>
    <w:p w:rsidR="002176F6" w:rsidRPr="00DB251D" w:rsidRDefault="001E1BC0">
      <w:pPr>
        <w:pStyle w:val="Heading4"/>
        <w:rPr>
          <w:lang w:val="en-US"/>
        </w:rPr>
      </w:pPr>
      <w:r w:rsidRPr="00DB251D">
        <w:rPr>
          <w:lang w:val="en-US"/>
        </w:rPr>
        <w:t>5.2.2.2</w:t>
      </w:r>
      <w:r w:rsidRPr="00DB251D">
        <w:rPr>
          <w:lang w:val="en-US"/>
        </w:rPr>
        <w:tab/>
        <w:t>Potential mitigation techniques for WAS/</w:t>
      </w:r>
      <w:proofErr w:type="spellStart"/>
      <w:r w:rsidRPr="00DB251D">
        <w:rPr>
          <w:lang w:val="en-US"/>
        </w:rPr>
        <w:t>RLAN</w:t>
      </w:r>
      <w:proofErr w:type="spellEnd"/>
    </w:p>
    <w:p w:rsidR="002176F6" w:rsidRPr="00DB251D" w:rsidRDefault="002E7775">
      <w:pPr>
        <w:rPr>
          <w:rFonts w:eastAsia="Calibri"/>
          <w:lang w:val="en-US"/>
        </w:rPr>
      </w:pPr>
      <w:r w:rsidRPr="00DB251D">
        <w:rPr>
          <w:rFonts w:eastAsia="Calibri"/>
          <w:lang w:val="en-US"/>
        </w:rPr>
        <w:t>It can be noted</w:t>
      </w:r>
      <w:r w:rsidR="001E1BC0" w:rsidRPr="00DB251D">
        <w:rPr>
          <w:rFonts w:eastAsia="Calibri"/>
          <w:lang w:val="en-US"/>
        </w:rPr>
        <w:t xml:space="preserve"> sufficient details on potential mitigation techniques are lacking, despite the fact that previous studies concluded on the need of such mitigation techniques. It is understood that further specific sharing studies WAS/</w:t>
      </w:r>
      <w:proofErr w:type="spellStart"/>
      <w:r w:rsidR="001E1BC0" w:rsidRPr="00DB251D">
        <w:rPr>
          <w:rFonts w:eastAsia="Calibri"/>
          <w:lang w:val="en-US"/>
        </w:rPr>
        <w:t>RLAN</w:t>
      </w:r>
      <w:proofErr w:type="spellEnd"/>
      <w:r w:rsidR="001E1BC0" w:rsidRPr="00DB251D">
        <w:rPr>
          <w:rFonts w:eastAsia="Calibri"/>
          <w:lang w:val="en-US"/>
        </w:rPr>
        <w:t xml:space="preserve"> and </w:t>
      </w:r>
      <w:proofErr w:type="spellStart"/>
      <w:r w:rsidR="001E1BC0" w:rsidRPr="00DB251D">
        <w:rPr>
          <w:rFonts w:eastAsia="Calibri"/>
          <w:lang w:val="en-US"/>
        </w:rPr>
        <w:t>FSS</w:t>
      </w:r>
      <w:proofErr w:type="spellEnd"/>
      <w:r w:rsidR="001E1BC0" w:rsidRPr="00DB251D">
        <w:rPr>
          <w:rFonts w:eastAsia="Calibri"/>
          <w:lang w:val="en-US"/>
        </w:rPr>
        <w:t xml:space="preserve"> will be conducted as part of the AI 1.16 work plan; presumably, these studies will conclude on the need of adequate mitigation techniques. See, for example, the conclusions reached by </w:t>
      </w:r>
      <w:proofErr w:type="spellStart"/>
      <w:r w:rsidR="001E1BC0" w:rsidRPr="00DB251D">
        <w:rPr>
          <w:rFonts w:eastAsia="Calibri"/>
          <w:lang w:val="en-US"/>
        </w:rPr>
        <w:t>JTG</w:t>
      </w:r>
      <w:proofErr w:type="spellEnd"/>
      <w:r w:rsidR="001E1BC0" w:rsidRPr="00DB251D">
        <w:rPr>
          <w:rFonts w:eastAsia="Calibri"/>
          <w:lang w:val="en-US"/>
        </w:rPr>
        <w:t xml:space="preserve"> at the previous study cycle for similar sharing studies (Example: Doc. 2357).</w:t>
      </w:r>
    </w:p>
    <w:p w:rsidR="002176F6" w:rsidRPr="00DB251D" w:rsidRDefault="001E1BC0">
      <w:pPr>
        <w:rPr>
          <w:rFonts w:eastAsia="Calibri"/>
          <w:lang w:val="en-US"/>
        </w:rPr>
      </w:pPr>
      <w:r w:rsidRPr="00DB251D">
        <w:rPr>
          <w:rFonts w:eastAsia="Calibri"/>
          <w:lang w:val="en-US"/>
        </w:rPr>
        <w:t xml:space="preserve">For protection of the </w:t>
      </w:r>
      <w:proofErr w:type="spellStart"/>
      <w:r w:rsidRPr="00DB251D">
        <w:rPr>
          <w:rFonts w:eastAsia="Calibri"/>
          <w:lang w:val="en-US"/>
        </w:rPr>
        <w:t>FSS</w:t>
      </w:r>
      <w:proofErr w:type="spellEnd"/>
      <w:r w:rsidRPr="00DB251D">
        <w:rPr>
          <w:rFonts w:eastAsia="Calibri"/>
          <w:lang w:val="en-US"/>
        </w:rPr>
        <w:t>, two possible mitigation techniques can be identified:</w:t>
      </w:r>
    </w:p>
    <w:p w:rsidR="002176F6" w:rsidRPr="00DB251D" w:rsidRDefault="00DB251D" w:rsidP="00DB251D">
      <w:pPr>
        <w:pStyle w:val="enumlev1"/>
        <w:rPr>
          <w:lang w:val="en-US"/>
        </w:rPr>
      </w:pPr>
      <w:r w:rsidRPr="00DB251D">
        <w:rPr>
          <w:lang w:val="en-US"/>
        </w:rPr>
        <w:t>–</w:t>
      </w:r>
      <w:r w:rsidR="001E1BC0" w:rsidRPr="00DB251D">
        <w:rPr>
          <w:lang w:val="en-US"/>
        </w:rPr>
        <w:tab/>
        <w:t xml:space="preserve">Limitation of </w:t>
      </w:r>
      <w:proofErr w:type="spellStart"/>
      <w:r w:rsidR="001E1BC0" w:rsidRPr="00DB251D">
        <w:rPr>
          <w:lang w:val="en-US"/>
        </w:rPr>
        <w:t>RLAN</w:t>
      </w:r>
      <w:proofErr w:type="spellEnd"/>
      <w:r w:rsidR="001E1BC0" w:rsidRPr="00DB251D">
        <w:rPr>
          <w:lang w:val="en-US"/>
        </w:rPr>
        <w:t xml:space="preserve"> deployment to indoor only.</w:t>
      </w:r>
    </w:p>
    <w:p w:rsidR="002176F6" w:rsidRPr="00DB251D" w:rsidRDefault="00DB251D" w:rsidP="00DB251D">
      <w:pPr>
        <w:pStyle w:val="enumlev1"/>
        <w:rPr>
          <w:lang w:val="en-US"/>
        </w:rPr>
      </w:pPr>
      <w:r w:rsidRPr="00DB251D">
        <w:rPr>
          <w:lang w:val="en-US"/>
        </w:rPr>
        <w:t>–</w:t>
      </w:r>
      <w:r w:rsidR="001E1BC0" w:rsidRPr="00DB251D">
        <w:rPr>
          <w:lang w:val="en-US"/>
        </w:rPr>
        <w:tab/>
        <w:t xml:space="preserve">Placing a limit on the maximum </w:t>
      </w:r>
      <w:proofErr w:type="spellStart"/>
      <w:r w:rsidR="001E1BC0" w:rsidRPr="00DB251D">
        <w:rPr>
          <w:lang w:val="en-US"/>
        </w:rPr>
        <w:t>e</w:t>
      </w:r>
      <w:r w:rsidRPr="00DB251D">
        <w:rPr>
          <w:lang w:val="en-US"/>
        </w:rPr>
        <w:t>.</w:t>
      </w:r>
      <w:r w:rsidR="001E1BC0" w:rsidRPr="00DB251D">
        <w:rPr>
          <w:lang w:val="en-US"/>
        </w:rPr>
        <w:t>i</w:t>
      </w:r>
      <w:r w:rsidRPr="00DB251D">
        <w:rPr>
          <w:lang w:val="en-US"/>
        </w:rPr>
        <w:t>.</w:t>
      </w:r>
      <w:r w:rsidR="001E1BC0" w:rsidRPr="00DB251D">
        <w:rPr>
          <w:lang w:val="en-US"/>
        </w:rPr>
        <w:t>r</w:t>
      </w:r>
      <w:r w:rsidRPr="00DB251D">
        <w:rPr>
          <w:lang w:val="en-US"/>
        </w:rPr>
        <w:t>.</w:t>
      </w:r>
      <w:r w:rsidR="001E1BC0" w:rsidRPr="00DB251D">
        <w:rPr>
          <w:lang w:val="en-US"/>
        </w:rPr>
        <w:t>p</w:t>
      </w:r>
      <w:proofErr w:type="spellEnd"/>
      <w:r w:rsidRPr="00DB251D">
        <w:rPr>
          <w:lang w:val="en-US"/>
        </w:rPr>
        <w:t>.</w:t>
      </w:r>
      <w:r w:rsidR="001E1BC0" w:rsidRPr="00DB251D">
        <w:rPr>
          <w:lang w:val="en-US"/>
        </w:rPr>
        <w:t xml:space="preserve"> of </w:t>
      </w:r>
      <w:proofErr w:type="spellStart"/>
      <w:r w:rsidR="001E1BC0" w:rsidRPr="00DB251D">
        <w:rPr>
          <w:lang w:val="en-US"/>
        </w:rPr>
        <w:t>RLAN</w:t>
      </w:r>
      <w:proofErr w:type="spellEnd"/>
      <w:r w:rsidR="001E1BC0" w:rsidRPr="00DB251D">
        <w:rPr>
          <w:lang w:val="en-US"/>
        </w:rPr>
        <w:t xml:space="preserve"> APs. The appropriate value can be determined through additional studies for </w:t>
      </w:r>
      <w:proofErr w:type="spellStart"/>
      <w:r w:rsidR="001E1BC0" w:rsidRPr="00DB251D">
        <w:rPr>
          <w:lang w:val="en-US"/>
        </w:rPr>
        <w:t>RLAN</w:t>
      </w:r>
      <w:proofErr w:type="spellEnd"/>
      <w:r w:rsidR="001E1BC0" w:rsidRPr="00DB251D">
        <w:rPr>
          <w:lang w:val="en-US"/>
        </w:rPr>
        <w:t xml:space="preserve"> under </w:t>
      </w:r>
      <w:proofErr w:type="spellStart"/>
      <w:r w:rsidR="001E1BC0" w:rsidRPr="00DB251D">
        <w:rPr>
          <w:lang w:val="en-US"/>
        </w:rPr>
        <w:t>WRC</w:t>
      </w:r>
      <w:proofErr w:type="spellEnd"/>
      <w:r w:rsidR="001E1BC0" w:rsidRPr="00DB251D">
        <w:rPr>
          <w:lang w:val="en-US"/>
        </w:rPr>
        <w:t xml:space="preserve">-19 agenda item 1.16 (noting a value of 10 to 15 </w:t>
      </w:r>
      <w:proofErr w:type="spellStart"/>
      <w:r w:rsidR="001E1BC0" w:rsidRPr="00DB251D">
        <w:rPr>
          <w:lang w:val="en-US"/>
        </w:rPr>
        <w:t>dBm</w:t>
      </w:r>
      <w:proofErr w:type="spellEnd"/>
      <w:r w:rsidR="001E1BC0" w:rsidRPr="00DB251D">
        <w:rPr>
          <w:lang w:val="en-US"/>
        </w:rPr>
        <w:t xml:space="preserve">/20 MHz has been determined by the </w:t>
      </w:r>
      <w:proofErr w:type="spellStart"/>
      <w:r w:rsidR="001E1BC0" w:rsidRPr="00DB251D">
        <w:rPr>
          <w:lang w:val="en-US"/>
        </w:rPr>
        <w:t>ITU</w:t>
      </w:r>
      <w:proofErr w:type="spellEnd"/>
      <w:r w:rsidR="001E1BC0" w:rsidRPr="00DB251D">
        <w:rPr>
          <w:lang w:val="en-US"/>
        </w:rPr>
        <w:t xml:space="preserve"> in the context of studies between </w:t>
      </w:r>
      <w:proofErr w:type="spellStart"/>
      <w:r w:rsidR="001E1BC0" w:rsidRPr="00DB251D">
        <w:rPr>
          <w:lang w:val="en-US"/>
        </w:rPr>
        <w:t>IMT</w:t>
      </w:r>
      <w:proofErr w:type="spellEnd"/>
      <w:r w:rsidR="001E1BC0" w:rsidRPr="00DB251D">
        <w:rPr>
          <w:lang w:val="en-US"/>
        </w:rPr>
        <w:t xml:space="preserve"> and the </w:t>
      </w:r>
      <w:proofErr w:type="spellStart"/>
      <w:r w:rsidR="001E1BC0" w:rsidRPr="00DB251D">
        <w:rPr>
          <w:lang w:val="en-US"/>
        </w:rPr>
        <w:t>FSS</w:t>
      </w:r>
      <w:proofErr w:type="spellEnd"/>
      <w:r w:rsidR="001E1BC0" w:rsidRPr="00DB251D">
        <w:rPr>
          <w:lang w:val="en-US"/>
        </w:rPr>
        <w:t xml:space="preserve">, with an interference configuration similar to the </w:t>
      </w:r>
      <w:proofErr w:type="spellStart"/>
      <w:r w:rsidR="001E1BC0" w:rsidRPr="00DB251D">
        <w:rPr>
          <w:lang w:val="en-US"/>
        </w:rPr>
        <w:t>RLAN</w:t>
      </w:r>
      <w:proofErr w:type="spellEnd"/>
      <w:r w:rsidR="001E1BC0" w:rsidRPr="00DB251D">
        <w:rPr>
          <w:lang w:val="en-US"/>
        </w:rPr>
        <w:t xml:space="preserve"> case, see Report </w:t>
      </w:r>
      <w:proofErr w:type="spellStart"/>
      <w:r w:rsidR="001E1BC0" w:rsidRPr="00DB251D">
        <w:rPr>
          <w:lang w:val="en-US"/>
        </w:rPr>
        <w:t>ITU</w:t>
      </w:r>
      <w:proofErr w:type="spellEnd"/>
      <w:r w:rsidR="001E1BC0" w:rsidRPr="00DB251D">
        <w:rPr>
          <w:lang w:val="en-US"/>
        </w:rPr>
        <w:t xml:space="preserve">-R </w:t>
      </w:r>
      <w:hyperlink r:id="rId26" w:history="1">
        <w:proofErr w:type="spellStart"/>
        <w:r w:rsidR="001E1BC0" w:rsidRPr="00DB251D">
          <w:rPr>
            <w:rStyle w:val="Hyperlink"/>
            <w:color w:val="auto"/>
            <w:u w:val="none"/>
            <w:lang w:val="en-US"/>
          </w:rPr>
          <w:t>S.2367</w:t>
        </w:r>
        <w:proofErr w:type="spellEnd"/>
      </w:hyperlink>
      <w:r w:rsidR="001E1BC0" w:rsidRPr="00DB251D">
        <w:rPr>
          <w:lang w:val="en-US"/>
        </w:rPr>
        <w:t xml:space="preserve">). </w:t>
      </w:r>
    </w:p>
    <w:p w:rsidR="002176F6" w:rsidRPr="00DB251D" w:rsidRDefault="00DB251D" w:rsidP="00DB251D">
      <w:pPr>
        <w:pStyle w:val="enumlev1"/>
        <w:rPr>
          <w:lang w:val="en-US"/>
        </w:rPr>
      </w:pPr>
      <w:r w:rsidRPr="00DB251D">
        <w:rPr>
          <w:lang w:val="en-US"/>
        </w:rPr>
        <w:t>–</w:t>
      </w:r>
      <w:r w:rsidRPr="00DB251D">
        <w:rPr>
          <w:lang w:val="en-US"/>
        </w:rPr>
        <w:tab/>
      </w:r>
      <w:r w:rsidR="001E1BC0" w:rsidRPr="00DB251D">
        <w:rPr>
          <w:lang w:val="en-US"/>
        </w:rPr>
        <w:t>[downward tilting antenna</w:t>
      </w:r>
      <w:r w:rsidRPr="00DB251D">
        <w:rPr>
          <w:lang w:val="en-US"/>
        </w:rPr>
        <w:t>.</w:t>
      </w:r>
      <w:r w:rsidR="001E1BC0" w:rsidRPr="00DB251D">
        <w:rPr>
          <w:lang w:val="en-US"/>
        </w:rPr>
        <w:t>]</w:t>
      </w:r>
    </w:p>
    <w:p w:rsidR="002176F6" w:rsidRPr="00DB251D" w:rsidRDefault="001E1BC0">
      <w:pPr>
        <w:rPr>
          <w:rFonts w:eastAsia="Calibri"/>
          <w:lang w:val="en-US"/>
        </w:rPr>
      </w:pPr>
      <w:r w:rsidRPr="00DB251D">
        <w:rPr>
          <w:rFonts w:eastAsia="Calibri"/>
          <w:lang w:val="en-US"/>
        </w:rPr>
        <w:t xml:space="preserve">These [two] mitigation techniques seem relatively simple to implement but are sometimes difficult to enforce for the </w:t>
      </w:r>
      <w:proofErr w:type="spellStart"/>
      <w:r w:rsidRPr="00DB251D">
        <w:rPr>
          <w:rFonts w:eastAsia="Calibri"/>
          <w:lang w:val="en-US"/>
        </w:rPr>
        <w:t>RLAN</w:t>
      </w:r>
      <w:proofErr w:type="spellEnd"/>
      <w:r w:rsidRPr="00DB251D">
        <w:rPr>
          <w:rFonts w:eastAsia="Calibri"/>
          <w:lang w:val="en-US"/>
        </w:rPr>
        <w:t xml:space="preserve"> type of equipment (e.g. indoor only, or non-compliant equipment). The impact of such mitigation techniques on the </w:t>
      </w:r>
      <w:proofErr w:type="spellStart"/>
      <w:r w:rsidRPr="00DB251D">
        <w:rPr>
          <w:rFonts w:eastAsia="Calibri"/>
          <w:lang w:val="en-US"/>
        </w:rPr>
        <w:t>RLAN</w:t>
      </w:r>
      <w:proofErr w:type="spellEnd"/>
      <w:r w:rsidRPr="00DB251D">
        <w:rPr>
          <w:rFonts w:eastAsia="Calibri"/>
          <w:lang w:val="en-US"/>
        </w:rPr>
        <w:t xml:space="preserve"> deployment and operations (e.g. </w:t>
      </w:r>
      <w:proofErr w:type="spellStart"/>
      <w:r w:rsidRPr="00DB251D">
        <w:rPr>
          <w:rFonts w:eastAsia="Calibri"/>
          <w:lang w:val="en-US"/>
        </w:rPr>
        <w:t>RLAN</w:t>
      </w:r>
      <w:proofErr w:type="spellEnd"/>
      <w:r w:rsidRPr="00DB251D">
        <w:rPr>
          <w:rFonts w:eastAsia="Calibri"/>
          <w:lang w:val="en-US"/>
        </w:rPr>
        <w:t xml:space="preserve"> </w:t>
      </w:r>
      <w:proofErr w:type="spellStart"/>
      <w:r w:rsidRPr="00DB251D">
        <w:rPr>
          <w:rFonts w:eastAsia="Calibri"/>
          <w:lang w:val="en-US"/>
        </w:rPr>
        <w:t>eirp</w:t>
      </w:r>
      <w:proofErr w:type="spellEnd"/>
      <w:r w:rsidRPr="00DB251D">
        <w:rPr>
          <w:rFonts w:eastAsia="Calibri"/>
          <w:lang w:val="en-US"/>
        </w:rPr>
        <w:t xml:space="preserve"> distribution and the resulting limitations on data rates possible), should be studied.</w:t>
      </w:r>
    </w:p>
    <w:p w:rsidR="002176F6" w:rsidRPr="00DB251D" w:rsidRDefault="001E1BC0">
      <w:pPr>
        <w:pStyle w:val="Heading4"/>
        <w:rPr>
          <w:b w:val="0"/>
          <w:lang w:val="en-US"/>
        </w:rPr>
      </w:pPr>
      <w:r w:rsidRPr="00DB251D">
        <w:rPr>
          <w:lang w:val="en-US"/>
        </w:rPr>
        <w:t>5.2.2.3</w:t>
      </w:r>
      <w:r w:rsidRPr="00DB251D">
        <w:rPr>
          <w:lang w:val="en-US"/>
        </w:rPr>
        <w:tab/>
        <w:t>Additional compatibility studies in adjacent bands</w:t>
      </w:r>
    </w:p>
    <w:p w:rsidR="002176F6" w:rsidRPr="00DB251D" w:rsidRDefault="001E1BC0">
      <w:pPr>
        <w:jc w:val="both"/>
        <w:rPr>
          <w:rFonts w:eastAsia="Calibri"/>
          <w:b/>
          <w:iCs/>
          <w:color w:val="000000"/>
          <w:szCs w:val="24"/>
          <w:lang w:val="en-US"/>
        </w:rPr>
      </w:pPr>
      <w:r w:rsidRPr="00DB251D">
        <w:rPr>
          <w:rFonts w:eastAsia="Calibri"/>
          <w:iCs/>
          <w:color w:val="000000"/>
          <w:szCs w:val="24"/>
          <w:lang w:val="en-US"/>
        </w:rPr>
        <w:t xml:space="preserve">Compatibility studies for Regions in which </w:t>
      </w:r>
      <w:proofErr w:type="spellStart"/>
      <w:r w:rsidRPr="00DB251D">
        <w:rPr>
          <w:rFonts w:eastAsia="Calibri"/>
          <w:iCs/>
          <w:color w:val="000000"/>
          <w:szCs w:val="24"/>
          <w:lang w:val="en-US"/>
        </w:rPr>
        <w:t>FSS</w:t>
      </w:r>
      <w:proofErr w:type="spellEnd"/>
      <w:r w:rsidRPr="00DB251D">
        <w:rPr>
          <w:rFonts w:eastAsia="Calibri"/>
          <w:iCs/>
          <w:color w:val="000000"/>
          <w:szCs w:val="24"/>
          <w:lang w:val="en-US"/>
        </w:rPr>
        <w:t xml:space="preserve"> is allocated on a primary basis in 5 725-5 925 MHz between </w:t>
      </w:r>
      <w:proofErr w:type="spellStart"/>
      <w:r w:rsidRPr="00DB251D">
        <w:rPr>
          <w:rFonts w:eastAsia="Calibri"/>
          <w:iCs/>
          <w:color w:val="000000"/>
          <w:szCs w:val="24"/>
          <w:lang w:val="en-US"/>
        </w:rPr>
        <w:t>RLAN</w:t>
      </w:r>
      <w:proofErr w:type="spellEnd"/>
      <w:r w:rsidRPr="00DB251D">
        <w:rPr>
          <w:rFonts w:eastAsia="Calibri"/>
          <w:iCs/>
          <w:color w:val="000000"/>
          <w:szCs w:val="24"/>
          <w:lang w:val="en-US"/>
        </w:rPr>
        <w:t xml:space="preserve"> operating in any of the sub-bands within 5 725-5 925 MHz and the </w:t>
      </w:r>
      <w:proofErr w:type="spellStart"/>
      <w:r w:rsidRPr="00DB251D">
        <w:rPr>
          <w:rFonts w:eastAsia="Calibri"/>
          <w:iCs/>
          <w:color w:val="000000"/>
          <w:szCs w:val="24"/>
          <w:lang w:val="en-US"/>
        </w:rPr>
        <w:t>FSS</w:t>
      </w:r>
      <w:proofErr w:type="spellEnd"/>
      <w:r w:rsidRPr="00DB251D">
        <w:rPr>
          <w:rFonts w:eastAsia="Calibri"/>
          <w:iCs/>
          <w:color w:val="000000"/>
          <w:szCs w:val="24"/>
          <w:lang w:val="en-US"/>
        </w:rPr>
        <w:t xml:space="preserve"> operating in adjacent sub-bands are necessary. </w:t>
      </w:r>
    </w:p>
    <w:p w:rsidR="002176F6" w:rsidRPr="00DB251D" w:rsidRDefault="001E1BC0">
      <w:pPr>
        <w:pStyle w:val="Heading4"/>
        <w:rPr>
          <w:b w:val="0"/>
          <w:lang w:val="en-US"/>
        </w:rPr>
      </w:pPr>
      <w:r w:rsidRPr="00DB251D">
        <w:rPr>
          <w:lang w:val="en-US"/>
        </w:rPr>
        <w:lastRenderedPageBreak/>
        <w:t>5.2.2.4</w:t>
      </w:r>
      <w:r w:rsidRPr="00DB251D">
        <w:rPr>
          <w:lang w:val="en-US"/>
        </w:rPr>
        <w:tab/>
        <w:t xml:space="preserve">Protection of </w:t>
      </w:r>
      <w:proofErr w:type="spellStart"/>
      <w:r w:rsidRPr="00DB251D">
        <w:rPr>
          <w:lang w:val="en-US"/>
        </w:rPr>
        <w:t>FSS</w:t>
      </w:r>
      <w:proofErr w:type="spellEnd"/>
    </w:p>
    <w:p w:rsidR="002176F6" w:rsidRPr="00DB251D" w:rsidRDefault="001E1BC0">
      <w:pPr>
        <w:rPr>
          <w:rFonts w:eastAsia="Calibri"/>
          <w:lang w:val="en-US"/>
        </w:rPr>
      </w:pPr>
      <w:r w:rsidRPr="00DB251D">
        <w:rPr>
          <w:rFonts w:eastAsia="Calibri"/>
          <w:lang w:val="en-US"/>
        </w:rPr>
        <w:t xml:space="preserve">The protection criterion for </w:t>
      </w:r>
      <w:proofErr w:type="spellStart"/>
      <w:r w:rsidRPr="00DB251D">
        <w:rPr>
          <w:rFonts w:eastAsia="Calibri"/>
          <w:lang w:val="en-US"/>
        </w:rPr>
        <w:t>FSS</w:t>
      </w:r>
      <w:proofErr w:type="spellEnd"/>
      <w:r w:rsidRPr="00DB251D">
        <w:rPr>
          <w:rFonts w:eastAsia="Calibri"/>
          <w:lang w:val="en-US"/>
        </w:rPr>
        <w:t xml:space="preserve"> is to accept an increase of the equivalent temperature greater than x% due to interference signals on the noise temperature of the satellite receiver in clear sky conditions without interference, i.e.: </w:t>
      </w:r>
      <w:proofErr w:type="spellStart"/>
      <w:r w:rsidRPr="00DB251D">
        <w:rPr>
          <w:rFonts w:eastAsia="Calibri"/>
          <w:lang w:val="en-US"/>
        </w:rPr>
        <w:t>Δ</w:t>
      </w:r>
      <w:r w:rsidRPr="00F31C1C">
        <w:rPr>
          <w:rFonts w:eastAsia="Calibri"/>
          <w:i/>
          <w:iCs/>
          <w:lang w:val="en-US"/>
        </w:rPr>
        <w:t>T</w:t>
      </w:r>
      <w:proofErr w:type="spellEnd"/>
      <w:r w:rsidRPr="00F31C1C">
        <w:rPr>
          <w:rFonts w:eastAsia="Calibri"/>
          <w:i/>
          <w:iCs/>
          <w:lang w:val="en-US"/>
        </w:rPr>
        <w:t>/T</w:t>
      </w:r>
      <w:r w:rsidRPr="00DB251D">
        <w:rPr>
          <w:rFonts w:eastAsia="Calibri"/>
          <w:lang w:val="en-US"/>
        </w:rPr>
        <w:t>≤ x%. This criterion is applicable for interference scenarios when the interfering signal is time invariant, which is assumed the case for the aggregate interference levels created by WAS/</w:t>
      </w:r>
      <w:proofErr w:type="spellStart"/>
      <w:r w:rsidRPr="00DB251D">
        <w:rPr>
          <w:rFonts w:eastAsia="Calibri"/>
          <w:lang w:val="en-US"/>
        </w:rPr>
        <w:t>RLAN</w:t>
      </w:r>
      <w:proofErr w:type="spellEnd"/>
      <w:r w:rsidRPr="00DB251D">
        <w:rPr>
          <w:rFonts w:eastAsia="Calibri"/>
          <w:lang w:val="en-US"/>
        </w:rPr>
        <w:t xml:space="preserve"> in this uplink satellite band, because coverage areas are large (hemispheric or global) and there is no mobility aspect due to the fact that main interference is from </w:t>
      </w:r>
      <w:proofErr w:type="spellStart"/>
      <w:r w:rsidRPr="00DB251D">
        <w:rPr>
          <w:rFonts w:eastAsia="Calibri"/>
          <w:lang w:val="en-US"/>
        </w:rPr>
        <w:t>RLAN</w:t>
      </w:r>
      <w:proofErr w:type="spellEnd"/>
      <w:r w:rsidRPr="00DB251D">
        <w:rPr>
          <w:rFonts w:eastAsia="Calibri"/>
          <w:lang w:val="en-US"/>
        </w:rPr>
        <w:t xml:space="preserve"> access points which are fixed.</w:t>
      </w:r>
    </w:p>
    <w:p w:rsidR="002176F6" w:rsidRPr="00DB251D" w:rsidRDefault="001E1BC0" w:rsidP="00F31C1C">
      <w:pPr>
        <w:rPr>
          <w:rFonts w:eastAsia="Calibri"/>
          <w:lang w:val="en-US" w:eastAsia="es-ES"/>
        </w:rPr>
      </w:pPr>
      <w:r w:rsidRPr="00DB251D">
        <w:rPr>
          <w:rFonts w:eastAsia="Calibri"/>
          <w:lang w:val="en-US" w:eastAsia="es-ES"/>
        </w:rPr>
        <w:t xml:space="preserve">The values of </w:t>
      </w:r>
      <w:r w:rsidRPr="00F31C1C">
        <w:rPr>
          <w:rFonts w:eastAsia="Calibri"/>
          <w:i/>
          <w:iCs/>
          <w:lang w:val="en-US" w:eastAsia="es-ES"/>
        </w:rPr>
        <w:t>x</w:t>
      </w:r>
      <w:r w:rsidRPr="00DB251D">
        <w:rPr>
          <w:rFonts w:eastAsia="Calibri"/>
          <w:lang w:val="en-US" w:eastAsia="es-ES"/>
        </w:rPr>
        <w:t xml:space="preserve"> is 6%, generally applicable for sharing in the case of two co-primary services, e.g. the </w:t>
      </w:r>
      <w:proofErr w:type="spellStart"/>
      <w:r w:rsidRPr="00DB251D">
        <w:rPr>
          <w:rFonts w:eastAsia="Calibri"/>
          <w:lang w:val="en-US" w:eastAsia="es-ES"/>
        </w:rPr>
        <w:t>FSS</w:t>
      </w:r>
      <w:proofErr w:type="spellEnd"/>
      <w:r w:rsidRPr="00DB251D">
        <w:rPr>
          <w:rFonts w:eastAsia="Calibri"/>
          <w:lang w:val="en-US" w:eastAsia="es-ES"/>
        </w:rPr>
        <w:t xml:space="preserve"> and the MS as co-primary services without service apportionment, and </w:t>
      </w:r>
      <w:r w:rsidRPr="00F31C1C">
        <w:rPr>
          <w:rFonts w:eastAsia="Calibri"/>
          <w:i/>
          <w:iCs/>
          <w:lang w:val="en-US" w:eastAsia="es-ES"/>
        </w:rPr>
        <w:t>x</w:t>
      </w:r>
      <w:r w:rsidR="00F31C1C">
        <w:rPr>
          <w:rFonts w:eastAsia="Calibri"/>
          <w:lang w:val="en-US" w:eastAsia="es-ES"/>
        </w:rPr>
        <w:t> </w:t>
      </w:r>
      <w:r w:rsidRPr="00DB251D">
        <w:rPr>
          <w:rFonts w:eastAsia="Calibri"/>
          <w:lang w:val="en-US" w:eastAsia="es-ES"/>
        </w:rPr>
        <w:t>=</w:t>
      </w:r>
      <w:r w:rsidR="00F31C1C">
        <w:rPr>
          <w:rFonts w:eastAsia="Calibri"/>
          <w:lang w:val="en-US" w:eastAsia="es-ES"/>
        </w:rPr>
        <w:t> </w:t>
      </w:r>
      <w:r w:rsidRPr="00DB251D">
        <w:rPr>
          <w:rFonts w:eastAsia="Calibri"/>
          <w:lang w:val="en-US" w:eastAsia="es-ES"/>
        </w:rPr>
        <w:t xml:space="preserve">1%, generally applicable to interference from a non-primary service into </w:t>
      </w:r>
      <w:proofErr w:type="spellStart"/>
      <w:r w:rsidRPr="00DB251D">
        <w:rPr>
          <w:rFonts w:eastAsia="Calibri"/>
          <w:lang w:val="en-US" w:eastAsia="es-ES"/>
        </w:rPr>
        <w:t>FSS</w:t>
      </w:r>
      <w:proofErr w:type="spellEnd"/>
      <w:r w:rsidRPr="00DB251D">
        <w:rPr>
          <w:rFonts w:eastAsia="Calibri"/>
          <w:lang w:val="en-US" w:eastAsia="es-ES"/>
        </w:rPr>
        <w:t>, or to interference from several co</w:t>
      </w:r>
      <w:r w:rsidR="00F31C1C">
        <w:rPr>
          <w:rFonts w:eastAsia="Calibri"/>
          <w:lang w:val="en-US" w:eastAsia="es-ES"/>
        </w:rPr>
        <w:noBreakHyphen/>
      </w:r>
      <w:r w:rsidRPr="00DB251D">
        <w:rPr>
          <w:rFonts w:eastAsia="Calibri"/>
          <w:lang w:val="en-US" w:eastAsia="es-ES"/>
        </w:rPr>
        <w:t xml:space="preserve">primary services, e.g. the MS and FS, into </w:t>
      </w:r>
      <w:proofErr w:type="spellStart"/>
      <w:r w:rsidRPr="00DB251D">
        <w:rPr>
          <w:rFonts w:eastAsia="Calibri"/>
          <w:lang w:val="en-US" w:eastAsia="es-ES"/>
        </w:rPr>
        <w:t>FSS</w:t>
      </w:r>
      <w:proofErr w:type="spellEnd"/>
      <w:r w:rsidRPr="00DB251D">
        <w:rPr>
          <w:rFonts w:eastAsia="Calibri"/>
          <w:lang w:val="en-US" w:eastAsia="es-ES"/>
        </w:rPr>
        <w:t>.</w:t>
      </w:r>
    </w:p>
    <w:p w:rsidR="002176F6" w:rsidRPr="00DB251D" w:rsidRDefault="001E1BC0" w:rsidP="005045C2">
      <w:pPr>
        <w:pStyle w:val="Headingb"/>
        <w:rPr>
          <w:lang w:val="en-US" w:eastAsia="es-ES"/>
        </w:rPr>
      </w:pPr>
      <w:r w:rsidRPr="00DB251D">
        <w:rPr>
          <w:lang w:val="en-US" w:eastAsia="es-ES"/>
        </w:rPr>
        <w:t>Apportionment of interference allowance</w:t>
      </w:r>
    </w:p>
    <w:p w:rsidR="002176F6" w:rsidRPr="00DB251D" w:rsidRDefault="001E1BC0" w:rsidP="00F31C1C">
      <w:pPr>
        <w:rPr>
          <w:rFonts w:eastAsia="Calibri"/>
          <w:lang w:val="en-US" w:eastAsia="es-ES"/>
        </w:rPr>
      </w:pPr>
      <w:r w:rsidRPr="00DB251D">
        <w:rPr>
          <w:rFonts w:eastAsia="Calibri"/>
          <w:lang w:val="en-US" w:eastAsia="es-ES"/>
        </w:rPr>
        <w:t xml:space="preserve">To apportion these </w:t>
      </w:r>
      <w:proofErr w:type="spellStart"/>
      <w:r w:rsidRPr="00DB251D">
        <w:rPr>
          <w:rFonts w:eastAsia="Calibri"/>
          <w:lang w:val="en-US" w:eastAsia="es-ES"/>
        </w:rPr>
        <w:t>FSS</w:t>
      </w:r>
      <w:proofErr w:type="spellEnd"/>
      <w:r w:rsidRPr="00DB251D">
        <w:rPr>
          <w:rFonts w:eastAsia="Calibri"/>
          <w:lang w:val="en-US" w:eastAsia="es-ES"/>
        </w:rPr>
        <w:t xml:space="preserve"> protection criteria among the potential sources of interference, an apportionment scheme should be considered where interference from </w:t>
      </w:r>
      <w:proofErr w:type="spellStart"/>
      <w:r w:rsidRPr="00DB251D">
        <w:rPr>
          <w:rFonts w:eastAsia="Calibri"/>
          <w:lang w:val="en-US" w:eastAsia="es-ES"/>
        </w:rPr>
        <w:t>RLANs</w:t>
      </w:r>
      <w:proofErr w:type="spellEnd"/>
      <w:r w:rsidRPr="00DB251D">
        <w:rPr>
          <w:rFonts w:eastAsia="Calibri"/>
          <w:lang w:val="en-US" w:eastAsia="es-ES"/>
        </w:rPr>
        <w:t xml:space="preserve"> is limited to half of the </w:t>
      </w:r>
      <w:proofErr w:type="spellStart"/>
      <w:r w:rsidRPr="00DB251D">
        <w:rPr>
          <w:rFonts w:eastAsia="Calibri"/>
          <w:lang w:val="en-US" w:eastAsia="es-ES"/>
        </w:rPr>
        <w:t>Δ</w:t>
      </w:r>
      <w:r w:rsidRPr="00F31C1C">
        <w:rPr>
          <w:rFonts w:eastAsia="Calibri"/>
          <w:i/>
          <w:iCs/>
          <w:lang w:val="en-US" w:eastAsia="es-ES"/>
        </w:rPr>
        <w:t>T</w:t>
      </w:r>
      <w:proofErr w:type="spellEnd"/>
      <w:r w:rsidRPr="00F31C1C">
        <w:rPr>
          <w:rFonts w:eastAsia="Calibri"/>
          <w:i/>
          <w:iCs/>
          <w:lang w:val="en-US" w:eastAsia="es-ES"/>
        </w:rPr>
        <w:t>/T</w:t>
      </w:r>
      <w:r w:rsidR="00F31C1C">
        <w:rPr>
          <w:rFonts w:eastAsia="Calibri"/>
          <w:lang w:val="en-US" w:eastAsia="es-ES"/>
        </w:rPr>
        <w:t> </w:t>
      </w:r>
      <w:r w:rsidRPr="00DB251D">
        <w:rPr>
          <w:rFonts w:eastAsia="Calibri"/>
          <w:lang w:val="en-US" w:eastAsia="es-ES"/>
        </w:rPr>
        <w:t>=</w:t>
      </w:r>
      <w:r w:rsidR="00F31C1C">
        <w:rPr>
          <w:rFonts w:eastAsia="Calibri"/>
          <w:lang w:val="en-US" w:eastAsia="es-ES"/>
        </w:rPr>
        <w:t> </w:t>
      </w:r>
      <w:r w:rsidRPr="00DB251D">
        <w:rPr>
          <w:rFonts w:eastAsia="Calibri"/>
          <w:lang w:val="en-US" w:eastAsia="es-ES"/>
        </w:rPr>
        <w:t xml:space="preserve">6% criterion i.e. the </w:t>
      </w:r>
      <w:proofErr w:type="spellStart"/>
      <w:r w:rsidRPr="00DB251D">
        <w:rPr>
          <w:rFonts w:eastAsia="Calibri"/>
          <w:lang w:val="en-US" w:eastAsia="es-ES"/>
        </w:rPr>
        <w:t>Δ</w:t>
      </w:r>
      <w:r w:rsidRPr="00F31C1C">
        <w:rPr>
          <w:rFonts w:eastAsia="Calibri"/>
          <w:i/>
          <w:iCs/>
          <w:lang w:val="en-US" w:eastAsia="es-ES"/>
        </w:rPr>
        <w:t>T</w:t>
      </w:r>
      <w:proofErr w:type="spellEnd"/>
      <w:r w:rsidRPr="00F31C1C">
        <w:rPr>
          <w:rFonts w:eastAsia="Calibri"/>
          <w:i/>
          <w:iCs/>
          <w:lang w:val="en-US" w:eastAsia="es-ES"/>
        </w:rPr>
        <w:t>/T</w:t>
      </w:r>
      <w:r w:rsidRPr="00DB251D">
        <w:rPr>
          <w:rFonts w:eastAsia="Calibri"/>
          <w:lang w:val="en-US" w:eastAsia="es-ES"/>
        </w:rPr>
        <w:t xml:space="preserve"> objective is reduced to a value of 3%. In addition, geographic apportionment could also be applied depending on the satellite’s coverage and the assumptions for the </w:t>
      </w:r>
      <w:proofErr w:type="spellStart"/>
      <w:r w:rsidRPr="00DB251D">
        <w:rPr>
          <w:rFonts w:eastAsia="Calibri"/>
          <w:lang w:val="en-US" w:eastAsia="es-ES"/>
        </w:rPr>
        <w:t>RLAN</w:t>
      </w:r>
      <w:proofErr w:type="spellEnd"/>
      <w:r w:rsidRPr="00DB251D">
        <w:rPr>
          <w:rFonts w:eastAsia="Calibri"/>
          <w:lang w:val="en-US" w:eastAsia="es-ES"/>
        </w:rPr>
        <w:t xml:space="preserve"> deployment. </w:t>
      </w:r>
    </w:p>
    <w:p w:rsidR="002176F6" w:rsidRPr="00DB251D" w:rsidRDefault="001E1BC0">
      <w:pPr>
        <w:pStyle w:val="Heading1"/>
        <w:rPr>
          <w:shd w:val="clear" w:color="auto" w:fill="FFFFFF"/>
          <w:lang w:val="en-US"/>
        </w:rPr>
      </w:pPr>
      <w:r w:rsidRPr="00DB251D">
        <w:rPr>
          <w:shd w:val="clear" w:color="auto" w:fill="FFFFFF"/>
          <w:lang w:val="en-US"/>
        </w:rPr>
        <w:t>6</w:t>
      </w:r>
      <w:r w:rsidRPr="00DB251D">
        <w:rPr>
          <w:shd w:val="clear" w:color="auto" w:fill="FFFFFF"/>
          <w:lang w:val="en-US"/>
        </w:rPr>
        <w:tab/>
        <w:t>Conclusions of sharing and compatibility studies per service</w:t>
      </w:r>
    </w:p>
    <w:p w:rsidR="002176F6" w:rsidRDefault="001E1BC0" w:rsidP="00F31C1C">
      <w:pPr>
        <w:pStyle w:val="Heading2"/>
      </w:pPr>
      <w:r w:rsidRPr="00F31C1C">
        <w:t>6.1</w:t>
      </w:r>
      <w:r w:rsidRPr="00F31C1C">
        <w:tab/>
        <w:t>General considerations</w:t>
      </w:r>
    </w:p>
    <w:p w:rsidR="00F31C1C" w:rsidRPr="00F31C1C" w:rsidRDefault="00F31C1C" w:rsidP="00F31C1C"/>
    <w:p w:rsidR="002176F6" w:rsidRPr="00DB251D" w:rsidRDefault="001E1BC0">
      <w:pPr>
        <w:pStyle w:val="Heading2"/>
        <w:rPr>
          <w:shd w:val="clear" w:color="auto" w:fill="FFFFFF"/>
          <w:lang w:val="en-US"/>
        </w:rPr>
      </w:pPr>
      <w:r w:rsidRPr="00DB251D">
        <w:rPr>
          <w:shd w:val="clear" w:color="auto" w:fill="FFFFFF"/>
          <w:lang w:val="en-US"/>
        </w:rPr>
        <w:t>6.2</w:t>
      </w:r>
      <w:r w:rsidRPr="00DB251D">
        <w:rPr>
          <w:shd w:val="clear" w:color="auto" w:fill="FFFFFF"/>
          <w:lang w:val="en-US"/>
        </w:rPr>
        <w:tab/>
        <w:t>Sharing and compatibility results in the band 5 850-5 925 MHz</w:t>
      </w:r>
    </w:p>
    <w:p w:rsidR="002176F6" w:rsidRPr="00F31C1C" w:rsidRDefault="001E1BC0">
      <w:pPr>
        <w:rPr>
          <w:lang w:val="en-US"/>
        </w:rPr>
      </w:pPr>
      <w:r w:rsidRPr="00F31C1C">
        <w:rPr>
          <w:i/>
          <w:iCs/>
          <w:lang w:val="en-US" w:eastAsia="zh-CN"/>
        </w:rPr>
        <w:t>[LUX</w:t>
      </w:r>
      <w:r w:rsidRPr="00F31C1C">
        <w:rPr>
          <w:rFonts w:eastAsia="Calibri"/>
          <w:i/>
          <w:iCs/>
          <w:lang w:val="en-US" w:eastAsia="es-ES"/>
        </w:rPr>
        <w:t xml:space="preserve"> </w:t>
      </w:r>
      <w:proofErr w:type="spellStart"/>
      <w:r w:rsidRPr="00F31C1C">
        <w:rPr>
          <w:rFonts w:eastAsia="Calibri"/>
          <w:i/>
          <w:iCs/>
          <w:lang w:val="en-US" w:eastAsia="es-ES"/>
        </w:rPr>
        <w:t>5A</w:t>
      </w:r>
      <w:proofErr w:type="spellEnd"/>
      <w:r w:rsidRPr="00F31C1C">
        <w:rPr>
          <w:rFonts w:eastAsia="Calibri"/>
          <w:i/>
          <w:iCs/>
          <w:lang w:val="en-US" w:eastAsia="es-ES"/>
        </w:rPr>
        <w:t>/442</w:t>
      </w:r>
      <w:r w:rsidRPr="00F31C1C">
        <w:rPr>
          <w:i/>
          <w:iCs/>
          <w:lang w:val="en-US" w:eastAsia="zh-CN"/>
        </w:rPr>
        <w:t>]</w:t>
      </w:r>
      <w:r w:rsidRPr="00F31C1C">
        <w:rPr>
          <w:lang w:val="en-US"/>
        </w:rPr>
        <w:t xml:space="preserve"> </w:t>
      </w:r>
    </w:p>
    <w:p w:rsidR="002176F6" w:rsidRPr="00DB251D" w:rsidRDefault="001E1BC0">
      <w:pPr>
        <w:rPr>
          <w:lang w:val="en-US" w:eastAsia="zh-CN"/>
        </w:rPr>
      </w:pPr>
      <w:r w:rsidRPr="00DB251D">
        <w:rPr>
          <w:lang w:val="en-US"/>
        </w:rPr>
        <w:t xml:space="preserve">Sharing of </w:t>
      </w:r>
      <w:proofErr w:type="spellStart"/>
      <w:r w:rsidRPr="00DB251D">
        <w:rPr>
          <w:lang w:val="en-US"/>
        </w:rPr>
        <w:t>RLAN</w:t>
      </w:r>
      <w:proofErr w:type="spellEnd"/>
      <w:r w:rsidRPr="00DB251D">
        <w:rPr>
          <w:lang w:val="en-US"/>
        </w:rPr>
        <w:t xml:space="preserve"> and </w:t>
      </w:r>
      <w:proofErr w:type="spellStart"/>
      <w:r w:rsidRPr="00DB251D">
        <w:rPr>
          <w:lang w:val="en-US"/>
        </w:rPr>
        <w:t>FSS</w:t>
      </w:r>
      <w:proofErr w:type="spellEnd"/>
      <w:r w:rsidRPr="00DB251D">
        <w:rPr>
          <w:lang w:val="en-US"/>
        </w:rPr>
        <w:t xml:space="preserve"> is difficult. Development of suitable mitigation techniques to be applied by new </w:t>
      </w:r>
      <w:proofErr w:type="spellStart"/>
      <w:r w:rsidRPr="00DB251D">
        <w:rPr>
          <w:lang w:val="en-US"/>
        </w:rPr>
        <w:t>RLAN</w:t>
      </w:r>
      <w:proofErr w:type="spellEnd"/>
      <w:r w:rsidRPr="00DB251D">
        <w:rPr>
          <w:lang w:val="en-US"/>
        </w:rPr>
        <w:t xml:space="preserve"> systems are required, noting the nature of the typical deployment of </w:t>
      </w:r>
      <w:proofErr w:type="spellStart"/>
      <w:r w:rsidRPr="00DB251D">
        <w:rPr>
          <w:lang w:val="en-US"/>
        </w:rPr>
        <w:t>RLAN</w:t>
      </w:r>
      <w:proofErr w:type="spellEnd"/>
      <w:r w:rsidRPr="00DB251D">
        <w:rPr>
          <w:lang w:val="en-US"/>
        </w:rPr>
        <w:t xml:space="preserve"> services under unlicensed conditions.</w:t>
      </w:r>
    </w:p>
    <w:p w:rsidR="002176F6" w:rsidRPr="00DB251D" w:rsidRDefault="001E1BC0">
      <w:pPr>
        <w:rPr>
          <w:lang w:val="en-US" w:eastAsia="zh-CN"/>
        </w:rPr>
      </w:pPr>
      <w:r w:rsidRPr="00DB251D">
        <w:rPr>
          <w:lang w:val="en-US"/>
        </w:rPr>
        <w:t xml:space="preserve">The general conclusions from previous studies conducted by the </w:t>
      </w:r>
      <w:proofErr w:type="spellStart"/>
      <w:r w:rsidRPr="00DB251D">
        <w:rPr>
          <w:lang w:val="en-US"/>
        </w:rPr>
        <w:t>CEPT</w:t>
      </w:r>
      <w:proofErr w:type="spellEnd"/>
      <w:r w:rsidRPr="00DB251D">
        <w:rPr>
          <w:lang w:val="en-US"/>
        </w:rPr>
        <w:t xml:space="preserve"> (example: </w:t>
      </w:r>
      <w:proofErr w:type="spellStart"/>
      <w:r w:rsidRPr="00DB251D">
        <w:rPr>
          <w:lang w:val="en-US"/>
        </w:rPr>
        <w:t>CEPT</w:t>
      </w:r>
      <w:proofErr w:type="spellEnd"/>
      <w:r w:rsidRPr="00DB251D">
        <w:rPr>
          <w:lang w:val="en-US"/>
        </w:rPr>
        <w:t xml:space="preserve"> Report 57) were that it was not possible at this time to specify any appropriate mitigation techniques and/or operational compatibility and sharing conditions that would allow WAS/</w:t>
      </w:r>
      <w:proofErr w:type="spellStart"/>
      <w:r w:rsidRPr="00DB251D">
        <w:rPr>
          <w:lang w:val="en-US"/>
        </w:rPr>
        <w:t>RLANs</w:t>
      </w:r>
      <w:proofErr w:type="spellEnd"/>
      <w:r w:rsidRPr="00DB251D">
        <w:rPr>
          <w:lang w:val="en-US"/>
        </w:rPr>
        <w:t xml:space="preserve"> to be operated in the band 5 725-5 925 MHz while ensuring relevant protection of </w:t>
      </w:r>
      <w:proofErr w:type="spellStart"/>
      <w:r w:rsidRPr="00DB251D">
        <w:rPr>
          <w:lang w:val="en-US"/>
        </w:rPr>
        <w:t>FSS</w:t>
      </w:r>
      <w:proofErr w:type="spellEnd"/>
      <w:r w:rsidRPr="00DB251D">
        <w:rPr>
          <w:lang w:val="en-US"/>
        </w:rPr>
        <w:t xml:space="preserve"> services in this band.</w:t>
      </w:r>
    </w:p>
    <w:p w:rsidR="002176F6" w:rsidRPr="00DB251D" w:rsidRDefault="001E1BC0">
      <w:pPr>
        <w:rPr>
          <w:lang w:val="en-US" w:eastAsia="zh-CN"/>
        </w:rPr>
      </w:pPr>
      <w:r w:rsidRPr="00DB251D">
        <w:rPr>
          <w:lang w:val="en-US" w:eastAsia="zh-CN"/>
        </w:rPr>
        <w:t xml:space="preserve">Considering studies conducted by </w:t>
      </w:r>
      <w:proofErr w:type="spellStart"/>
      <w:r w:rsidRPr="00DB251D">
        <w:rPr>
          <w:lang w:val="en-US" w:eastAsia="zh-CN"/>
        </w:rPr>
        <w:t>CEPT</w:t>
      </w:r>
      <w:proofErr w:type="spellEnd"/>
      <w:r w:rsidRPr="00DB251D">
        <w:rPr>
          <w:lang w:val="en-US" w:eastAsia="zh-CN"/>
        </w:rPr>
        <w:t xml:space="preserve"> (and reported in the </w:t>
      </w:r>
      <w:proofErr w:type="spellStart"/>
      <w:r w:rsidRPr="00DB251D">
        <w:rPr>
          <w:lang w:val="en-US" w:eastAsia="zh-CN"/>
        </w:rPr>
        <w:t>ECC</w:t>
      </w:r>
      <w:proofErr w:type="spellEnd"/>
      <w:r w:rsidRPr="00DB251D">
        <w:rPr>
          <w:lang w:val="en-US" w:eastAsia="zh-CN"/>
        </w:rPr>
        <w:t xml:space="preserve"> 244 Report), conclusions are derived:</w:t>
      </w:r>
    </w:p>
    <w:p w:rsidR="002176F6" w:rsidRPr="00DB251D" w:rsidRDefault="001E1BC0">
      <w:pPr>
        <w:pStyle w:val="enumlev1"/>
        <w:rPr>
          <w:rFonts w:eastAsia="SimSun"/>
          <w:lang w:val="en-US"/>
        </w:rPr>
      </w:pPr>
      <w:r w:rsidRPr="00DB251D">
        <w:rPr>
          <w:rFonts w:eastAsia="SimSun"/>
          <w:lang w:val="en-US"/>
        </w:rPr>
        <w:t>−</w:t>
      </w:r>
      <w:r w:rsidRPr="00DB251D">
        <w:rPr>
          <w:rFonts w:eastAsia="SimSun"/>
          <w:lang w:val="en-US"/>
        </w:rPr>
        <w:tab/>
        <w:t>Sharing between WAS/</w:t>
      </w:r>
      <w:proofErr w:type="spellStart"/>
      <w:r w:rsidRPr="00DB251D">
        <w:rPr>
          <w:rFonts w:eastAsia="SimSun"/>
          <w:lang w:val="en-US"/>
        </w:rPr>
        <w:t>RLAN</w:t>
      </w:r>
      <w:proofErr w:type="spellEnd"/>
      <w:r w:rsidRPr="00DB251D">
        <w:rPr>
          <w:rFonts w:eastAsia="SimSun"/>
          <w:lang w:val="en-US"/>
        </w:rPr>
        <w:t xml:space="preserve"> and </w:t>
      </w:r>
      <w:proofErr w:type="spellStart"/>
      <w:r w:rsidRPr="00DB251D">
        <w:rPr>
          <w:rFonts w:eastAsia="SimSun"/>
          <w:lang w:val="en-US"/>
        </w:rPr>
        <w:t>FSS</w:t>
      </w:r>
      <w:proofErr w:type="spellEnd"/>
      <w:r w:rsidRPr="00DB251D">
        <w:rPr>
          <w:rFonts w:eastAsia="SimSun"/>
          <w:lang w:val="en-US"/>
        </w:rPr>
        <w:t xml:space="preserve"> is not possible. Specific mitigation techniques needs be investigated.</w:t>
      </w:r>
    </w:p>
    <w:p w:rsidR="002176F6" w:rsidRPr="00DB251D" w:rsidRDefault="001E1BC0">
      <w:pPr>
        <w:pStyle w:val="enumlev1"/>
        <w:rPr>
          <w:rFonts w:eastAsia="SimSun"/>
          <w:lang w:val="en-US"/>
        </w:rPr>
      </w:pPr>
      <w:r w:rsidRPr="00DB251D">
        <w:rPr>
          <w:rFonts w:eastAsia="SimSun"/>
          <w:lang w:val="en-US"/>
        </w:rPr>
        <w:t>−</w:t>
      </w:r>
      <w:r w:rsidRPr="00DB251D">
        <w:rPr>
          <w:rFonts w:eastAsia="SimSun"/>
          <w:lang w:val="en-US"/>
        </w:rPr>
        <w:tab/>
        <w:t>Empirical methods to estimate the interference levels from aggregate transmissions from WAS/</w:t>
      </w:r>
      <w:proofErr w:type="spellStart"/>
      <w:r w:rsidRPr="00DB251D">
        <w:rPr>
          <w:rFonts w:eastAsia="SimSun"/>
          <w:lang w:val="en-US"/>
        </w:rPr>
        <w:t>RLAN</w:t>
      </w:r>
      <w:proofErr w:type="spellEnd"/>
      <w:r w:rsidRPr="00DB251D">
        <w:rPr>
          <w:rFonts w:eastAsia="SimSun"/>
          <w:lang w:val="en-US"/>
        </w:rPr>
        <w:t xml:space="preserve"> will require further studies and analysis (including possibly other the scenarios of interference representing closer the cumulative interference from WAS/</w:t>
      </w:r>
      <w:proofErr w:type="spellStart"/>
      <w:r w:rsidRPr="00DB251D">
        <w:rPr>
          <w:rFonts w:eastAsia="SimSun"/>
          <w:lang w:val="en-US"/>
        </w:rPr>
        <w:t>RLAN</w:t>
      </w:r>
      <w:proofErr w:type="spellEnd"/>
      <w:r w:rsidRPr="00DB251D">
        <w:rPr>
          <w:rFonts w:eastAsia="SimSun"/>
          <w:lang w:val="en-US"/>
        </w:rPr>
        <w:t xml:space="preserve"> into </w:t>
      </w:r>
      <w:proofErr w:type="spellStart"/>
      <w:r w:rsidRPr="00DB251D">
        <w:rPr>
          <w:rFonts w:eastAsia="SimSun"/>
          <w:lang w:val="en-US"/>
        </w:rPr>
        <w:t>FSS</w:t>
      </w:r>
      <w:proofErr w:type="spellEnd"/>
      <w:r w:rsidRPr="00DB251D">
        <w:rPr>
          <w:rFonts w:eastAsia="SimSun"/>
          <w:lang w:val="en-US"/>
        </w:rPr>
        <w:t xml:space="preserve"> receiver.</w:t>
      </w:r>
    </w:p>
    <w:p w:rsidR="002176F6" w:rsidRPr="00DB251D" w:rsidRDefault="001E1BC0">
      <w:pPr>
        <w:pStyle w:val="enumlev1"/>
        <w:rPr>
          <w:lang w:val="en-US"/>
        </w:rPr>
      </w:pPr>
      <w:r w:rsidRPr="00DB251D">
        <w:rPr>
          <w:rFonts w:eastAsia="SimSun"/>
          <w:lang w:val="en-US"/>
        </w:rPr>
        <w:t>−</w:t>
      </w:r>
      <w:r w:rsidRPr="00DB251D">
        <w:rPr>
          <w:rFonts w:eastAsia="SimSun"/>
          <w:lang w:val="en-US"/>
        </w:rPr>
        <w:tab/>
        <w:t xml:space="preserve">Before considering the introduction of </w:t>
      </w:r>
      <w:proofErr w:type="spellStart"/>
      <w:r w:rsidRPr="00DB251D">
        <w:rPr>
          <w:rFonts w:eastAsia="SimSun"/>
          <w:lang w:val="en-US"/>
        </w:rPr>
        <w:t>RLAN</w:t>
      </w:r>
      <w:proofErr w:type="spellEnd"/>
      <w:r w:rsidRPr="00DB251D">
        <w:rPr>
          <w:rFonts w:eastAsia="SimSun"/>
          <w:lang w:val="en-US"/>
        </w:rPr>
        <w:t xml:space="preserve"> in any of the sub-bands within 5 725</w:t>
      </w:r>
      <w:r w:rsidRPr="00DB251D">
        <w:rPr>
          <w:rFonts w:eastAsia="SimSun"/>
          <w:lang w:val="en-US"/>
        </w:rPr>
        <w:noBreakHyphen/>
        <w:t xml:space="preserve">5 925 MHz specific compatibility analysis between </w:t>
      </w:r>
      <w:proofErr w:type="spellStart"/>
      <w:r w:rsidRPr="00DB251D">
        <w:rPr>
          <w:rFonts w:eastAsia="SimSun"/>
          <w:lang w:val="en-US"/>
        </w:rPr>
        <w:t>RLAN</w:t>
      </w:r>
      <w:proofErr w:type="spellEnd"/>
      <w:r w:rsidRPr="00DB251D">
        <w:rPr>
          <w:rFonts w:eastAsia="SimSun"/>
          <w:lang w:val="en-US"/>
        </w:rPr>
        <w:t xml:space="preserve"> and the </w:t>
      </w:r>
      <w:proofErr w:type="spellStart"/>
      <w:r w:rsidRPr="00DB251D">
        <w:rPr>
          <w:rFonts w:eastAsia="SimSun"/>
          <w:lang w:val="en-US"/>
        </w:rPr>
        <w:t>FSS</w:t>
      </w:r>
      <w:proofErr w:type="spellEnd"/>
      <w:r w:rsidRPr="00DB251D">
        <w:rPr>
          <w:rFonts w:eastAsia="SimSun"/>
          <w:lang w:val="en-US"/>
        </w:rPr>
        <w:t xml:space="preserve"> operating in adjacent sub-bands are necessary.</w:t>
      </w:r>
    </w:p>
    <w:p w:rsidR="002176F6" w:rsidRPr="00DB251D" w:rsidRDefault="002176F6">
      <w:pPr>
        <w:rPr>
          <w:i/>
          <w:szCs w:val="24"/>
          <w:highlight w:val="yellow"/>
          <w:shd w:val="clear" w:color="auto" w:fill="FFFFFF"/>
          <w:lang w:val="en-US"/>
        </w:rPr>
      </w:pPr>
    </w:p>
    <w:p w:rsidR="002176F6" w:rsidRPr="00DB251D" w:rsidRDefault="001E1BC0">
      <w:pPr>
        <w:pStyle w:val="Reftitle"/>
        <w:rPr>
          <w:lang w:val="en-US"/>
        </w:rPr>
      </w:pPr>
      <w:bookmarkStart w:id="7" w:name="_Toc419283555"/>
      <w:bookmarkStart w:id="8" w:name="_Toc421540254"/>
      <w:bookmarkStart w:id="9" w:name="_Toc419283556"/>
      <w:bookmarkStart w:id="10" w:name="_Toc421540255"/>
      <w:bookmarkStart w:id="11" w:name="_Toc441670256"/>
      <w:bookmarkEnd w:id="7"/>
      <w:bookmarkEnd w:id="8"/>
      <w:bookmarkEnd w:id="9"/>
      <w:bookmarkEnd w:id="10"/>
      <w:r w:rsidRPr="00DB251D">
        <w:rPr>
          <w:lang w:val="en-US"/>
        </w:rPr>
        <w:lastRenderedPageBreak/>
        <w:t>List of Reference</w:t>
      </w:r>
      <w:bookmarkEnd w:id="11"/>
      <w:r w:rsidRPr="00DB251D">
        <w:rPr>
          <w:lang w:val="en-US"/>
        </w:rPr>
        <w:t>s</w:t>
      </w:r>
    </w:p>
    <w:p w:rsidR="002176F6" w:rsidRPr="00DB251D" w:rsidRDefault="00E85E05" w:rsidP="00C579AA">
      <w:pPr>
        <w:pStyle w:val="Reftext"/>
        <w:spacing w:before="240"/>
        <w:rPr>
          <w:lang w:val="en-US"/>
        </w:rPr>
      </w:pPr>
      <w:bookmarkStart w:id="12" w:name="_Ref409532883"/>
      <w:r>
        <w:rPr>
          <w:lang w:val="en-US"/>
        </w:rPr>
        <w:t>[1]</w:t>
      </w:r>
      <w:r>
        <w:rPr>
          <w:lang w:val="en-US"/>
        </w:rPr>
        <w:tab/>
      </w:r>
      <w:r w:rsidR="001E1BC0" w:rsidRPr="00DB251D">
        <w:rPr>
          <w:lang w:val="en-US"/>
        </w:rPr>
        <w:t xml:space="preserve">EC Mandate to </w:t>
      </w:r>
      <w:proofErr w:type="spellStart"/>
      <w:r w:rsidR="001E1BC0" w:rsidRPr="00DB251D">
        <w:rPr>
          <w:lang w:val="en-US"/>
        </w:rPr>
        <w:t>CEPT</w:t>
      </w:r>
      <w:proofErr w:type="spellEnd"/>
      <w:r w:rsidR="001E1BC0" w:rsidRPr="00DB251D">
        <w:rPr>
          <w:lang w:val="en-US"/>
        </w:rPr>
        <w:t xml:space="preserve"> to study and identify </w:t>
      </w:r>
      <w:proofErr w:type="spellStart"/>
      <w:r w:rsidR="001E1BC0" w:rsidRPr="00DB251D">
        <w:rPr>
          <w:lang w:val="en-US"/>
        </w:rPr>
        <w:t>harmonised</w:t>
      </w:r>
      <w:proofErr w:type="spellEnd"/>
      <w:r w:rsidR="001E1BC0" w:rsidRPr="00DB251D">
        <w:rPr>
          <w:lang w:val="en-US"/>
        </w:rPr>
        <w:t xml:space="preserve"> compatibility and sharing conditions for Wireless Access Systems including Radio Local Area Networks in the bands 5 350-5 470 MHz and 5 725-5 925 MHz ('WAS/</w:t>
      </w:r>
      <w:proofErr w:type="spellStart"/>
      <w:r w:rsidR="001E1BC0" w:rsidRPr="00DB251D">
        <w:rPr>
          <w:lang w:val="en-US"/>
        </w:rPr>
        <w:t>RLAN</w:t>
      </w:r>
      <w:proofErr w:type="spellEnd"/>
      <w:r w:rsidR="001E1BC0" w:rsidRPr="00DB251D">
        <w:rPr>
          <w:lang w:val="en-US"/>
        </w:rPr>
        <w:t xml:space="preserve"> extension bands') for the provision of wireless broadband services, September 2013</w:t>
      </w:r>
      <w:bookmarkEnd w:id="12"/>
    </w:p>
    <w:p w:rsidR="002176F6" w:rsidRPr="00DB251D" w:rsidRDefault="00E85E05" w:rsidP="003F642F">
      <w:pPr>
        <w:pStyle w:val="Reftext"/>
        <w:rPr>
          <w:lang w:val="en-US"/>
        </w:rPr>
      </w:pPr>
      <w:bookmarkStart w:id="13" w:name="_Ref409540021"/>
      <w:bookmarkStart w:id="14" w:name="_Ref466491158"/>
      <w:r>
        <w:rPr>
          <w:lang w:val="en-US"/>
        </w:rPr>
        <w:t>[</w:t>
      </w:r>
      <w:r w:rsidR="003F642F">
        <w:rPr>
          <w:lang w:val="en-US"/>
        </w:rPr>
        <w:t>2</w:t>
      </w:r>
      <w:r>
        <w:rPr>
          <w:lang w:val="en-US"/>
        </w:rPr>
        <w:t>]</w:t>
      </w:r>
      <w:r>
        <w:rPr>
          <w:lang w:val="en-US"/>
        </w:rPr>
        <w:tab/>
      </w:r>
      <w:proofErr w:type="spellStart"/>
      <w:r w:rsidR="001E1BC0" w:rsidRPr="00DB251D">
        <w:rPr>
          <w:lang w:val="en-US"/>
        </w:rPr>
        <w:t>ECC</w:t>
      </w:r>
      <w:proofErr w:type="spellEnd"/>
      <w:r w:rsidR="001E1BC0" w:rsidRPr="00DB251D">
        <w:rPr>
          <w:lang w:val="en-US"/>
        </w:rPr>
        <w:t xml:space="preserve"> Decision (04)08: </w:t>
      </w:r>
      <w:bookmarkEnd w:id="13"/>
      <w:r w:rsidR="001E1BC0" w:rsidRPr="00DB251D">
        <w:rPr>
          <w:lang w:val="en-US"/>
        </w:rPr>
        <w:t>"</w:t>
      </w:r>
      <w:proofErr w:type="spellStart"/>
      <w:r w:rsidR="001E1BC0" w:rsidRPr="00DB251D">
        <w:rPr>
          <w:lang w:val="en-US"/>
        </w:rPr>
        <w:t>Harmonised</w:t>
      </w:r>
      <w:proofErr w:type="spellEnd"/>
      <w:r w:rsidR="001E1BC0" w:rsidRPr="00DB251D">
        <w:rPr>
          <w:lang w:val="en-US"/>
        </w:rPr>
        <w:t xml:space="preserve"> use of 5 GHz for </w:t>
      </w:r>
      <w:r w:rsidR="00004D76">
        <w:rPr>
          <w:lang w:val="en-US"/>
        </w:rPr>
        <w:t>the implementation of WAS/</w:t>
      </w:r>
      <w:proofErr w:type="spellStart"/>
      <w:r w:rsidR="00004D76">
        <w:rPr>
          <w:lang w:val="en-US"/>
        </w:rPr>
        <w:t>RLANs</w:t>
      </w:r>
      <w:proofErr w:type="spellEnd"/>
      <w:r w:rsidR="001E1BC0" w:rsidRPr="00DB251D">
        <w:rPr>
          <w:lang w:val="en-US"/>
        </w:rPr>
        <w:t>"</w:t>
      </w:r>
      <w:bookmarkEnd w:id="14"/>
    </w:p>
    <w:p w:rsidR="002176F6" w:rsidRPr="00DB251D" w:rsidRDefault="00E85E05" w:rsidP="003F642F">
      <w:pPr>
        <w:pStyle w:val="Reftext"/>
        <w:rPr>
          <w:lang w:val="en-US"/>
        </w:rPr>
      </w:pPr>
      <w:bookmarkStart w:id="15" w:name="_Ref409540050"/>
      <w:bookmarkStart w:id="16" w:name="_Ref409540100"/>
      <w:r>
        <w:rPr>
          <w:lang w:val="en-US"/>
        </w:rPr>
        <w:t>[</w:t>
      </w:r>
      <w:r w:rsidR="003F642F">
        <w:rPr>
          <w:lang w:val="en-US"/>
        </w:rPr>
        <w:t>3</w:t>
      </w:r>
      <w:r>
        <w:rPr>
          <w:lang w:val="en-US"/>
        </w:rPr>
        <w:t>]</w:t>
      </w:r>
      <w:r>
        <w:rPr>
          <w:lang w:val="en-US"/>
        </w:rPr>
        <w:tab/>
      </w:r>
      <w:proofErr w:type="spellStart"/>
      <w:r w:rsidR="001E1BC0" w:rsidRPr="00DB251D">
        <w:rPr>
          <w:lang w:val="en-US"/>
        </w:rPr>
        <w:t>WRC</w:t>
      </w:r>
      <w:proofErr w:type="spellEnd"/>
      <w:r w:rsidR="001E1BC0" w:rsidRPr="00DB251D">
        <w:rPr>
          <w:lang w:val="en-US"/>
        </w:rPr>
        <w:t xml:space="preserve"> Resolution </w:t>
      </w:r>
      <w:r w:rsidR="001E1BC0" w:rsidRPr="00F31C1C">
        <w:rPr>
          <w:b/>
          <w:bCs/>
          <w:lang w:val="en-US"/>
        </w:rPr>
        <w:t>229 (</w:t>
      </w:r>
      <w:proofErr w:type="spellStart"/>
      <w:r w:rsidR="001E1BC0" w:rsidRPr="00F31C1C">
        <w:rPr>
          <w:b/>
          <w:bCs/>
          <w:lang w:val="en-US"/>
        </w:rPr>
        <w:t>WRC</w:t>
      </w:r>
      <w:proofErr w:type="spellEnd"/>
      <w:r w:rsidR="001E1BC0" w:rsidRPr="00F31C1C">
        <w:rPr>
          <w:b/>
          <w:bCs/>
          <w:lang w:val="en-US"/>
        </w:rPr>
        <w:t>-03)</w:t>
      </w:r>
      <w:r w:rsidR="001E1BC0" w:rsidRPr="00DB251D">
        <w:rPr>
          <w:lang w:val="en-US"/>
        </w:rPr>
        <w:t xml:space="preserve">: </w:t>
      </w:r>
      <w:bookmarkEnd w:id="15"/>
      <w:r w:rsidR="001E1BC0" w:rsidRPr="00DB251D">
        <w:rPr>
          <w:lang w:val="en-US"/>
        </w:rPr>
        <w:t>"Use of the bands 5 150-5 250, 5 250-5 350 MHz and 5 470</w:t>
      </w:r>
      <w:r w:rsidR="00F31C1C">
        <w:rPr>
          <w:lang w:val="en-US"/>
        </w:rPr>
        <w:noBreakHyphen/>
      </w:r>
      <w:r w:rsidR="001E1BC0" w:rsidRPr="00DB251D">
        <w:rPr>
          <w:lang w:val="en-US"/>
        </w:rPr>
        <w:t>5 725 MHz by the mobile service for the implementation of Wireless Access Systems including Radio Local Area Networks"</w:t>
      </w:r>
      <w:bookmarkEnd w:id="16"/>
    </w:p>
    <w:p w:rsidR="002176F6" w:rsidRPr="00DB251D" w:rsidRDefault="00E85E05" w:rsidP="003F642F">
      <w:pPr>
        <w:pStyle w:val="Reftext"/>
        <w:rPr>
          <w:lang w:val="en-US"/>
        </w:rPr>
      </w:pPr>
      <w:bookmarkStart w:id="17" w:name="_Ref409540169"/>
      <w:bookmarkStart w:id="18" w:name="_Ref466490786"/>
      <w:r>
        <w:rPr>
          <w:lang w:val="en-US"/>
        </w:rPr>
        <w:t>[</w:t>
      </w:r>
      <w:r w:rsidR="003F642F">
        <w:rPr>
          <w:lang w:val="en-US"/>
        </w:rPr>
        <w:t>4</w:t>
      </w:r>
      <w:r>
        <w:rPr>
          <w:lang w:val="en-US"/>
        </w:rPr>
        <w:t>]</w:t>
      </w:r>
      <w:r>
        <w:rPr>
          <w:lang w:val="en-US"/>
        </w:rPr>
        <w:tab/>
      </w:r>
      <w:proofErr w:type="spellStart"/>
      <w:r w:rsidR="001E1BC0" w:rsidRPr="00DB251D">
        <w:rPr>
          <w:lang w:val="en-US"/>
        </w:rPr>
        <w:t>ERC</w:t>
      </w:r>
      <w:proofErr w:type="spellEnd"/>
      <w:r w:rsidR="001E1BC0" w:rsidRPr="00DB251D">
        <w:rPr>
          <w:lang w:val="en-US"/>
        </w:rPr>
        <w:t xml:space="preserve"> Report 67</w:t>
      </w:r>
      <w:bookmarkEnd w:id="17"/>
      <w:r w:rsidR="001E1BC0" w:rsidRPr="00DB251D">
        <w:rPr>
          <w:lang w:val="en-US"/>
        </w:rPr>
        <w:t xml:space="preserve">: "Study of the Frequency sharing between </w:t>
      </w:r>
      <w:proofErr w:type="spellStart"/>
      <w:r w:rsidR="001E1BC0" w:rsidRPr="00DB251D">
        <w:rPr>
          <w:lang w:val="en-US"/>
        </w:rPr>
        <w:t>HIPERLANs</w:t>
      </w:r>
      <w:proofErr w:type="spellEnd"/>
      <w:r w:rsidR="001E1BC0" w:rsidRPr="00DB251D">
        <w:rPr>
          <w:lang w:val="en-US"/>
        </w:rPr>
        <w:t xml:space="preserve"> and </w:t>
      </w:r>
      <w:proofErr w:type="spellStart"/>
      <w:r w:rsidR="001E1BC0" w:rsidRPr="00DB251D">
        <w:rPr>
          <w:lang w:val="en-US"/>
        </w:rPr>
        <w:t>MSS</w:t>
      </w:r>
      <w:proofErr w:type="spellEnd"/>
      <w:r w:rsidR="001E1BC0" w:rsidRPr="00DB251D">
        <w:rPr>
          <w:lang w:val="en-US"/>
        </w:rPr>
        <w:t xml:space="preserve"> feeder links in the 5 GHz band"</w:t>
      </w:r>
      <w:bookmarkEnd w:id="18"/>
    </w:p>
    <w:p w:rsidR="002176F6" w:rsidRPr="00DB251D" w:rsidRDefault="00E85E05" w:rsidP="003F642F">
      <w:pPr>
        <w:pStyle w:val="Reftext"/>
        <w:rPr>
          <w:lang w:val="en-US"/>
        </w:rPr>
      </w:pPr>
      <w:bookmarkStart w:id="19" w:name="_Ref409540180"/>
      <w:bookmarkStart w:id="20" w:name="_Ref466490810"/>
      <w:r>
        <w:rPr>
          <w:lang w:val="en-US"/>
        </w:rPr>
        <w:t>[</w:t>
      </w:r>
      <w:r w:rsidR="003F642F">
        <w:rPr>
          <w:lang w:val="en-US"/>
        </w:rPr>
        <w:t>5</w:t>
      </w:r>
      <w:r>
        <w:rPr>
          <w:lang w:val="en-US"/>
        </w:rPr>
        <w:t>]</w:t>
      </w:r>
      <w:r>
        <w:rPr>
          <w:lang w:val="en-US"/>
        </w:rPr>
        <w:tab/>
      </w:r>
      <w:proofErr w:type="spellStart"/>
      <w:r w:rsidR="001E1BC0" w:rsidRPr="00DB251D">
        <w:rPr>
          <w:lang w:val="en-US"/>
        </w:rPr>
        <w:t>ERC</w:t>
      </w:r>
      <w:proofErr w:type="spellEnd"/>
      <w:r w:rsidR="001E1BC0" w:rsidRPr="00DB251D">
        <w:rPr>
          <w:lang w:val="en-US"/>
        </w:rPr>
        <w:t xml:space="preserve"> Report 72</w:t>
      </w:r>
      <w:bookmarkEnd w:id="19"/>
      <w:r w:rsidR="00F31C1C">
        <w:rPr>
          <w:lang w:val="en-US"/>
        </w:rPr>
        <w:t>: "</w:t>
      </w:r>
      <w:r w:rsidR="001E1BC0" w:rsidRPr="00DB251D">
        <w:rPr>
          <w:lang w:val="en-US"/>
        </w:rPr>
        <w:t xml:space="preserve">Compatibility studies related to the possible extension band for </w:t>
      </w:r>
      <w:proofErr w:type="spellStart"/>
      <w:r w:rsidR="001E1BC0" w:rsidRPr="00DB251D">
        <w:rPr>
          <w:lang w:val="en-US"/>
        </w:rPr>
        <w:t>HIPERLAN</w:t>
      </w:r>
      <w:proofErr w:type="spellEnd"/>
      <w:r w:rsidR="001E1BC0" w:rsidRPr="00DB251D">
        <w:rPr>
          <w:lang w:val="en-US"/>
        </w:rPr>
        <w:t xml:space="preserve"> at 5</w:t>
      </w:r>
      <w:r w:rsidR="00F31C1C">
        <w:rPr>
          <w:lang w:val="en-US"/>
        </w:rPr>
        <w:t> </w:t>
      </w:r>
      <w:r w:rsidR="001E1BC0" w:rsidRPr="00DB251D">
        <w:rPr>
          <w:lang w:val="en-US"/>
        </w:rPr>
        <w:t>GHz"</w:t>
      </w:r>
      <w:bookmarkEnd w:id="20"/>
    </w:p>
    <w:p w:rsidR="002176F6" w:rsidRPr="00DB251D" w:rsidRDefault="00E85E05" w:rsidP="003F642F">
      <w:pPr>
        <w:pStyle w:val="Reftext"/>
        <w:rPr>
          <w:lang w:val="en-US"/>
        </w:rPr>
      </w:pPr>
      <w:bookmarkStart w:id="21" w:name="_Ref409540194"/>
      <w:bookmarkStart w:id="22" w:name="_Ref441581584"/>
      <w:r>
        <w:rPr>
          <w:lang w:val="en-US"/>
        </w:rPr>
        <w:t>[</w:t>
      </w:r>
      <w:r w:rsidR="003F642F">
        <w:rPr>
          <w:lang w:val="en-US"/>
        </w:rPr>
        <w:t>6</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EN</w:t>
      </w:r>
      <w:proofErr w:type="spellEnd"/>
      <w:r w:rsidR="001E1BC0" w:rsidRPr="00DB251D">
        <w:rPr>
          <w:lang w:val="en-US"/>
        </w:rPr>
        <w:t xml:space="preserve"> 301 893</w:t>
      </w:r>
      <w:bookmarkEnd w:id="21"/>
      <w:r w:rsidR="00F31C1C">
        <w:rPr>
          <w:lang w:val="en-US"/>
        </w:rPr>
        <w:t>: "</w:t>
      </w:r>
      <w:r w:rsidR="001E1BC0" w:rsidRPr="00DB251D">
        <w:rPr>
          <w:lang w:val="en-US"/>
        </w:rPr>
        <w:t xml:space="preserve">Broadband Radio Access Networks (BRAN); 5 GHz high performance </w:t>
      </w:r>
      <w:proofErr w:type="spellStart"/>
      <w:r w:rsidR="001E1BC0" w:rsidRPr="00DB251D">
        <w:rPr>
          <w:lang w:val="en-US"/>
        </w:rPr>
        <w:t>RLAN</w:t>
      </w:r>
      <w:proofErr w:type="spellEnd"/>
      <w:r w:rsidR="001E1BC0" w:rsidRPr="00DB251D">
        <w:rPr>
          <w:lang w:val="en-US"/>
        </w:rPr>
        <w:t xml:space="preserve">; Harmonized </w:t>
      </w:r>
      <w:proofErr w:type="spellStart"/>
      <w:r w:rsidR="001E1BC0" w:rsidRPr="00DB251D">
        <w:rPr>
          <w:lang w:val="en-US"/>
        </w:rPr>
        <w:t>EN</w:t>
      </w:r>
      <w:proofErr w:type="spellEnd"/>
      <w:r w:rsidR="001E1BC0" w:rsidRPr="00DB251D">
        <w:rPr>
          <w:lang w:val="en-US"/>
        </w:rPr>
        <w:t xml:space="preserve"> covering the essential requirements of Article 3.2 of the </w:t>
      </w:r>
      <w:proofErr w:type="spellStart"/>
      <w:r w:rsidR="001E1BC0" w:rsidRPr="00DB251D">
        <w:rPr>
          <w:lang w:val="en-US"/>
        </w:rPr>
        <w:t>R&amp;TTE</w:t>
      </w:r>
      <w:proofErr w:type="spellEnd"/>
      <w:r w:rsidR="001E1BC0" w:rsidRPr="00DB251D">
        <w:rPr>
          <w:lang w:val="en-US"/>
        </w:rPr>
        <w:t xml:space="preserve"> Directive"</w:t>
      </w:r>
      <w:bookmarkEnd w:id="22"/>
    </w:p>
    <w:p w:rsidR="002176F6" w:rsidRPr="00DB251D" w:rsidRDefault="00E85E05" w:rsidP="003F642F">
      <w:pPr>
        <w:pStyle w:val="Reftext"/>
        <w:rPr>
          <w:lang w:val="en-US"/>
        </w:rPr>
      </w:pPr>
      <w:bookmarkStart w:id="23" w:name="_Ref409540206"/>
      <w:r>
        <w:rPr>
          <w:lang w:val="en-US"/>
        </w:rPr>
        <w:t>[</w:t>
      </w:r>
      <w:r w:rsidR="003F642F">
        <w:rPr>
          <w:lang w:val="en-US"/>
        </w:rPr>
        <w:t>7</w:t>
      </w:r>
      <w:r>
        <w:rPr>
          <w:lang w:val="en-US"/>
        </w:rPr>
        <w:t>]</w:t>
      </w:r>
      <w:r>
        <w:rPr>
          <w:lang w:val="en-US"/>
        </w:rPr>
        <w:tab/>
      </w:r>
      <w:r w:rsidR="001E1BC0" w:rsidRPr="00DB251D">
        <w:rPr>
          <w:lang w:val="en-US"/>
        </w:rPr>
        <w:t>EC Decision 2005/513/EC complemented by EC Decision 2007/90/EC</w:t>
      </w:r>
      <w:bookmarkEnd w:id="23"/>
    </w:p>
    <w:p w:rsidR="002176F6" w:rsidRPr="00DB251D" w:rsidRDefault="00E85E05" w:rsidP="003F642F">
      <w:pPr>
        <w:pStyle w:val="Reftext"/>
        <w:rPr>
          <w:lang w:val="en-US"/>
        </w:rPr>
      </w:pPr>
      <w:bookmarkStart w:id="24" w:name="_Ref409540328"/>
      <w:r>
        <w:rPr>
          <w:lang w:val="en-US"/>
        </w:rPr>
        <w:t>[</w:t>
      </w:r>
      <w:r w:rsidR="003F642F">
        <w:rPr>
          <w:lang w:val="en-US"/>
        </w:rPr>
        <w:t>8</w:t>
      </w:r>
      <w:r>
        <w:rPr>
          <w:lang w:val="en-US"/>
        </w:rPr>
        <w:t>]</w:t>
      </w:r>
      <w:r>
        <w:rPr>
          <w:lang w:val="en-US"/>
        </w:rPr>
        <w:tab/>
      </w:r>
      <w:r w:rsidR="001E1BC0" w:rsidRPr="00DB251D">
        <w:rPr>
          <w:lang w:val="en-US"/>
        </w:rPr>
        <w:t xml:space="preserve">Recommendation </w:t>
      </w:r>
      <w:proofErr w:type="spellStart"/>
      <w:r w:rsidR="001E1BC0" w:rsidRPr="00DB251D">
        <w:rPr>
          <w:lang w:val="en-US"/>
        </w:rPr>
        <w:t>ITU</w:t>
      </w:r>
      <w:proofErr w:type="spellEnd"/>
      <w:r w:rsidR="001E1BC0" w:rsidRPr="00DB251D">
        <w:rPr>
          <w:lang w:val="en-US"/>
        </w:rPr>
        <w:t xml:space="preserve">-R </w:t>
      </w:r>
      <w:proofErr w:type="spellStart"/>
      <w:r w:rsidR="001E1BC0" w:rsidRPr="00DB251D">
        <w:rPr>
          <w:lang w:val="en-US"/>
        </w:rPr>
        <w:t>M.1739</w:t>
      </w:r>
      <w:proofErr w:type="spellEnd"/>
      <w:r w:rsidR="001E1BC0" w:rsidRPr="00DB251D">
        <w:rPr>
          <w:lang w:val="en-US"/>
        </w:rPr>
        <w:t xml:space="preserve">: "Protection criteria for wireless access systems, including radio local area networks, operating in the mobile service in accordance with Resolution </w:t>
      </w:r>
      <w:r w:rsidR="001E1BC0" w:rsidRPr="00004D76">
        <w:rPr>
          <w:b/>
          <w:bCs/>
          <w:lang w:val="en-US"/>
        </w:rPr>
        <w:t>229 (</w:t>
      </w:r>
      <w:proofErr w:type="spellStart"/>
      <w:r w:rsidR="001E1BC0" w:rsidRPr="00004D76">
        <w:rPr>
          <w:b/>
          <w:bCs/>
          <w:lang w:val="en-US"/>
        </w:rPr>
        <w:t>WRC</w:t>
      </w:r>
      <w:proofErr w:type="spellEnd"/>
      <w:r w:rsidR="001E1BC0" w:rsidRPr="00004D76">
        <w:rPr>
          <w:b/>
          <w:bCs/>
          <w:lang w:val="en-US"/>
        </w:rPr>
        <w:t>-03)</w:t>
      </w:r>
      <w:r w:rsidR="001E1BC0" w:rsidRPr="00DB251D">
        <w:rPr>
          <w:lang w:val="en-US"/>
        </w:rPr>
        <w:t xml:space="preserve"> in the bands 5 150-5 250 MHz, 5 250-5 350 MHz and 5 470</w:t>
      </w:r>
      <w:r w:rsidR="001E1BC0" w:rsidRPr="00DB251D">
        <w:rPr>
          <w:lang w:val="en-US"/>
        </w:rPr>
        <w:noBreakHyphen/>
        <w:t>5 725 MHz"</w:t>
      </w:r>
      <w:bookmarkEnd w:id="24"/>
    </w:p>
    <w:p w:rsidR="002176F6" w:rsidRPr="00DB251D" w:rsidRDefault="00E85E05" w:rsidP="003F642F">
      <w:pPr>
        <w:pStyle w:val="Reftext"/>
        <w:rPr>
          <w:lang w:val="en-US"/>
        </w:rPr>
      </w:pPr>
      <w:bookmarkStart w:id="25" w:name="_Ref409540384"/>
      <w:r>
        <w:rPr>
          <w:lang w:val="en-US"/>
        </w:rPr>
        <w:t>[</w:t>
      </w:r>
      <w:r w:rsidR="003F642F">
        <w:rPr>
          <w:lang w:val="en-US"/>
        </w:rPr>
        <w:t>9</w:t>
      </w:r>
      <w:r>
        <w:rPr>
          <w:lang w:val="en-US"/>
        </w:rPr>
        <w:t>]</w:t>
      </w:r>
      <w:r>
        <w:rPr>
          <w:lang w:val="en-US"/>
        </w:rPr>
        <w:tab/>
      </w:r>
      <w:proofErr w:type="spellStart"/>
      <w:r w:rsidR="001E1BC0" w:rsidRPr="00DB251D">
        <w:rPr>
          <w:lang w:val="en-US"/>
        </w:rPr>
        <w:t>ERC</w:t>
      </w:r>
      <w:proofErr w:type="spellEnd"/>
      <w:r w:rsidR="001E1BC0" w:rsidRPr="00DB251D">
        <w:rPr>
          <w:lang w:val="en-US"/>
        </w:rPr>
        <w:t xml:space="preserve"> Report 25: "The European table of frequency allocations and applications in the frequency range 8.3 kHz to 3000 GHz"</w:t>
      </w:r>
      <w:bookmarkEnd w:id="25"/>
    </w:p>
    <w:p w:rsidR="002176F6" w:rsidRPr="00DB251D" w:rsidRDefault="00E85E05" w:rsidP="00E85E05">
      <w:pPr>
        <w:pStyle w:val="Reftext"/>
        <w:rPr>
          <w:lang w:val="en-US"/>
        </w:rPr>
      </w:pPr>
      <w:bookmarkStart w:id="26" w:name="_Ref409540483"/>
      <w:r>
        <w:rPr>
          <w:lang w:val="en-US"/>
        </w:rPr>
        <w:t>[1</w:t>
      </w:r>
      <w:r w:rsidR="003F642F">
        <w:rPr>
          <w:lang w:val="en-US"/>
        </w:rPr>
        <w:t>0</w:t>
      </w:r>
      <w:r>
        <w:rPr>
          <w:lang w:val="en-US"/>
        </w:rPr>
        <w:t>]</w:t>
      </w:r>
      <w:r>
        <w:rPr>
          <w:lang w:val="en-US"/>
        </w:rPr>
        <w:tab/>
      </w:r>
      <w:r w:rsidR="001E1BC0" w:rsidRPr="00DB251D">
        <w:rPr>
          <w:lang w:val="en-US"/>
        </w:rPr>
        <w:t xml:space="preserve">EC Decision 2008/671/EC: "Commission Decision of 5 August 2008 on the </w:t>
      </w:r>
      <w:proofErr w:type="spellStart"/>
      <w:r w:rsidR="001E1BC0" w:rsidRPr="00DB251D">
        <w:rPr>
          <w:lang w:val="en-US"/>
        </w:rPr>
        <w:t>harmonised</w:t>
      </w:r>
      <w:proofErr w:type="spellEnd"/>
      <w:r w:rsidR="001E1BC0" w:rsidRPr="00DB251D">
        <w:rPr>
          <w:lang w:val="en-US"/>
        </w:rPr>
        <w:t xml:space="preserve"> use of radio spectrum in the 5 875-5 905 MHz frequency band for safety related applications of Intelligent Transport Systems (ITS)"</w:t>
      </w:r>
      <w:bookmarkEnd w:id="26"/>
    </w:p>
    <w:p w:rsidR="002176F6" w:rsidRPr="00DB251D" w:rsidRDefault="00E85E05" w:rsidP="00E85E05">
      <w:pPr>
        <w:pStyle w:val="Reftext"/>
        <w:rPr>
          <w:lang w:val="en-US"/>
        </w:rPr>
      </w:pPr>
      <w:bookmarkStart w:id="27" w:name="_Ref409540496"/>
      <w:r>
        <w:rPr>
          <w:lang w:val="en-US"/>
        </w:rPr>
        <w:t>[</w:t>
      </w:r>
      <w:r w:rsidR="003F642F">
        <w:rPr>
          <w:lang w:val="en-US"/>
        </w:rPr>
        <w:t>1</w:t>
      </w:r>
      <w:r>
        <w:rPr>
          <w:lang w:val="en-US"/>
        </w:rPr>
        <w:t>1]</w:t>
      </w:r>
      <w:r>
        <w:rPr>
          <w:lang w:val="en-US"/>
        </w:rPr>
        <w:tab/>
      </w:r>
      <w:proofErr w:type="spellStart"/>
      <w:r w:rsidR="001E1BC0" w:rsidRPr="00DB251D">
        <w:rPr>
          <w:lang w:val="en-US"/>
        </w:rPr>
        <w:t>ECC</w:t>
      </w:r>
      <w:proofErr w:type="spellEnd"/>
      <w:r w:rsidR="001E1BC0" w:rsidRPr="00DB251D">
        <w:rPr>
          <w:lang w:val="en-US"/>
        </w:rPr>
        <w:t xml:space="preserve"> Decision (08)01</w:t>
      </w:r>
      <w:bookmarkEnd w:id="27"/>
      <w:r w:rsidR="00C579AA">
        <w:rPr>
          <w:lang w:val="en-US"/>
        </w:rPr>
        <w:t>: "</w:t>
      </w:r>
      <w:proofErr w:type="spellStart"/>
      <w:r w:rsidR="001E1BC0" w:rsidRPr="00DB251D">
        <w:rPr>
          <w:lang w:val="en-US"/>
        </w:rPr>
        <w:t>ECC</w:t>
      </w:r>
      <w:proofErr w:type="spellEnd"/>
      <w:r w:rsidR="001E1BC0" w:rsidRPr="00DB251D">
        <w:rPr>
          <w:lang w:val="en-US"/>
        </w:rPr>
        <w:t xml:space="preserve"> Decision of 14 March 2008 on the </w:t>
      </w:r>
      <w:proofErr w:type="spellStart"/>
      <w:r w:rsidR="001E1BC0" w:rsidRPr="00DB251D">
        <w:rPr>
          <w:lang w:val="en-US"/>
        </w:rPr>
        <w:t>harmonised</w:t>
      </w:r>
      <w:proofErr w:type="spellEnd"/>
      <w:r w:rsidR="001E1BC0" w:rsidRPr="00DB251D">
        <w:rPr>
          <w:lang w:val="en-US"/>
        </w:rPr>
        <w:t xml:space="preserve"> use of the 5 875</w:t>
      </w:r>
      <w:r w:rsidR="00004D76">
        <w:rPr>
          <w:lang w:val="en-US"/>
        </w:rPr>
        <w:noBreakHyphen/>
      </w:r>
      <w:r w:rsidR="001E1BC0" w:rsidRPr="00DB251D">
        <w:rPr>
          <w:lang w:val="en-US"/>
        </w:rPr>
        <w:t>5 925</w:t>
      </w:r>
      <w:r w:rsidR="00004D76">
        <w:rPr>
          <w:lang w:val="en-US"/>
        </w:rPr>
        <w:t> </w:t>
      </w:r>
      <w:r w:rsidR="001E1BC0" w:rsidRPr="00DB251D">
        <w:rPr>
          <w:lang w:val="en-US"/>
        </w:rPr>
        <w:t>MHz frequency band for Intelligent Transport Systems (ITS)"</w:t>
      </w:r>
    </w:p>
    <w:p w:rsidR="002176F6" w:rsidRPr="00DB251D" w:rsidRDefault="00E85E05" w:rsidP="00E85E05">
      <w:pPr>
        <w:pStyle w:val="Reftext"/>
        <w:rPr>
          <w:lang w:val="en-US"/>
        </w:rPr>
      </w:pPr>
      <w:bookmarkStart w:id="28" w:name="_Ref409540521"/>
      <w:bookmarkStart w:id="29" w:name="_Ref466490771"/>
      <w:r>
        <w:rPr>
          <w:lang w:val="en-US"/>
        </w:rPr>
        <w:t>[1</w:t>
      </w:r>
      <w:r w:rsidR="003F642F">
        <w:rPr>
          <w:lang w:val="en-US"/>
        </w:rPr>
        <w:t>2</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Recommendation (08)01:</w:t>
      </w:r>
      <w:bookmarkEnd w:id="28"/>
      <w:r w:rsidR="00C579AA">
        <w:rPr>
          <w:lang w:val="en-US"/>
        </w:rPr>
        <w:t xml:space="preserve"> "</w:t>
      </w:r>
      <w:r w:rsidR="001E1BC0" w:rsidRPr="00DB251D">
        <w:rPr>
          <w:lang w:val="en-US"/>
        </w:rPr>
        <w:t>Use of the band 5 855-5 875 MHz for Intelligent Transport Systems"</w:t>
      </w:r>
      <w:bookmarkEnd w:id="29"/>
    </w:p>
    <w:p w:rsidR="002176F6" w:rsidRPr="00DB251D" w:rsidRDefault="00E85E05" w:rsidP="00E85E05">
      <w:pPr>
        <w:pStyle w:val="Reftext"/>
        <w:rPr>
          <w:lang w:val="en-US"/>
        </w:rPr>
      </w:pPr>
      <w:bookmarkStart w:id="30" w:name="_Ref409540574"/>
      <w:r>
        <w:rPr>
          <w:lang w:val="en-US"/>
        </w:rPr>
        <w:t>[1</w:t>
      </w:r>
      <w:r w:rsidR="003F642F">
        <w:rPr>
          <w:lang w:val="en-US"/>
        </w:rPr>
        <w:t>3</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Report 101: "Compatibility studies in the band 5 855-5 925 MHz between Intelligent Transport Systems (ITS) and other systems"</w:t>
      </w:r>
      <w:bookmarkEnd w:id="30"/>
    </w:p>
    <w:p w:rsidR="002176F6" w:rsidRPr="00DB251D" w:rsidRDefault="00E85E05" w:rsidP="00E85E05">
      <w:pPr>
        <w:pStyle w:val="Reftext"/>
        <w:rPr>
          <w:lang w:val="en-US"/>
        </w:rPr>
      </w:pPr>
      <w:bookmarkStart w:id="31" w:name="_Ref409540656"/>
      <w:r>
        <w:rPr>
          <w:lang w:val="en-US"/>
        </w:rPr>
        <w:t>[1</w:t>
      </w:r>
      <w:r w:rsidR="003F642F">
        <w:rPr>
          <w:lang w:val="en-US"/>
        </w:rPr>
        <w:t>4</w:t>
      </w:r>
      <w:r>
        <w:rPr>
          <w:lang w:val="en-US"/>
        </w:rPr>
        <w:t>]</w:t>
      </w:r>
      <w:r>
        <w:rPr>
          <w:lang w:val="en-US"/>
        </w:rPr>
        <w:tab/>
      </w:r>
      <w:proofErr w:type="spellStart"/>
      <w:r w:rsidR="00C579AA">
        <w:rPr>
          <w:lang w:val="en-US"/>
        </w:rPr>
        <w:t>ECC</w:t>
      </w:r>
      <w:proofErr w:type="spellEnd"/>
      <w:r w:rsidR="00C579AA">
        <w:rPr>
          <w:lang w:val="en-US"/>
        </w:rPr>
        <w:t xml:space="preserve"> Decision (12)04: "</w:t>
      </w:r>
      <w:proofErr w:type="spellStart"/>
      <w:r w:rsidR="001E1BC0" w:rsidRPr="00DB251D">
        <w:rPr>
          <w:lang w:val="en-US"/>
        </w:rPr>
        <w:t>ECC</w:t>
      </w:r>
      <w:proofErr w:type="spellEnd"/>
      <w:r w:rsidR="001E1BC0" w:rsidRPr="00DB251D">
        <w:rPr>
          <w:lang w:val="en-US"/>
        </w:rPr>
        <w:t xml:space="preserve"> Decision of 2 November 2012 on the withdrawal of </w:t>
      </w:r>
      <w:proofErr w:type="spellStart"/>
      <w:r w:rsidR="001E1BC0" w:rsidRPr="00DB251D">
        <w:rPr>
          <w:lang w:val="en-US"/>
        </w:rPr>
        <w:t>ECC</w:t>
      </w:r>
      <w:proofErr w:type="spellEnd"/>
      <w:r w:rsidR="001E1BC0" w:rsidRPr="00DB251D">
        <w:rPr>
          <w:lang w:val="en-US"/>
        </w:rPr>
        <w:t xml:space="preserve"> Decision (02)01. For national implementation issues related to the withdrawn Decision, check </w:t>
      </w:r>
      <w:proofErr w:type="spellStart"/>
      <w:r w:rsidR="001E1BC0" w:rsidRPr="00DB251D">
        <w:rPr>
          <w:lang w:val="en-US"/>
        </w:rPr>
        <w:t>EFIS</w:t>
      </w:r>
      <w:proofErr w:type="spellEnd"/>
      <w:r w:rsidR="001E1BC0" w:rsidRPr="00DB251D">
        <w:rPr>
          <w:lang w:val="en-US"/>
        </w:rPr>
        <w:t>"</w:t>
      </w:r>
      <w:bookmarkEnd w:id="31"/>
    </w:p>
    <w:p w:rsidR="002176F6" w:rsidRPr="00DB251D" w:rsidRDefault="00E85E05" w:rsidP="00E85E05">
      <w:pPr>
        <w:pStyle w:val="Reftext"/>
        <w:rPr>
          <w:lang w:val="en-US"/>
        </w:rPr>
      </w:pPr>
      <w:bookmarkStart w:id="32" w:name="_Ref409540818"/>
      <w:bookmarkStart w:id="33" w:name="_Ref421784789"/>
      <w:r>
        <w:rPr>
          <w:lang w:val="en-US"/>
        </w:rPr>
        <w:t>[1</w:t>
      </w:r>
      <w:r w:rsidR="003F642F">
        <w:rPr>
          <w:lang w:val="en-US"/>
        </w:rPr>
        <w:t>5</w:t>
      </w:r>
      <w:r>
        <w:rPr>
          <w:lang w:val="en-US"/>
        </w:rPr>
        <w:t>]</w:t>
      </w:r>
      <w:r>
        <w:rPr>
          <w:lang w:val="en-US"/>
        </w:rPr>
        <w:tab/>
      </w:r>
      <w:proofErr w:type="spellStart"/>
      <w:r w:rsidR="001E1BC0" w:rsidRPr="00DB251D">
        <w:rPr>
          <w:lang w:val="en-US"/>
        </w:rPr>
        <w:t>ERC</w:t>
      </w:r>
      <w:proofErr w:type="spellEnd"/>
      <w:r w:rsidR="001E1BC0" w:rsidRPr="00DB251D">
        <w:rPr>
          <w:lang w:val="en-US"/>
        </w:rPr>
        <w:t xml:space="preserve"> Recommendation 70-03: </w:t>
      </w:r>
      <w:bookmarkEnd w:id="32"/>
      <w:r w:rsidR="00F31C1C">
        <w:rPr>
          <w:lang w:val="en-US"/>
        </w:rPr>
        <w:t>"</w:t>
      </w:r>
      <w:r w:rsidR="001E1BC0" w:rsidRPr="00DB251D">
        <w:rPr>
          <w:lang w:val="en-US"/>
        </w:rPr>
        <w:t>Relating to the use of Short Range Devices (SRD)"</w:t>
      </w:r>
      <w:bookmarkEnd w:id="33"/>
    </w:p>
    <w:p w:rsidR="002176F6" w:rsidRPr="00DB251D" w:rsidRDefault="00E85E05" w:rsidP="00C579AA">
      <w:pPr>
        <w:pStyle w:val="Reftext"/>
        <w:rPr>
          <w:lang w:val="en-US"/>
        </w:rPr>
      </w:pPr>
      <w:bookmarkStart w:id="34" w:name="_Ref409540896"/>
      <w:r>
        <w:rPr>
          <w:lang w:val="en-US"/>
        </w:rPr>
        <w:t>[1</w:t>
      </w:r>
      <w:r w:rsidR="003F642F">
        <w:rPr>
          <w:lang w:val="en-US"/>
        </w:rPr>
        <w:t>6</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EN</w:t>
      </w:r>
      <w:proofErr w:type="spellEnd"/>
      <w:r w:rsidR="001E1BC0" w:rsidRPr="00DB251D">
        <w:rPr>
          <w:lang w:val="en-US"/>
        </w:rPr>
        <w:t xml:space="preserve"> 300 674: </w:t>
      </w:r>
      <w:bookmarkEnd w:id="34"/>
      <w:r w:rsidR="001E1BC0" w:rsidRPr="00DB251D">
        <w:rPr>
          <w:lang w:val="en-US"/>
        </w:rPr>
        <w:t>"Electromagnetic compatibility and Radio spectrum Matters (</w:t>
      </w:r>
      <w:proofErr w:type="spellStart"/>
      <w:r w:rsidR="001E1BC0" w:rsidRPr="00DB251D">
        <w:rPr>
          <w:lang w:val="en-US"/>
        </w:rPr>
        <w:t>ERM</w:t>
      </w:r>
      <w:proofErr w:type="spellEnd"/>
      <w:r w:rsidR="001E1BC0" w:rsidRPr="00DB251D">
        <w:rPr>
          <w:lang w:val="en-US"/>
        </w:rPr>
        <w:t>); Road Transport and Traffic Telematics (</w:t>
      </w:r>
      <w:proofErr w:type="spellStart"/>
      <w:r w:rsidR="001E1BC0" w:rsidRPr="00DB251D">
        <w:rPr>
          <w:lang w:val="en-US"/>
        </w:rPr>
        <w:t>RTTT</w:t>
      </w:r>
      <w:proofErr w:type="spellEnd"/>
      <w:r w:rsidR="001E1BC0" w:rsidRPr="00DB251D">
        <w:rPr>
          <w:lang w:val="en-US"/>
        </w:rPr>
        <w:t>); Dedicated Short Range Communication (</w:t>
      </w:r>
      <w:proofErr w:type="spellStart"/>
      <w:r w:rsidR="001E1BC0" w:rsidRPr="00DB251D">
        <w:rPr>
          <w:lang w:val="en-US"/>
        </w:rPr>
        <w:t>DSRC</w:t>
      </w:r>
      <w:proofErr w:type="spellEnd"/>
      <w:r w:rsidR="001E1BC0" w:rsidRPr="00DB251D">
        <w:rPr>
          <w:lang w:val="en-US"/>
        </w:rPr>
        <w:t xml:space="preserve">) transmission equipment (500 </w:t>
      </w:r>
      <w:proofErr w:type="spellStart"/>
      <w:r w:rsidR="001E1BC0" w:rsidRPr="00DB251D">
        <w:rPr>
          <w:lang w:val="en-US"/>
        </w:rPr>
        <w:t>kbit</w:t>
      </w:r>
      <w:proofErr w:type="spellEnd"/>
      <w:r w:rsidR="001E1BC0" w:rsidRPr="00DB251D">
        <w:rPr>
          <w:lang w:val="en-US"/>
        </w:rPr>
        <w:t xml:space="preserve">/s / 250 </w:t>
      </w:r>
      <w:proofErr w:type="spellStart"/>
      <w:r w:rsidR="001E1BC0" w:rsidRPr="00DB251D">
        <w:rPr>
          <w:lang w:val="en-US"/>
        </w:rPr>
        <w:t>kbit</w:t>
      </w:r>
      <w:proofErr w:type="spellEnd"/>
      <w:r w:rsidR="001E1BC0" w:rsidRPr="00DB251D">
        <w:rPr>
          <w:lang w:val="en-US"/>
        </w:rPr>
        <w:t>/s) operating in the 5</w:t>
      </w:r>
      <w:r w:rsidR="00C579AA">
        <w:rPr>
          <w:lang w:val="en-US"/>
        </w:rPr>
        <w:t>.</w:t>
      </w:r>
      <w:r w:rsidR="001E1BC0" w:rsidRPr="00DB251D">
        <w:rPr>
          <w:lang w:val="en-US"/>
        </w:rPr>
        <w:t>8 GHz Industrial, Scientific and Medical (ISM) band; Part 1: General characteristics and test methods for Road Side Units (</w:t>
      </w:r>
      <w:proofErr w:type="spellStart"/>
      <w:r w:rsidR="001E1BC0" w:rsidRPr="00DB251D">
        <w:rPr>
          <w:lang w:val="en-US"/>
        </w:rPr>
        <w:t>RSU</w:t>
      </w:r>
      <w:proofErr w:type="spellEnd"/>
      <w:r w:rsidR="001E1BC0" w:rsidRPr="00DB251D">
        <w:rPr>
          <w:lang w:val="en-US"/>
        </w:rPr>
        <w:t>) and On-Board Units (</w:t>
      </w:r>
      <w:proofErr w:type="spellStart"/>
      <w:r w:rsidR="001E1BC0" w:rsidRPr="00DB251D">
        <w:rPr>
          <w:lang w:val="en-US"/>
        </w:rPr>
        <w:t>OBU</w:t>
      </w:r>
      <w:proofErr w:type="spellEnd"/>
      <w:r w:rsidR="001E1BC0" w:rsidRPr="00DB251D">
        <w:rPr>
          <w:lang w:val="en-US"/>
        </w:rPr>
        <w:t>)"</w:t>
      </w:r>
    </w:p>
    <w:p w:rsidR="002176F6" w:rsidRPr="00DB251D" w:rsidRDefault="00E85E05" w:rsidP="00E85E05">
      <w:pPr>
        <w:pStyle w:val="Reftext"/>
        <w:rPr>
          <w:lang w:val="en-US"/>
        </w:rPr>
      </w:pPr>
      <w:bookmarkStart w:id="35" w:name="_Ref409540923"/>
      <w:r>
        <w:rPr>
          <w:lang w:val="en-US"/>
        </w:rPr>
        <w:lastRenderedPageBreak/>
        <w:t>[1</w:t>
      </w:r>
      <w:r w:rsidR="003F642F">
        <w:rPr>
          <w:lang w:val="en-US"/>
        </w:rPr>
        <w:t>7</w:t>
      </w:r>
      <w:r>
        <w:rPr>
          <w:lang w:val="en-US"/>
        </w:rPr>
        <w:t>]</w:t>
      </w:r>
      <w:r>
        <w:rPr>
          <w:lang w:val="en-US"/>
        </w:rPr>
        <w:tab/>
      </w:r>
      <w:proofErr w:type="spellStart"/>
      <w:r w:rsidR="001E1BC0" w:rsidRPr="00DB251D">
        <w:rPr>
          <w:lang w:val="en-US"/>
        </w:rPr>
        <w:t>CENELEC</w:t>
      </w:r>
      <w:proofErr w:type="spellEnd"/>
      <w:r w:rsidR="001E1BC0" w:rsidRPr="00DB251D">
        <w:rPr>
          <w:lang w:val="en-US"/>
        </w:rPr>
        <w:t xml:space="preserve"> </w:t>
      </w:r>
      <w:proofErr w:type="spellStart"/>
      <w:r w:rsidR="001E1BC0" w:rsidRPr="00DB251D">
        <w:rPr>
          <w:lang w:val="en-US"/>
        </w:rPr>
        <w:t>EN</w:t>
      </w:r>
      <w:proofErr w:type="spellEnd"/>
      <w:r w:rsidR="001E1BC0" w:rsidRPr="00DB251D">
        <w:rPr>
          <w:lang w:val="en-US"/>
        </w:rPr>
        <w:t xml:space="preserve"> 12253: </w:t>
      </w:r>
      <w:bookmarkEnd w:id="35"/>
      <w:r w:rsidR="001E1BC0" w:rsidRPr="00DB251D">
        <w:rPr>
          <w:lang w:val="en-US"/>
        </w:rPr>
        <w:t xml:space="preserve">"Road transport and traffic telematics </w:t>
      </w:r>
      <w:r w:rsidR="00004D76">
        <w:rPr>
          <w:lang w:val="en-US"/>
        </w:rPr>
        <w:t>–</w:t>
      </w:r>
      <w:r w:rsidR="001E1BC0" w:rsidRPr="00DB251D">
        <w:rPr>
          <w:lang w:val="en-US"/>
        </w:rPr>
        <w:t xml:space="preserve"> Dedicated short-range communication </w:t>
      </w:r>
      <w:r w:rsidR="00F31C1C">
        <w:rPr>
          <w:lang w:val="en-US"/>
        </w:rPr>
        <w:t>–</w:t>
      </w:r>
      <w:r w:rsidR="001E1BC0" w:rsidRPr="00DB251D">
        <w:rPr>
          <w:lang w:val="en-US"/>
        </w:rPr>
        <w:t xml:space="preserve"> Physical layer using microwave at 5.8 GHz"</w:t>
      </w:r>
    </w:p>
    <w:p w:rsidR="002176F6" w:rsidRPr="00DB251D" w:rsidRDefault="00E85E05" w:rsidP="00E85E05">
      <w:pPr>
        <w:pStyle w:val="Reftext"/>
        <w:rPr>
          <w:lang w:val="en-US"/>
        </w:rPr>
      </w:pPr>
      <w:bookmarkStart w:id="36" w:name="_Ref409541092"/>
      <w:r>
        <w:rPr>
          <w:lang w:val="en-US"/>
        </w:rPr>
        <w:t>[1</w:t>
      </w:r>
      <w:r w:rsidR="003F642F">
        <w:rPr>
          <w:lang w:val="en-US"/>
        </w:rPr>
        <w:t>8</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Report 68: "Compatibility studies in the band 5 725-5 875 MHz between Fixed Wireless Access (</w:t>
      </w:r>
      <w:proofErr w:type="spellStart"/>
      <w:r w:rsidR="001E1BC0" w:rsidRPr="00DB251D">
        <w:rPr>
          <w:lang w:val="en-US"/>
        </w:rPr>
        <w:t>FWA</w:t>
      </w:r>
      <w:proofErr w:type="spellEnd"/>
      <w:r w:rsidR="001E1BC0" w:rsidRPr="00DB251D">
        <w:rPr>
          <w:lang w:val="en-US"/>
        </w:rPr>
        <w:t>) systems and other systems"</w:t>
      </w:r>
      <w:bookmarkEnd w:id="36"/>
    </w:p>
    <w:p w:rsidR="002176F6" w:rsidRPr="00DB251D" w:rsidRDefault="00E85E05" w:rsidP="00E85E05">
      <w:pPr>
        <w:pStyle w:val="Reftext"/>
        <w:rPr>
          <w:lang w:val="en-US"/>
        </w:rPr>
      </w:pPr>
      <w:bookmarkStart w:id="37" w:name="_Ref409541757"/>
      <w:r>
        <w:rPr>
          <w:lang w:val="en-US"/>
        </w:rPr>
        <w:t>[1</w:t>
      </w:r>
      <w:r w:rsidR="003F642F">
        <w:rPr>
          <w:lang w:val="en-US"/>
        </w:rPr>
        <w:t>9</w:t>
      </w:r>
      <w:r>
        <w:rPr>
          <w:lang w:val="en-US"/>
        </w:rPr>
        <w:t>]</w:t>
      </w:r>
      <w:r>
        <w:rPr>
          <w:lang w:val="en-US"/>
        </w:rPr>
        <w:tab/>
      </w:r>
      <w:r w:rsidR="001E1BC0" w:rsidRPr="00DB251D">
        <w:rPr>
          <w:lang w:val="en-US"/>
        </w:rPr>
        <w:t xml:space="preserve">Recommendation </w:t>
      </w:r>
      <w:proofErr w:type="spellStart"/>
      <w:r w:rsidR="00F31C1C" w:rsidRPr="00DB251D">
        <w:rPr>
          <w:lang w:val="en-US"/>
        </w:rPr>
        <w:t>ITU</w:t>
      </w:r>
      <w:proofErr w:type="spellEnd"/>
      <w:r w:rsidR="00F31C1C" w:rsidRPr="00DB251D">
        <w:rPr>
          <w:lang w:val="en-US"/>
        </w:rPr>
        <w:t xml:space="preserve">-R </w:t>
      </w:r>
      <w:proofErr w:type="spellStart"/>
      <w:r w:rsidR="001E1BC0" w:rsidRPr="00DB251D">
        <w:rPr>
          <w:lang w:val="en-US"/>
        </w:rPr>
        <w:t>P.452</w:t>
      </w:r>
      <w:proofErr w:type="spellEnd"/>
      <w:r w:rsidR="001E1BC0" w:rsidRPr="00DB251D">
        <w:rPr>
          <w:lang w:val="en-US"/>
        </w:rPr>
        <w:t>: "Prediction procedure for the evaluation of interference between stations on the surface of the Earth at frequencies above about 0.1 GHz"</w:t>
      </w:r>
      <w:bookmarkEnd w:id="37"/>
    </w:p>
    <w:p w:rsidR="002176F6" w:rsidRPr="00DB251D" w:rsidRDefault="00E85E05" w:rsidP="00E85E05">
      <w:pPr>
        <w:pStyle w:val="Reftext"/>
        <w:rPr>
          <w:lang w:val="en-US"/>
        </w:rPr>
      </w:pPr>
      <w:bookmarkStart w:id="38" w:name="_Ref409542270"/>
      <w:r>
        <w:rPr>
          <w:lang w:val="en-US"/>
        </w:rPr>
        <w:t>[</w:t>
      </w:r>
      <w:r w:rsidR="003F642F">
        <w:rPr>
          <w:lang w:val="en-US"/>
        </w:rPr>
        <w:t>20</w:t>
      </w:r>
      <w:r>
        <w:rPr>
          <w:lang w:val="en-US"/>
        </w:rPr>
        <w:t>]</w:t>
      </w:r>
      <w:r>
        <w:rPr>
          <w:lang w:val="en-US"/>
        </w:rPr>
        <w:tab/>
      </w:r>
      <w:r w:rsidR="001E1BC0" w:rsidRPr="00DB251D">
        <w:rPr>
          <w:lang w:val="en-US"/>
        </w:rPr>
        <w:t xml:space="preserve">EC Decision 2006/771/EC: "Commission Decision of 9 November 2006 on the </w:t>
      </w:r>
      <w:proofErr w:type="spellStart"/>
      <w:r w:rsidR="001E1BC0" w:rsidRPr="00DB251D">
        <w:rPr>
          <w:lang w:val="en-US"/>
        </w:rPr>
        <w:t>harmonisation</w:t>
      </w:r>
      <w:proofErr w:type="spellEnd"/>
      <w:r w:rsidR="001E1BC0" w:rsidRPr="00DB251D">
        <w:rPr>
          <w:lang w:val="en-US"/>
        </w:rPr>
        <w:t xml:space="preserve"> of the radio spectrum for use by short-range devices"</w:t>
      </w:r>
      <w:bookmarkEnd w:id="38"/>
    </w:p>
    <w:p w:rsidR="002176F6" w:rsidRPr="00DB251D" w:rsidRDefault="00E85E05" w:rsidP="00E85E05">
      <w:pPr>
        <w:pStyle w:val="Reftext"/>
        <w:rPr>
          <w:lang w:val="en-US"/>
        </w:rPr>
      </w:pPr>
      <w:bookmarkStart w:id="39" w:name="_Ref409599551"/>
      <w:r>
        <w:rPr>
          <w:lang w:val="en-US"/>
        </w:rPr>
        <w:t>[</w:t>
      </w:r>
      <w:r w:rsidR="003F642F">
        <w:rPr>
          <w:lang w:val="en-US"/>
        </w:rPr>
        <w:t>2</w:t>
      </w:r>
      <w:r>
        <w:rPr>
          <w:lang w:val="en-US"/>
        </w:rPr>
        <w:t>1]</w:t>
      </w:r>
      <w:r>
        <w:rPr>
          <w:lang w:val="en-US"/>
        </w:rPr>
        <w:tab/>
      </w:r>
      <w:proofErr w:type="spellStart"/>
      <w:r w:rsidR="001E1BC0" w:rsidRPr="00DB251D">
        <w:rPr>
          <w:lang w:val="en-US"/>
        </w:rPr>
        <w:t>IARU</w:t>
      </w:r>
      <w:proofErr w:type="spellEnd"/>
      <w:r w:rsidR="001E1BC0" w:rsidRPr="00DB251D">
        <w:rPr>
          <w:lang w:val="en-US"/>
        </w:rPr>
        <w:t xml:space="preserve"> Region-1 VHF Managers Handbook</w:t>
      </w:r>
      <w:bookmarkEnd w:id="39"/>
    </w:p>
    <w:p w:rsidR="002176F6" w:rsidRPr="00DB251D" w:rsidRDefault="00E85E05" w:rsidP="003F642F">
      <w:pPr>
        <w:pStyle w:val="Reftext"/>
        <w:rPr>
          <w:lang w:val="en-US"/>
        </w:rPr>
      </w:pPr>
      <w:bookmarkStart w:id="40" w:name="_Ref409599596"/>
      <w:r>
        <w:rPr>
          <w:lang w:val="en-US"/>
        </w:rPr>
        <w:t>[</w:t>
      </w:r>
      <w:r w:rsidR="003F642F">
        <w:rPr>
          <w:lang w:val="en-US"/>
        </w:rPr>
        <w:t>22</w:t>
      </w:r>
      <w:r>
        <w:rPr>
          <w:lang w:val="en-US"/>
        </w:rPr>
        <w:t>]</w:t>
      </w:r>
      <w:r>
        <w:rPr>
          <w:lang w:val="en-US"/>
        </w:rPr>
        <w:tab/>
      </w:r>
      <w:r w:rsidR="001E1BC0" w:rsidRPr="00DB251D">
        <w:rPr>
          <w:lang w:val="en-US"/>
        </w:rPr>
        <w:t xml:space="preserve">Recommendation </w:t>
      </w:r>
      <w:proofErr w:type="spellStart"/>
      <w:r w:rsidR="001E1BC0" w:rsidRPr="00DB251D">
        <w:rPr>
          <w:lang w:val="en-US"/>
        </w:rPr>
        <w:t>ITU</w:t>
      </w:r>
      <w:proofErr w:type="spellEnd"/>
      <w:r w:rsidR="001E1BC0" w:rsidRPr="00DB251D">
        <w:rPr>
          <w:lang w:val="en-US"/>
        </w:rPr>
        <w:t xml:space="preserve">-R </w:t>
      </w:r>
      <w:proofErr w:type="spellStart"/>
      <w:r w:rsidR="001E1BC0" w:rsidRPr="00DB251D">
        <w:rPr>
          <w:lang w:val="en-US"/>
        </w:rPr>
        <w:t>M.1732</w:t>
      </w:r>
      <w:proofErr w:type="spellEnd"/>
      <w:r w:rsidR="001E1BC0" w:rsidRPr="00DB251D">
        <w:rPr>
          <w:lang w:val="en-US"/>
        </w:rPr>
        <w:t>-1: "Characteristics of systems operating in the amateur and amateur-satellite services for use in sharing studies"</w:t>
      </w:r>
      <w:bookmarkEnd w:id="40"/>
    </w:p>
    <w:p w:rsidR="002176F6" w:rsidRPr="00DB251D" w:rsidRDefault="00E85E05" w:rsidP="003F642F">
      <w:pPr>
        <w:pStyle w:val="Reftext"/>
        <w:rPr>
          <w:lang w:val="en-US"/>
        </w:rPr>
      </w:pPr>
      <w:bookmarkStart w:id="41" w:name="_Ref409600613"/>
      <w:r>
        <w:rPr>
          <w:lang w:val="en-US"/>
        </w:rPr>
        <w:t>[</w:t>
      </w:r>
      <w:r w:rsidR="003F642F">
        <w:rPr>
          <w:lang w:val="en-US"/>
        </w:rPr>
        <w:t>23</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Report 210: "Compatibility/sharing studies related to Broadband Direct-Air-to-Ground Communications (</w:t>
      </w:r>
      <w:proofErr w:type="spellStart"/>
      <w:r w:rsidR="001E1BC0" w:rsidRPr="00DB251D">
        <w:rPr>
          <w:lang w:val="en-US"/>
        </w:rPr>
        <w:t>DA2GC</w:t>
      </w:r>
      <w:proofErr w:type="spellEnd"/>
      <w:r w:rsidR="001E1BC0" w:rsidRPr="00DB251D">
        <w:rPr>
          <w:lang w:val="en-US"/>
        </w:rPr>
        <w:t>) in the frequency bands 5 855-5 875 MHz, 2 400</w:t>
      </w:r>
      <w:r w:rsidR="001E1BC0" w:rsidRPr="00DB251D">
        <w:rPr>
          <w:lang w:val="en-US"/>
        </w:rPr>
        <w:noBreakHyphen/>
        <w:t>2 483.5 MHz and 3 400-3 600 MHz"</w:t>
      </w:r>
      <w:bookmarkEnd w:id="41"/>
    </w:p>
    <w:p w:rsidR="002176F6" w:rsidRPr="00DB251D" w:rsidRDefault="00E85E05" w:rsidP="003F642F">
      <w:pPr>
        <w:pStyle w:val="Reftext"/>
        <w:rPr>
          <w:lang w:val="en-US"/>
        </w:rPr>
      </w:pPr>
      <w:bookmarkStart w:id="42" w:name="_Ref409600704"/>
      <w:r>
        <w:rPr>
          <w:lang w:val="en-US"/>
        </w:rPr>
        <w:t>[</w:t>
      </w:r>
      <w:r w:rsidR="003F642F">
        <w:rPr>
          <w:lang w:val="en-US"/>
        </w:rPr>
        <w:t>24</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TR</w:t>
      </w:r>
      <w:proofErr w:type="spellEnd"/>
      <w:r w:rsidR="001E1BC0" w:rsidRPr="00DB251D">
        <w:rPr>
          <w:lang w:val="en-US"/>
        </w:rPr>
        <w:t xml:space="preserve"> 101 599: "Electromagnetic compatibility and Radio spectrum matters (</w:t>
      </w:r>
      <w:proofErr w:type="spellStart"/>
      <w:r w:rsidR="001E1BC0" w:rsidRPr="00DB251D">
        <w:rPr>
          <w:lang w:val="en-US"/>
        </w:rPr>
        <w:t>ERM</w:t>
      </w:r>
      <w:proofErr w:type="spellEnd"/>
      <w:r w:rsidR="001E1BC0" w:rsidRPr="00DB251D">
        <w:rPr>
          <w:lang w:val="en-US"/>
        </w:rPr>
        <w:t>) System Reference Document (</w:t>
      </w:r>
      <w:proofErr w:type="spellStart"/>
      <w:r w:rsidR="001E1BC0" w:rsidRPr="00DB251D">
        <w:rPr>
          <w:lang w:val="en-US"/>
        </w:rPr>
        <w:t>SRDoc</w:t>
      </w:r>
      <w:proofErr w:type="spellEnd"/>
      <w:r w:rsidR="001E1BC0" w:rsidRPr="00DB251D">
        <w:rPr>
          <w:lang w:val="en-US"/>
        </w:rPr>
        <w:t>); Broadband Direct-Air-to-Ground Communications System employing beamforming antennas, operating in the 2</w:t>
      </w:r>
      <w:r w:rsidR="00F31C1C">
        <w:rPr>
          <w:lang w:val="en-US"/>
        </w:rPr>
        <w:t>.</w:t>
      </w:r>
      <w:r w:rsidR="001E1BC0" w:rsidRPr="00DB251D">
        <w:rPr>
          <w:lang w:val="en-US"/>
        </w:rPr>
        <w:t>4 GHz and 5</w:t>
      </w:r>
      <w:r w:rsidR="00F31C1C">
        <w:rPr>
          <w:lang w:val="en-US"/>
        </w:rPr>
        <w:t>.</w:t>
      </w:r>
      <w:r w:rsidR="001E1BC0" w:rsidRPr="00DB251D">
        <w:rPr>
          <w:lang w:val="en-US"/>
        </w:rPr>
        <w:t>8 GHz bands"</w:t>
      </w:r>
      <w:bookmarkEnd w:id="42"/>
    </w:p>
    <w:p w:rsidR="002176F6" w:rsidRPr="00DB251D" w:rsidRDefault="00E85E05" w:rsidP="00CB1236">
      <w:pPr>
        <w:pStyle w:val="Reftext"/>
        <w:rPr>
          <w:lang w:val="en-US"/>
        </w:rPr>
      </w:pPr>
      <w:bookmarkStart w:id="43" w:name="_Ref409600714"/>
      <w:r>
        <w:rPr>
          <w:lang w:val="en-US"/>
        </w:rPr>
        <w:t>[</w:t>
      </w:r>
      <w:r w:rsidR="003F642F">
        <w:rPr>
          <w:lang w:val="en-US"/>
        </w:rPr>
        <w:t>25</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TR</w:t>
      </w:r>
      <w:proofErr w:type="spellEnd"/>
      <w:r w:rsidR="001E1BC0" w:rsidRPr="00DB251D">
        <w:rPr>
          <w:lang w:val="en-US"/>
        </w:rPr>
        <w:t xml:space="preserve"> 103 108: "Electromagnetic compatibility and Radio spectrum Matters (</w:t>
      </w:r>
      <w:proofErr w:type="spellStart"/>
      <w:r w:rsidR="001E1BC0" w:rsidRPr="00DB251D">
        <w:rPr>
          <w:lang w:val="en-US"/>
        </w:rPr>
        <w:t>ERM</w:t>
      </w:r>
      <w:proofErr w:type="spellEnd"/>
      <w:r w:rsidR="001E1BC0" w:rsidRPr="00DB251D">
        <w:rPr>
          <w:lang w:val="en-US"/>
        </w:rPr>
        <w:t>); System Reference document (</w:t>
      </w:r>
      <w:proofErr w:type="spellStart"/>
      <w:r w:rsidR="001E1BC0" w:rsidRPr="00DB251D">
        <w:rPr>
          <w:lang w:val="en-US"/>
        </w:rPr>
        <w:t>SRdoc</w:t>
      </w:r>
      <w:proofErr w:type="spellEnd"/>
      <w:r w:rsidR="001E1BC0" w:rsidRPr="00DB251D">
        <w:rPr>
          <w:lang w:val="en-US"/>
        </w:rPr>
        <w:t>); Broadband Direct-Air-to-Ground Communications System operating in the 5</w:t>
      </w:r>
      <w:r w:rsidR="00CB1236">
        <w:rPr>
          <w:lang w:val="en-US"/>
        </w:rPr>
        <w:t>.</w:t>
      </w:r>
      <w:r w:rsidR="001E1BC0" w:rsidRPr="00DB251D">
        <w:rPr>
          <w:lang w:val="en-US"/>
        </w:rPr>
        <w:t>855 GHz to 5</w:t>
      </w:r>
      <w:r w:rsidR="00CB1236">
        <w:rPr>
          <w:lang w:val="en-US"/>
        </w:rPr>
        <w:t>.</w:t>
      </w:r>
      <w:r w:rsidR="001E1BC0" w:rsidRPr="00DB251D">
        <w:rPr>
          <w:lang w:val="en-US"/>
        </w:rPr>
        <w:t xml:space="preserve">875 GHz band using </w:t>
      </w:r>
      <w:proofErr w:type="spellStart"/>
      <w:r w:rsidR="001E1BC0" w:rsidRPr="00DB251D">
        <w:rPr>
          <w:lang w:val="en-US"/>
        </w:rPr>
        <w:t>3G</w:t>
      </w:r>
      <w:proofErr w:type="spellEnd"/>
      <w:r w:rsidR="001E1BC0" w:rsidRPr="00DB251D">
        <w:rPr>
          <w:lang w:val="en-US"/>
        </w:rPr>
        <w:t xml:space="preserve"> technology"</w:t>
      </w:r>
      <w:bookmarkEnd w:id="43"/>
    </w:p>
    <w:p w:rsidR="002176F6" w:rsidRPr="00DB251D" w:rsidRDefault="00E85E05" w:rsidP="003F642F">
      <w:pPr>
        <w:pStyle w:val="Reftext"/>
        <w:rPr>
          <w:lang w:val="en-US"/>
        </w:rPr>
      </w:pPr>
      <w:bookmarkStart w:id="44" w:name="_Ref409601648"/>
      <w:r>
        <w:rPr>
          <w:lang w:val="en-US"/>
        </w:rPr>
        <w:t>[</w:t>
      </w:r>
      <w:r w:rsidR="003F642F">
        <w:rPr>
          <w:lang w:val="en-US"/>
        </w:rPr>
        <w:t>26</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Report 206: "Compatibility studies in the band 5 725-5 875 MHz between SRD equipment for wireless industrial applications and other systems"</w:t>
      </w:r>
      <w:bookmarkEnd w:id="44"/>
    </w:p>
    <w:p w:rsidR="002176F6" w:rsidRPr="00DB251D" w:rsidRDefault="00E85E05" w:rsidP="003F642F">
      <w:pPr>
        <w:pStyle w:val="Reftext"/>
        <w:rPr>
          <w:lang w:val="en-US"/>
        </w:rPr>
      </w:pPr>
      <w:bookmarkStart w:id="45" w:name="_Ref409602378"/>
      <w:r>
        <w:rPr>
          <w:lang w:val="en-US"/>
        </w:rPr>
        <w:t>[</w:t>
      </w:r>
      <w:r w:rsidR="003F642F">
        <w:rPr>
          <w:lang w:val="en-US"/>
        </w:rPr>
        <w:t>27</w:t>
      </w:r>
      <w:r>
        <w:rPr>
          <w:lang w:val="en-US"/>
        </w:rPr>
        <w:t>]</w:t>
      </w:r>
      <w:r>
        <w:rPr>
          <w:lang w:val="en-US"/>
        </w:rPr>
        <w:tab/>
      </w:r>
      <w:r w:rsidR="001E1BC0" w:rsidRPr="00DB251D">
        <w:rPr>
          <w:lang w:val="en-US"/>
        </w:rPr>
        <w:t>IEEE 802.11-2012: "Wireless LAN Medium Access Control (MAC) and Physical Layer (</w:t>
      </w:r>
      <w:proofErr w:type="spellStart"/>
      <w:r w:rsidR="001E1BC0" w:rsidRPr="00DB251D">
        <w:rPr>
          <w:lang w:val="en-US"/>
        </w:rPr>
        <w:t>PHY</w:t>
      </w:r>
      <w:proofErr w:type="spellEnd"/>
      <w:r w:rsidR="001E1BC0" w:rsidRPr="00DB251D">
        <w:rPr>
          <w:lang w:val="en-US"/>
        </w:rPr>
        <w:t>) Specifications"</w:t>
      </w:r>
      <w:bookmarkEnd w:id="45"/>
    </w:p>
    <w:p w:rsidR="002176F6" w:rsidRPr="00DB251D" w:rsidRDefault="00E85E05" w:rsidP="003F642F">
      <w:pPr>
        <w:pStyle w:val="Reftext"/>
        <w:rPr>
          <w:lang w:val="en-US"/>
        </w:rPr>
      </w:pPr>
      <w:bookmarkStart w:id="46" w:name="_Ref409613487"/>
      <w:r>
        <w:rPr>
          <w:lang w:val="en-US"/>
        </w:rPr>
        <w:t>[</w:t>
      </w:r>
      <w:r w:rsidR="003F642F">
        <w:rPr>
          <w:lang w:val="en-US"/>
        </w:rPr>
        <w:t>28</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EN</w:t>
      </w:r>
      <w:proofErr w:type="spellEnd"/>
      <w:r w:rsidR="001E1BC0" w:rsidRPr="00DB251D">
        <w:rPr>
          <w:lang w:val="en-US"/>
        </w:rPr>
        <w:t xml:space="preserve"> 302 571 </w:t>
      </w:r>
      <w:proofErr w:type="spellStart"/>
      <w:r w:rsidR="001E1BC0" w:rsidRPr="00DB251D">
        <w:rPr>
          <w:lang w:val="en-US"/>
        </w:rPr>
        <w:t>V1.2.2</w:t>
      </w:r>
      <w:proofErr w:type="spellEnd"/>
      <w:r w:rsidR="001E1BC0" w:rsidRPr="00DB251D">
        <w:rPr>
          <w:lang w:val="en-US"/>
        </w:rPr>
        <w:t xml:space="preserve"> (2011-10): "Intelligent Transport Systems (ITS); </w:t>
      </w:r>
      <w:proofErr w:type="spellStart"/>
      <w:r w:rsidR="001E1BC0" w:rsidRPr="00DB251D">
        <w:rPr>
          <w:lang w:val="en-US"/>
        </w:rPr>
        <w:t>Radiocommunications</w:t>
      </w:r>
      <w:proofErr w:type="spellEnd"/>
      <w:r w:rsidR="001E1BC0" w:rsidRPr="00DB251D">
        <w:rPr>
          <w:lang w:val="en-US"/>
        </w:rPr>
        <w:t xml:space="preserve"> equipment operating in the 5 855 MHz to 5 925 MHz frequency band; Harmonized </w:t>
      </w:r>
      <w:proofErr w:type="spellStart"/>
      <w:r w:rsidR="001E1BC0" w:rsidRPr="00DB251D">
        <w:rPr>
          <w:lang w:val="en-US"/>
        </w:rPr>
        <w:t>EN</w:t>
      </w:r>
      <w:proofErr w:type="spellEnd"/>
      <w:r w:rsidR="001E1BC0" w:rsidRPr="00DB251D">
        <w:rPr>
          <w:lang w:val="en-US"/>
        </w:rPr>
        <w:t xml:space="preserve"> covering the essential requirements of article 3.2 of the </w:t>
      </w:r>
      <w:proofErr w:type="spellStart"/>
      <w:r w:rsidR="001E1BC0" w:rsidRPr="00DB251D">
        <w:rPr>
          <w:lang w:val="en-US"/>
        </w:rPr>
        <w:t>R&amp;TTE</w:t>
      </w:r>
      <w:proofErr w:type="spellEnd"/>
      <w:r w:rsidR="001E1BC0" w:rsidRPr="00DB251D">
        <w:rPr>
          <w:lang w:val="en-US"/>
        </w:rPr>
        <w:t xml:space="preserve"> Directive"</w:t>
      </w:r>
      <w:bookmarkEnd w:id="46"/>
    </w:p>
    <w:p w:rsidR="002176F6" w:rsidRPr="00DB251D" w:rsidRDefault="00E85E05" w:rsidP="003F642F">
      <w:pPr>
        <w:pStyle w:val="Reftext"/>
        <w:rPr>
          <w:lang w:val="en-US"/>
        </w:rPr>
      </w:pPr>
      <w:bookmarkStart w:id="47" w:name="_Ref409613552"/>
      <w:r>
        <w:rPr>
          <w:lang w:val="en-US"/>
        </w:rPr>
        <w:t>[</w:t>
      </w:r>
      <w:r w:rsidR="003F642F">
        <w:rPr>
          <w:lang w:val="en-US"/>
        </w:rPr>
        <w:t>29</w:t>
      </w:r>
      <w:r>
        <w:rPr>
          <w:lang w:val="en-US"/>
        </w:rPr>
        <w:t>]</w:t>
      </w:r>
      <w:r>
        <w:rPr>
          <w:lang w:val="en-US"/>
        </w:rPr>
        <w:tab/>
      </w:r>
      <w:r w:rsidR="001E1BC0" w:rsidRPr="00DB251D">
        <w:rPr>
          <w:lang w:val="en-US"/>
        </w:rPr>
        <w:t xml:space="preserve">Recommendation </w:t>
      </w:r>
      <w:proofErr w:type="spellStart"/>
      <w:r w:rsidR="001E1BC0" w:rsidRPr="00DB251D">
        <w:rPr>
          <w:lang w:val="en-US"/>
        </w:rPr>
        <w:t>ITU</w:t>
      </w:r>
      <w:proofErr w:type="spellEnd"/>
      <w:r w:rsidR="001E1BC0" w:rsidRPr="00DB251D">
        <w:rPr>
          <w:lang w:val="en-US"/>
        </w:rPr>
        <w:t xml:space="preserve">-R </w:t>
      </w:r>
      <w:proofErr w:type="spellStart"/>
      <w:r w:rsidR="001E1BC0" w:rsidRPr="00DB251D">
        <w:rPr>
          <w:lang w:val="en-US"/>
        </w:rPr>
        <w:t>SM.329</w:t>
      </w:r>
      <w:proofErr w:type="spellEnd"/>
      <w:r w:rsidR="001E1BC0" w:rsidRPr="00DB251D">
        <w:rPr>
          <w:lang w:val="en-US"/>
        </w:rPr>
        <w:t>: "Unwanted emissions in the spurious domain"</w:t>
      </w:r>
      <w:bookmarkEnd w:id="47"/>
    </w:p>
    <w:p w:rsidR="002176F6" w:rsidRPr="00DB251D" w:rsidRDefault="00E85E05" w:rsidP="003F642F">
      <w:pPr>
        <w:pStyle w:val="Reftext"/>
        <w:rPr>
          <w:lang w:val="en-US"/>
        </w:rPr>
      </w:pPr>
      <w:bookmarkStart w:id="48" w:name="_Ref409613562"/>
      <w:r>
        <w:rPr>
          <w:lang w:val="en-US"/>
        </w:rPr>
        <w:t>[</w:t>
      </w:r>
      <w:r w:rsidR="003F642F">
        <w:rPr>
          <w:lang w:val="en-US"/>
        </w:rPr>
        <w:t>30</w:t>
      </w:r>
      <w:r>
        <w:rPr>
          <w:lang w:val="en-US"/>
        </w:rPr>
        <w:t>]</w:t>
      </w:r>
      <w:r>
        <w:rPr>
          <w:lang w:val="en-US"/>
        </w:rPr>
        <w:tab/>
      </w:r>
      <w:proofErr w:type="spellStart"/>
      <w:r w:rsidR="001E1BC0" w:rsidRPr="00DB251D">
        <w:rPr>
          <w:lang w:val="en-US"/>
        </w:rPr>
        <w:t>ERC</w:t>
      </w:r>
      <w:proofErr w:type="spellEnd"/>
      <w:r w:rsidR="001E1BC0" w:rsidRPr="00DB251D">
        <w:rPr>
          <w:lang w:val="en-US"/>
        </w:rPr>
        <w:t xml:space="preserve"> Recommendation 74-01: "Unwanted Emissions in the Spurious Domain"</w:t>
      </w:r>
      <w:bookmarkEnd w:id="48"/>
    </w:p>
    <w:p w:rsidR="002176F6" w:rsidRPr="00DB251D" w:rsidRDefault="00E85E05" w:rsidP="00E85E05">
      <w:pPr>
        <w:pStyle w:val="Reftext"/>
        <w:rPr>
          <w:lang w:val="en-US"/>
        </w:rPr>
      </w:pPr>
      <w:bookmarkStart w:id="49" w:name="_Ref409613626"/>
      <w:r>
        <w:rPr>
          <w:lang w:val="en-US"/>
        </w:rPr>
        <w:t>[</w:t>
      </w:r>
      <w:r w:rsidR="003F642F">
        <w:rPr>
          <w:lang w:val="en-US"/>
        </w:rPr>
        <w:t>3</w:t>
      </w:r>
      <w:r>
        <w:rPr>
          <w:lang w:val="en-US"/>
        </w:rPr>
        <w:t>1]</w:t>
      </w:r>
      <w:r>
        <w:rPr>
          <w:lang w:val="en-US"/>
        </w:rPr>
        <w:tab/>
      </w:r>
      <w:r w:rsidR="001E1BC0" w:rsidRPr="00DB251D">
        <w:rPr>
          <w:lang w:val="en-US"/>
        </w:rPr>
        <w:t xml:space="preserve">Recommendation </w:t>
      </w:r>
      <w:proofErr w:type="spellStart"/>
      <w:r w:rsidR="001E1BC0" w:rsidRPr="00DB251D">
        <w:rPr>
          <w:lang w:val="en-US"/>
        </w:rPr>
        <w:t>ITU</w:t>
      </w:r>
      <w:proofErr w:type="spellEnd"/>
      <w:r w:rsidR="001E1BC0" w:rsidRPr="00DB251D">
        <w:rPr>
          <w:lang w:val="en-US"/>
        </w:rPr>
        <w:t xml:space="preserve">-R </w:t>
      </w:r>
      <w:proofErr w:type="spellStart"/>
      <w:r w:rsidR="001E1BC0" w:rsidRPr="00DB251D">
        <w:rPr>
          <w:lang w:val="en-US"/>
        </w:rPr>
        <w:t>F.1336</w:t>
      </w:r>
      <w:proofErr w:type="spellEnd"/>
      <w:r w:rsidR="001E1BC0" w:rsidRPr="00DB251D">
        <w:rPr>
          <w:lang w:val="en-US"/>
        </w:rPr>
        <w:t>-3: "Reference radiation patterns of omnidirectional, sectoral and other antennas for the fixed and mobile service for use in sharing studies in the frequency range from 400 MHz to about 70 GHz"</w:t>
      </w:r>
      <w:bookmarkEnd w:id="49"/>
    </w:p>
    <w:p w:rsidR="002176F6" w:rsidRPr="00DB251D" w:rsidRDefault="00E85E05" w:rsidP="003F642F">
      <w:pPr>
        <w:pStyle w:val="Reftext"/>
        <w:rPr>
          <w:lang w:val="en-US"/>
        </w:rPr>
      </w:pPr>
      <w:bookmarkStart w:id="50" w:name="_Ref409614484"/>
      <w:r>
        <w:rPr>
          <w:lang w:val="en-US"/>
        </w:rPr>
        <w:t>[</w:t>
      </w:r>
      <w:r w:rsidR="003F642F">
        <w:rPr>
          <w:lang w:val="en-US"/>
        </w:rPr>
        <w:t>32</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ES 200 674-1 </w:t>
      </w:r>
      <w:proofErr w:type="spellStart"/>
      <w:r w:rsidR="001E1BC0" w:rsidRPr="00DB251D">
        <w:rPr>
          <w:lang w:val="en-US"/>
        </w:rPr>
        <w:t>V2.4.1</w:t>
      </w:r>
      <w:proofErr w:type="spellEnd"/>
      <w:r w:rsidR="001E1BC0" w:rsidRPr="00DB251D">
        <w:rPr>
          <w:lang w:val="en-US"/>
        </w:rPr>
        <w:t xml:space="preserve"> (2013-05)</w:t>
      </w:r>
      <w:bookmarkEnd w:id="50"/>
      <w:r w:rsidR="001E1BC0" w:rsidRPr="00DB251D">
        <w:rPr>
          <w:lang w:val="en-US"/>
        </w:rPr>
        <w:t>: “</w:t>
      </w:r>
      <w:r w:rsidR="001E1BC0" w:rsidRPr="00DB251D">
        <w:rPr>
          <w:bCs/>
          <w:color w:val="000000"/>
          <w:szCs w:val="24"/>
          <w:lang w:val="en-US"/>
        </w:rPr>
        <w:t>Technical characteristics and test methods for High Data Rate (</w:t>
      </w:r>
      <w:proofErr w:type="spellStart"/>
      <w:r w:rsidR="001E1BC0" w:rsidRPr="00DB251D">
        <w:rPr>
          <w:bCs/>
          <w:color w:val="000000"/>
          <w:szCs w:val="24"/>
          <w:lang w:val="en-US"/>
        </w:rPr>
        <w:t>HDR</w:t>
      </w:r>
      <w:proofErr w:type="spellEnd"/>
      <w:r w:rsidR="001E1BC0" w:rsidRPr="00DB251D">
        <w:rPr>
          <w:bCs/>
          <w:color w:val="000000"/>
          <w:szCs w:val="24"/>
          <w:lang w:val="en-US"/>
        </w:rPr>
        <w:t>) data transmission equipment operating in the 5,8 GHz Industrial, Scientific and Medical (ISM) band”</w:t>
      </w:r>
    </w:p>
    <w:p w:rsidR="002176F6" w:rsidRPr="00DB251D" w:rsidRDefault="00E85E05" w:rsidP="003F642F">
      <w:pPr>
        <w:pStyle w:val="Reftext"/>
        <w:rPr>
          <w:lang w:val="en-US"/>
        </w:rPr>
      </w:pPr>
      <w:r>
        <w:rPr>
          <w:lang w:val="en-US"/>
        </w:rPr>
        <w:t>[</w:t>
      </w:r>
      <w:r w:rsidR="003F642F">
        <w:rPr>
          <w:lang w:val="en-US"/>
        </w:rPr>
        <w:t>33</w:t>
      </w:r>
      <w:r>
        <w:rPr>
          <w:lang w:val="en-US"/>
        </w:rPr>
        <w:t>]</w:t>
      </w:r>
      <w:r>
        <w:rPr>
          <w:lang w:val="en-US"/>
        </w:rPr>
        <w:tab/>
      </w:r>
      <w:proofErr w:type="spellStart"/>
      <w:r w:rsidR="001E1BC0" w:rsidRPr="00DB251D">
        <w:rPr>
          <w:lang w:val="en-US"/>
        </w:rPr>
        <w:t>NTIA</w:t>
      </w:r>
      <w:proofErr w:type="spellEnd"/>
      <w:r w:rsidR="001E1BC0" w:rsidRPr="00DB251D">
        <w:rPr>
          <w:lang w:val="en-US"/>
        </w:rPr>
        <w:t xml:space="preserve"> 5 GHz report, January 2013, “Evaluation of the 5 350-5 470 MHz and 5 850</w:t>
      </w:r>
      <w:r w:rsidR="001E1BC0" w:rsidRPr="00DB251D">
        <w:rPr>
          <w:lang w:val="en-US"/>
        </w:rPr>
        <w:noBreakHyphen/>
        <w:t>5 925 MHz bands pursuant to section 6406(b) of the middle class tax relief and job creation act of 2012</w:t>
      </w:r>
    </w:p>
    <w:p w:rsidR="002176F6" w:rsidRPr="00DB251D" w:rsidRDefault="00E85E05" w:rsidP="003F642F">
      <w:pPr>
        <w:pStyle w:val="Reftext"/>
        <w:rPr>
          <w:lang w:val="en-US"/>
        </w:rPr>
      </w:pPr>
      <w:bookmarkStart w:id="51" w:name="_Ref412645499"/>
      <w:bookmarkStart w:id="52" w:name="_Ref441569432"/>
      <w:r>
        <w:rPr>
          <w:lang w:val="en-US"/>
        </w:rPr>
        <w:t>[</w:t>
      </w:r>
      <w:r w:rsidR="003F642F">
        <w:rPr>
          <w:lang w:val="en-US"/>
        </w:rPr>
        <w:t>34</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TR</w:t>
      </w:r>
      <w:proofErr w:type="spellEnd"/>
      <w:r w:rsidR="001E1BC0" w:rsidRPr="00DB251D">
        <w:rPr>
          <w:lang w:val="en-US"/>
        </w:rPr>
        <w:t xml:space="preserve"> 102 960: "Intelligent Transport Systems (ITS); Mitigation techniques to avoid interference between European CEN Dedicated Short Range Communication (</w:t>
      </w:r>
      <w:proofErr w:type="spellStart"/>
      <w:r w:rsidR="001E1BC0" w:rsidRPr="00DB251D">
        <w:rPr>
          <w:lang w:val="en-US"/>
        </w:rPr>
        <w:t>RTTT</w:t>
      </w:r>
      <w:proofErr w:type="spellEnd"/>
      <w:r w:rsidR="001E1BC0" w:rsidRPr="00DB251D">
        <w:rPr>
          <w:lang w:val="en-US"/>
        </w:rPr>
        <w:t xml:space="preserve"> </w:t>
      </w:r>
      <w:proofErr w:type="spellStart"/>
      <w:r w:rsidR="001E1BC0" w:rsidRPr="00DB251D">
        <w:rPr>
          <w:lang w:val="en-US"/>
        </w:rPr>
        <w:lastRenderedPageBreak/>
        <w:t>DSRC</w:t>
      </w:r>
      <w:proofErr w:type="spellEnd"/>
      <w:r w:rsidR="001E1BC0" w:rsidRPr="00DB251D">
        <w:rPr>
          <w:lang w:val="en-US"/>
        </w:rPr>
        <w:t>) equipment and Intelligent Transport Systems (ITS) operating in the 5 GHz frequency range; Evaluation of mitigation methods and techniques</w:t>
      </w:r>
      <w:bookmarkEnd w:id="51"/>
      <w:r w:rsidR="001E1BC0" w:rsidRPr="00DB251D">
        <w:rPr>
          <w:lang w:val="en-US"/>
        </w:rPr>
        <w:t>"</w:t>
      </w:r>
      <w:bookmarkEnd w:id="52"/>
    </w:p>
    <w:p w:rsidR="002176F6" w:rsidRPr="00DB251D" w:rsidRDefault="00E85E05" w:rsidP="003F642F">
      <w:pPr>
        <w:pStyle w:val="Reftext"/>
        <w:rPr>
          <w:lang w:val="en-US"/>
        </w:rPr>
      </w:pPr>
      <w:bookmarkStart w:id="53" w:name="_Ref412645496"/>
      <w:r>
        <w:rPr>
          <w:lang w:val="en-US"/>
        </w:rPr>
        <w:t>[</w:t>
      </w:r>
      <w:r w:rsidR="003F642F">
        <w:rPr>
          <w:lang w:val="en-US"/>
        </w:rPr>
        <w:t>35</w:t>
      </w:r>
      <w:r>
        <w:rPr>
          <w:lang w:val="en-US"/>
        </w:rPr>
        <w:t>]</w:t>
      </w:r>
      <w:r>
        <w:rPr>
          <w:lang w:val="en-US"/>
        </w:rPr>
        <w:tab/>
      </w:r>
      <w:proofErr w:type="spellStart"/>
      <w:r w:rsidR="001E1BC0" w:rsidRPr="00DB251D">
        <w:rPr>
          <w:lang w:val="en-US"/>
        </w:rPr>
        <w:t>ETSI</w:t>
      </w:r>
      <w:proofErr w:type="spellEnd"/>
      <w:r w:rsidR="001E1BC0" w:rsidRPr="00DB251D">
        <w:rPr>
          <w:lang w:val="en-US"/>
        </w:rPr>
        <w:t xml:space="preserve"> </w:t>
      </w:r>
      <w:proofErr w:type="spellStart"/>
      <w:r w:rsidR="001E1BC0" w:rsidRPr="00DB251D">
        <w:rPr>
          <w:lang w:val="en-US"/>
        </w:rPr>
        <w:t>TS</w:t>
      </w:r>
      <w:proofErr w:type="spellEnd"/>
      <w:r w:rsidR="001E1BC0" w:rsidRPr="00DB251D">
        <w:rPr>
          <w:lang w:val="en-US"/>
        </w:rPr>
        <w:t xml:space="preserve"> 102 792: "Intelligent Transport Systems (ITS); Mitigation techniques to avoid interference between European CEN Dedicated Short Range Communication (CEN </w:t>
      </w:r>
      <w:proofErr w:type="spellStart"/>
      <w:r w:rsidR="001E1BC0" w:rsidRPr="00DB251D">
        <w:rPr>
          <w:lang w:val="en-US"/>
        </w:rPr>
        <w:t>DSRC</w:t>
      </w:r>
      <w:proofErr w:type="spellEnd"/>
      <w:r w:rsidR="001E1BC0" w:rsidRPr="00DB251D">
        <w:rPr>
          <w:lang w:val="en-US"/>
        </w:rPr>
        <w:t>) equipment and Intelligent Transport Systems (ITS) operating in the 5 GHz frequency range</w:t>
      </w:r>
      <w:bookmarkEnd w:id="53"/>
      <w:r w:rsidR="001E1BC0" w:rsidRPr="00DB251D">
        <w:rPr>
          <w:lang w:val="en-US"/>
        </w:rPr>
        <w:t>"</w:t>
      </w:r>
    </w:p>
    <w:p w:rsidR="002176F6" w:rsidRPr="00DB251D" w:rsidRDefault="00E85E05" w:rsidP="003F642F">
      <w:pPr>
        <w:pStyle w:val="Reftext"/>
        <w:rPr>
          <w:lang w:val="en-US"/>
        </w:rPr>
      </w:pPr>
      <w:r>
        <w:rPr>
          <w:lang w:val="en-US"/>
        </w:rPr>
        <w:t>[</w:t>
      </w:r>
      <w:r w:rsidR="003F642F">
        <w:rPr>
          <w:lang w:val="en-US"/>
        </w:rPr>
        <w:t>36</w:t>
      </w:r>
      <w:r>
        <w:rPr>
          <w:lang w:val="en-US"/>
        </w:rPr>
        <w:t>]</w:t>
      </w:r>
      <w:r>
        <w:rPr>
          <w:lang w:val="en-US"/>
        </w:rPr>
        <w:tab/>
      </w:r>
      <w:hyperlink r:id="rId27" w:history="1">
        <w:bookmarkStart w:id="54" w:name="_Ref416766452"/>
        <w:r w:rsidR="001E1BC0" w:rsidRPr="00DB251D">
          <w:rPr>
            <w:rStyle w:val="Hyperlink"/>
            <w:rFonts w:asciiTheme="majorBidi" w:hAnsiTheme="majorBidi" w:cstheme="majorBidi"/>
            <w:szCs w:val="28"/>
            <w:lang w:val="en-US"/>
          </w:rPr>
          <w:t>http://</w:t>
        </w:r>
        <w:proofErr w:type="spellStart"/>
        <w:r w:rsidR="001E1BC0" w:rsidRPr="00DB251D">
          <w:rPr>
            <w:rStyle w:val="Hyperlink"/>
            <w:rFonts w:asciiTheme="majorBidi" w:hAnsiTheme="majorBidi" w:cstheme="majorBidi"/>
            <w:szCs w:val="28"/>
            <w:lang w:val="en-US"/>
          </w:rPr>
          <w:t>www.statistiques-mondiales.com</w:t>
        </w:r>
        <w:proofErr w:type="spellEnd"/>
        <w:r w:rsidR="001E1BC0" w:rsidRPr="00DB251D">
          <w:rPr>
            <w:rStyle w:val="Hyperlink"/>
            <w:rFonts w:asciiTheme="majorBidi" w:hAnsiTheme="majorBidi" w:cstheme="majorBidi"/>
            <w:szCs w:val="28"/>
            <w:lang w:val="en-US"/>
          </w:rPr>
          <w:t>/</w:t>
        </w:r>
        <w:proofErr w:type="spellStart"/>
        <w:r w:rsidR="001E1BC0" w:rsidRPr="00DB251D">
          <w:rPr>
            <w:rStyle w:val="Hyperlink"/>
            <w:rFonts w:asciiTheme="majorBidi" w:hAnsiTheme="majorBidi" w:cstheme="majorBidi"/>
            <w:szCs w:val="28"/>
            <w:lang w:val="en-US"/>
          </w:rPr>
          <w:t>union_europeenne.htm</w:t>
        </w:r>
        <w:bookmarkEnd w:id="54"/>
        <w:proofErr w:type="spellEnd"/>
      </w:hyperlink>
    </w:p>
    <w:p w:rsidR="002176F6" w:rsidRPr="00DB251D" w:rsidRDefault="00E85E05" w:rsidP="003F642F">
      <w:pPr>
        <w:pStyle w:val="Reftext"/>
        <w:rPr>
          <w:lang w:val="en-US"/>
        </w:rPr>
      </w:pPr>
      <w:r>
        <w:rPr>
          <w:lang w:val="en-US"/>
        </w:rPr>
        <w:t>[</w:t>
      </w:r>
      <w:r w:rsidR="003F642F">
        <w:rPr>
          <w:lang w:val="en-US"/>
        </w:rPr>
        <w:t>37</w:t>
      </w:r>
      <w:r>
        <w:rPr>
          <w:lang w:val="en-US"/>
        </w:rPr>
        <w:t>]</w:t>
      </w:r>
      <w:r>
        <w:rPr>
          <w:lang w:val="en-US"/>
        </w:rPr>
        <w:tab/>
      </w:r>
      <w:hyperlink r:id="rId28" w:history="1">
        <w:bookmarkStart w:id="55" w:name="_Ref416766480"/>
        <w:r w:rsidR="001E1BC0" w:rsidRPr="00DB251D">
          <w:rPr>
            <w:rStyle w:val="Hyperlink"/>
            <w:rFonts w:asciiTheme="majorBidi" w:hAnsiTheme="majorBidi" w:cstheme="majorBidi"/>
            <w:szCs w:val="28"/>
            <w:lang w:val="en-US"/>
          </w:rPr>
          <w:t>http://appsso.eurostat.ec.europa.eu/nui/show.do?dataset=lfst_hhnhtych&amp;lang=en</w:t>
        </w:r>
        <w:bookmarkEnd w:id="55"/>
      </w:hyperlink>
    </w:p>
    <w:p w:rsidR="002176F6" w:rsidRPr="00DB251D" w:rsidRDefault="00E85E05" w:rsidP="003F642F">
      <w:pPr>
        <w:pStyle w:val="Reftext"/>
        <w:rPr>
          <w:rStyle w:val="Hyperlink"/>
          <w:rFonts w:asciiTheme="majorBidi" w:hAnsiTheme="majorBidi" w:cstheme="majorBidi"/>
          <w:szCs w:val="28"/>
          <w:lang w:val="en-US"/>
        </w:rPr>
      </w:pPr>
      <w:r>
        <w:rPr>
          <w:lang w:val="en-US"/>
        </w:rPr>
        <w:t>[</w:t>
      </w:r>
      <w:r w:rsidR="003F642F">
        <w:rPr>
          <w:lang w:val="en-US"/>
        </w:rPr>
        <w:t>38</w:t>
      </w:r>
      <w:r>
        <w:rPr>
          <w:lang w:val="en-US"/>
        </w:rPr>
        <w:t>]</w:t>
      </w:r>
      <w:r>
        <w:rPr>
          <w:lang w:val="en-US"/>
        </w:rPr>
        <w:tab/>
      </w:r>
      <w:hyperlink r:id="rId29" w:history="1">
        <w:bookmarkStart w:id="56" w:name="_Ref416766522"/>
        <w:r w:rsidR="001E1BC0" w:rsidRPr="00DB251D">
          <w:rPr>
            <w:rStyle w:val="Hyperlink"/>
            <w:rFonts w:asciiTheme="majorBidi" w:hAnsiTheme="majorBidi" w:cstheme="majorBidi"/>
            <w:szCs w:val="28"/>
            <w:lang w:val="en-US"/>
          </w:rPr>
          <w:t>https://www.ssb.no/en/befolkning/statistikker/familie/aar/2014-12-12</w:t>
        </w:r>
        <w:bookmarkEnd w:id="56"/>
      </w:hyperlink>
    </w:p>
    <w:p w:rsidR="002176F6" w:rsidRPr="00DB251D" w:rsidRDefault="00E85E05" w:rsidP="003F642F">
      <w:pPr>
        <w:pStyle w:val="Reftext"/>
        <w:rPr>
          <w:rStyle w:val="Hyperlink"/>
          <w:rFonts w:asciiTheme="majorBidi" w:hAnsiTheme="majorBidi" w:cstheme="majorBidi"/>
          <w:szCs w:val="28"/>
          <w:lang w:val="en-US"/>
        </w:rPr>
      </w:pPr>
      <w:r>
        <w:rPr>
          <w:lang w:val="en-US"/>
        </w:rPr>
        <w:t>[</w:t>
      </w:r>
      <w:r w:rsidR="003F642F">
        <w:rPr>
          <w:lang w:val="en-US"/>
        </w:rPr>
        <w:t>39</w:t>
      </w:r>
      <w:r>
        <w:rPr>
          <w:lang w:val="en-US"/>
        </w:rPr>
        <w:t>]</w:t>
      </w:r>
      <w:r>
        <w:rPr>
          <w:lang w:val="en-US"/>
        </w:rPr>
        <w:tab/>
      </w:r>
      <w:hyperlink r:id="rId30" w:history="1">
        <w:bookmarkStart w:id="57" w:name="_Ref416766532"/>
        <w:r w:rsidR="001E1BC0" w:rsidRPr="00DB251D">
          <w:rPr>
            <w:rStyle w:val="Hyperlink"/>
            <w:rFonts w:asciiTheme="majorBidi" w:hAnsiTheme="majorBidi" w:cstheme="majorBidi"/>
            <w:szCs w:val="28"/>
            <w:lang w:val="en-US"/>
          </w:rPr>
          <w:t>http://</w:t>
        </w:r>
        <w:proofErr w:type="spellStart"/>
        <w:r w:rsidR="001E1BC0" w:rsidRPr="00DB251D">
          <w:rPr>
            <w:rStyle w:val="Hyperlink"/>
            <w:rFonts w:asciiTheme="majorBidi" w:hAnsiTheme="majorBidi" w:cstheme="majorBidi"/>
            <w:szCs w:val="28"/>
            <w:lang w:val="en-US"/>
          </w:rPr>
          <w:t>www.bfs.admin.ch</w:t>
        </w:r>
        <w:proofErr w:type="spellEnd"/>
        <w:r w:rsidR="001E1BC0" w:rsidRPr="00DB251D">
          <w:rPr>
            <w:rStyle w:val="Hyperlink"/>
            <w:rFonts w:asciiTheme="majorBidi" w:hAnsiTheme="majorBidi" w:cstheme="majorBidi"/>
            <w:szCs w:val="28"/>
            <w:lang w:val="en-US"/>
          </w:rPr>
          <w:t>/</w:t>
        </w:r>
        <w:bookmarkEnd w:id="57"/>
      </w:hyperlink>
    </w:p>
    <w:p w:rsidR="002176F6" w:rsidRPr="00DB251D" w:rsidRDefault="00E85E05" w:rsidP="003F642F">
      <w:pPr>
        <w:pStyle w:val="Reftext"/>
        <w:rPr>
          <w:lang w:val="en-US"/>
        </w:rPr>
      </w:pPr>
      <w:r>
        <w:rPr>
          <w:lang w:val="en-US"/>
        </w:rPr>
        <w:t>[</w:t>
      </w:r>
      <w:r w:rsidR="003F642F">
        <w:rPr>
          <w:lang w:val="en-US"/>
        </w:rPr>
        <w:t>40</w:t>
      </w:r>
      <w:r>
        <w:rPr>
          <w:lang w:val="en-US"/>
        </w:rPr>
        <w:t>]</w:t>
      </w:r>
      <w:r>
        <w:rPr>
          <w:lang w:val="en-US"/>
        </w:rPr>
        <w:tab/>
      </w:r>
      <w:hyperlink r:id="rId31" w:history="1">
        <w:bookmarkStart w:id="58" w:name="_Ref416766576"/>
        <w:r w:rsidR="001E1BC0" w:rsidRPr="00DB251D">
          <w:rPr>
            <w:rStyle w:val="Hyperlink"/>
            <w:rFonts w:asciiTheme="majorBidi" w:hAnsiTheme="majorBidi" w:cstheme="majorBidi"/>
            <w:szCs w:val="28"/>
            <w:lang w:val="en-US"/>
          </w:rPr>
          <w:t>http://appsso.eurostat.ec.europa.eu/nui/show.do?dataset=bd_9ac_l_form_r2&amp;lang=en</w:t>
        </w:r>
        <w:bookmarkEnd w:id="58"/>
      </w:hyperlink>
    </w:p>
    <w:p w:rsidR="002176F6" w:rsidRPr="00DB251D" w:rsidRDefault="00E85E05" w:rsidP="00E85E05">
      <w:pPr>
        <w:pStyle w:val="Reftext"/>
        <w:rPr>
          <w:lang w:val="en-US"/>
        </w:rPr>
      </w:pPr>
      <w:bookmarkStart w:id="59" w:name="_Ref421616141"/>
      <w:r>
        <w:rPr>
          <w:lang w:val="en-US"/>
        </w:rPr>
        <w:t>[</w:t>
      </w:r>
      <w:r w:rsidR="003F642F">
        <w:rPr>
          <w:lang w:val="en-US"/>
        </w:rPr>
        <w:t>4</w:t>
      </w:r>
      <w:r>
        <w:rPr>
          <w:lang w:val="en-US"/>
        </w:rPr>
        <w:t>1]</w:t>
      </w:r>
      <w:r>
        <w:rPr>
          <w:lang w:val="en-US"/>
        </w:rPr>
        <w:tab/>
      </w:r>
      <w:proofErr w:type="spellStart"/>
      <w:r w:rsidR="001E1BC0" w:rsidRPr="00DB251D">
        <w:rPr>
          <w:lang w:val="en-US"/>
        </w:rPr>
        <w:t>3GPP</w:t>
      </w:r>
      <w:proofErr w:type="spellEnd"/>
      <w:r w:rsidR="001E1BC0" w:rsidRPr="00DB251D">
        <w:rPr>
          <w:lang w:val="en-US"/>
        </w:rPr>
        <w:t xml:space="preserve"> </w:t>
      </w:r>
      <w:proofErr w:type="spellStart"/>
      <w:r w:rsidR="001E1BC0" w:rsidRPr="00DB251D">
        <w:rPr>
          <w:lang w:val="en-US"/>
        </w:rPr>
        <w:t>TR</w:t>
      </w:r>
      <w:proofErr w:type="spellEnd"/>
      <w:r w:rsidR="001E1BC0" w:rsidRPr="00DB251D">
        <w:rPr>
          <w:lang w:val="en-US"/>
        </w:rPr>
        <w:t xml:space="preserve"> 36.889: Feasibility Study on Licensed-Assisted Access to Unlicensed Spectrum, </w:t>
      </w:r>
      <w:hyperlink r:id="rId32" w:history="1">
        <w:r w:rsidR="001E1BC0" w:rsidRPr="00DB251D">
          <w:rPr>
            <w:rStyle w:val="Hyperlink"/>
            <w:rFonts w:asciiTheme="majorBidi" w:hAnsiTheme="majorBidi" w:cstheme="majorBidi"/>
            <w:szCs w:val="28"/>
            <w:lang w:val="en-US"/>
          </w:rPr>
          <w:t>http://</w:t>
        </w:r>
        <w:proofErr w:type="spellStart"/>
        <w:r w:rsidR="001E1BC0" w:rsidRPr="00DB251D">
          <w:rPr>
            <w:rStyle w:val="Hyperlink"/>
            <w:rFonts w:asciiTheme="majorBidi" w:hAnsiTheme="majorBidi" w:cstheme="majorBidi"/>
            <w:szCs w:val="28"/>
            <w:lang w:val="en-US"/>
          </w:rPr>
          <w:t>www.3gpp.org</w:t>
        </w:r>
        <w:proofErr w:type="spellEnd"/>
        <w:r w:rsidR="001E1BC0" w:rsidRPr="00DB251D">
          <w:rPr>
            <w:rStyle w:val="Hyperlink"/>
            <w:rFonts w:asciiTheme="majorBidi" w:hAnsiTheme="majorBidi" w:cstheme="majorBidi"/>
            <w:szCs w:val="28"/>
            <w:lang w:val="en-US"/>
          </w:rPr>
          <w:t>/</w:t>
        </w:r>
        <w:proofErr w:type="spellStart"/>
        <w:r w:rsidR="001E1BC0" w:rsidRPr="00DB251D">
          <w:rPr>
            <w:rStyle w:val="Hyperlink"/>
            <w:rFonts w:asciiTheme="majorBidi" w:hAnsiTheme="majorBidi" w:cstheme="majorBidi"/>
            <w:szCs w:val="28"/>
            <w:lang w:val="en-US"/>
          </w:rPr>
          <w:t>DynaReport</w:t>
        </w:r>
        <w:proofErr w:type="spellEnd"/>
        <w:r w:rsidR="001E1BC0" w:rsidRPr="00DB251D">
          <w:rPr>
            <w:rStyle w:val="Hyperlink"/>
            <w:rFonts w:asciiTheme="majorBidi" w:hAnsiTheme="majorBidi" w:cstheme="majorBidi"/>
            <w:szCs w:val="28"/>
            <w:lang w:val="en-US"/>
          </w:rPr>
          <w:t>/</w:t>
        </w:r>
        <w:proofErr w:type="spellStart"/>
        <w:r w:rsidR="001E1BC0" w:rsidRPr="00DB251D">
          <w:rPr>
            <w:rStyle w:val="Hyperlink"/>
            <w:rFonts w:asciiTheme="majorBidi" w:hAnsiTheme="majorBidi" w:cstheme="majorBidi"/>
            <w:szCs w:val="28"/>
            <w:lang w:val="en-US"/>
          </w:rPr>
          <w:t>36889.htm</w:t>
        </w:r>
        <w:proofErr w:type="spellEnd"/>
      </w:hyperlink>
      <w:bookmarkEnd w:id="59"/>
      <w:r w:rsidR="001E1BC0" w:rsidRPr="00DB251D">
        <w:rPr>
          <w:lang w:val="en-US"/>
        </w:rPr>
        <w:t xml:space="preserve"> </w:t>
      </w:r>
    </w:p>
    <w:p w:rsidR="002176F6" w:rsidRPr="00DB251D" w:rsidRDefault="00E85E05" w:rsidP="003F642F">
      <w:pPr>
        <w:pStyle w:val="Reftext"/>
        <w:rPr>
          <w:lang w:val="en-US"/>
        </w:rPr>
      </w:pPr>
      <w:bookmarkStart w:id="60" w:name="_Ref428897450"/>
      <w:r>
        <w:rPr>
          <w:lang w:val="en-US"/>
        </w:rPr>
        <w:t>[</w:t>
      </w:r>
      <w:r w:rsidR="003F642F">
        <w:rPr>
          <w:lang w:val="en-US"/>
        </w:rPr>
        <w:t>42</w:t>
      </w:r>
      <w:r>
        <w:rPr>
          <w:lang w:val="en-US"/>
        </w:rPr>
        <w:t>]</w:t>
      </w:r>
      <w:r>
        <w:rPr>
          <w:lang w:val="en-US"/>
        </w:rPr>
        <w:tab/>
      </w:r>
      <w:proofErr w:type="spellStart"/>
      <w:r w:rsidR="00F31C1C">
        <w:rPr>
          <w:lang w:val="en-US"/>
        </w:rPr>
        <w:t>CEPT</w:t>
      </w:r>
      <w:proofErr w:type="spellEnd"/>
      <w:r w:rsidR="00F31C1C">
        <w:rPr>
          <w:lang w:val="en-US"/>
        </w:rPr>
        <w:t xml:space="preserve"> Report 57</w:t>
      </w:r>
      <w:r w:rsidR="001E1BC0" w:rsidRPr="00DB251D">
        <w:rPr>
          <w:lang w:val="en-US"/>
        </w:rPr>
        <w:t>: "Compatibility and sharing conditions for WAS/</w:t>
      </w:r>
      <w:proofErr w:type="spellStart"/>
      <w:r w:rsidR="001E1BC0" w:rsidRPr="00DB251D">
        <w:rPr>
          <w:lang w:val="en-US"/>
        </w:rPr>
        <w:t>RLAN</w:t>
      </w:r>
      <w:proofErr w:type="spellEnd"/>
      <w:r w:rsidR="001E1BC0" w:rsidRPr="00DB251D">
        <w:rPr>
          <w:lang w:val="en-US"/>
        </w:rPr>
        <w:t xml:space="preserve"> in the bands 5 350-5 470 MHz and 5 725-5 925 MHz"</w:t>
      </w:r>
      <w:bookmarkEnd w:id="60"/>
    </w:p>
    <w:p w:rsidR="002176F6" w:rsidRPr="00DB251D" w:rsidRDefault="00E85E05" w:rsidP="003F642F">
      <w:pPr>
        <w:pStyle w:val="Reftext"/>
        <w:rPr>
          <w:lang w:val="en-US"/>
        </w:rPr>
      </w:pPr>
      <w:bookmarkStart w:id="61" w:name="_Ref441585937"/>
      <w:r>
        <w:rPr>
          <w:lang w:val="en-US"/>
        </w:rPr>
        <w:t>[</w:t>
      </w:r>
      <w:r w:rsidR="003F642F">
        <w:rPr>
          <w:lang w:val="en-US"/>
        </w:rPr>
        <w:t>43</w:t>
      </w:r>
      <w:r>
        <w:rPr>
          <w:lang w:val="en-US"/>
        </w:rPr>
        <w:t>]</w:t>
      </w:r>
      <w:r>
        <w:rPr>
          <w:lang w:val="en-US"/>
        </w:rPr>
        <w:tab/>
      </w:r>
      <w:proofErr w:type="spellStart"/>
      <w:r w:rsidR="001E1BC0" w:rsidRPr="00DB251D">
        <w:rPr>
          <w:lang w:val="en-US"/>
        </w:rPr>
        <w:t>ECC</w:t>
      </w:r>
      <w:proofErr w:type="spellEnd"/>
      <w:r w:rsidR="001E1BC0" w:rsidRPr="00DB251D">
        <w:rPr>
          <w:lang w:val="en-US"/>
        </w:rPr>
        <w:t xml:space="preserve"> Report 181</w:t>
      </w:r>
      <w:bookmarkEnd w:id="61"/>
      <w:r w:rsidR="001E1BC0" w:rsidRPr="00DB251D">
        <w:rPr>
          <w:lang w:val="en-US"/>
        </w:rPr>
        <w:t xml:space="preserve"> on improving spectrum efficiency in SRD bands</w:t>
      </w:r>
    </w:p>
    <w:p w:rsidR="002176F6" w:rsidRPr="00DB251D" w:rsidRDefault="00E85E05" w:rsidP="003F642F">
      <w:pPr>
        <w:pStyle w:val="Reftext"/>
        <w:rPr>
          <w:rStyle w:val="Hyperlink"/>
          <w:rFonts w:asciiTheme="majorBidi" w:hAnsiTheme="majorBidi" w:cstheme="majorBidi"/>
          <w:szCs w:val="28"/>
          <w:lang w:val="en-US"/>
        </w:rPr>
      </w:pPr>
      <w:bookmarkStart w:id="62" w:name="_Ref441666583"/>
      <w:r>
        <w:rPr>
          <w:lang w:val="en-US"/>
        </w:rPr>
        <w:t>[</w:t>
      </w:r>
      <w:r w:rsidR="003F642F">
        <w:rPr>
          <w:lang w:val="en-US"/>
        </w:rPr>
        <w:t>44</w:t>
      </w:r>
      <w:r>
        <w:rPr>
          <w:lang w:val="en-US"/>
        </w:rPr>
        <w:t>]</w:t>
      </w:r>
      <w:r>
        <w:rPr>
          <w:lang w:val="en-US"/>
        </w:rPr>
        <w:tab/>
      </w:r>
      <w:proofErr w:type="spellStart"/>
      <w:r w:rsidR="001E1BC0" w:rsidRPr="00C579AA">
        <w:t>JRC</w:t>
      </w:r>
      <w:proofErr w:type="spellEnd"/>
      <w:r w:rsidR="001E1BC0" w:rsidRPr="00C579AA">
        <w:t xml:space="preserve"> study on </w:t>
      </w:r>
      <w:proofErr w:type="spellStart"/>
      <w:r w:rsidR="001E1BC0" w:rsidRPr="00C579AA">
        <w:t>RLAN</w:t>
      </w:r>
      <w:proofErr w:type="spellEnd"/>
      <w:r w:rsidR="001E1BC0" w:rsidRPr="00C579AA">
        <w:t xml:space="preserve"> deployment and device densities:</w:t>
      </w:r>
      <w:r w:rsidR="001E1BC0" w:rsidRPr="00DB251D">
        <w:rPr>
          <w:rStyle w:val="Hyperlink"/>
          <w:rFonts w:asciiTheme="majorBidi" w:hAnsiTheme="majorBidi" w:cstheme="majorBidi"/>
          <w:szCs w:val="28"/>
          <w:lang w:val="en-US"/>
        </w:rPr>
        <w:t xml:space="preserve">  </w:t>
      </w:r>
      <w:hyperlink r:id="rId33" w:history="1">
        <w:r w:rsidR="001E1BC0" w:rsidRPr="00DB251D">
          <w:rPr>
            <w:rStyle w:val="Hyperlink"/>
            <w:rFonts w:asciiTheme="majorBidi" w:hAnsiTheme="majorBidi" w:cstheme="majorBidi"/>
            <w:szCs w:val="28"/>
            <w:lang w:val="en-US"/>
          </w:rPr>
          <w:t>http://www.cept.org/Documents/se-24/25709/</w:t>
        </w:r>
        <w:proofErr w:type="gramStart"/>
        <w:r w:rsidR="001E1BC0" w:rsidRPr="00DB251D">
          <w:rPr>
            <w:rStyle w:val="Hyperlink"/>
            <w:rFonts w:asciiTheme="majorBidi" w:hAnsiTheme="majorBidi" w:cstheme="majorBidi"/>
            <w:szCs w:val="28"/>
            <w:lang w:val="en-US"/>
          </w:rPr>
          <w:t>SE24(</w:t>
        </w:r>
        <w:proofErr w:type="gramEnd"/>
        <w:r w:rsidR="001E1BC0" w:rsidRPr="00DB251D">
          <w:rPr>
            <w:rStyle w:val="Hyperlink"/>
            <w:rFonts w:asciiTheme="majorBidi" w:hAnsiTheme="majorBidi" w:cstheme="majorBidi"/>
            <w:szCs w:val="28"/>
            <w:lang w:val="en-US"/>
          </w:rPr>
          <w:t>15)070R0_WI52_number-of-RLAN-JRC</w:t>
        </w:r>
      </w:hyperlink>
      <w:bookmarkEnd w:id="62"/>
    </w:p>
    <w:p w:rsidR="002176F6" w:rsidRPr="00DB251D" w:rsidRDefault="00E85E05" w:rsidP="003F642F">
      <w:pPr>
        <w:pStyle w:val="Reftext"/>
        <w:rPr>
          <w:rStyle w:val="Hyperlink"/>
          <w:rFonts w:asciiTheme="majorBidi" w:hAnsiTheme="majorBidi" w:cstheme="majorBidi"/>
          <w:szCs w:val="28"/>
          <w:lang w:val="en-US"/>
        </w:rPr>
      </w:pPr>
      <w:bookmarkStart w:id="63" w:name="_Ref441666586"/>
      <w:r>
        <w:rPr>
          <w:lang w:val="en-US"/>
        </w:rPr>
        <w:t>[</w:t>
      </w:r>
      <w:r w:rsidR="003F642F">
        <w:rPr>
          <w:lang w:val="en-US"/>
        </w:rPr>
        <w:t>45</w:t>
      </w:r>
      <w:r>
        <w:rPr>
          <w:lang w:val="en-US"/>
        </w:rPr>
        <w:t>]</w:t>
      </w:r>
      <w:r>
        <w:rPr>
          <w:lang w:val="en-US"/>
        </w:rPr>
        <w:tab/>
      </w:r>
      <w:proofErr w:type="spellStart"/>
      <w:r w:rsidR="001E1BC0" w:rsidRPr="00C579AA">
        <w:t>JRC</w:t>
      </w:r>
      <w:proofErr w:type="spellEnd"/>
      <w:r w:rsidR="001E1BC0" w:rsidRPr="00C579AA">
        <w:t xml:space="preserve"> study on in-home </w:t>
      </w:r>
      <w:proofErr w:type="spellStart"/>
      <w:r w:rsidR="001E1BC0" w:rsidRPr="00C579AA">
        <w:t>RLAN</w:t>
      </w:r>
      <w:proofErr w:type="spellEnd"/>
      <w:r w:rsidR="001E1BC0" w:rsidRPr="00C579AA">
        <w:t xml:space="preserve"> coverage and number of </w:t>
      </w:r>
      <w:proofErr w:type="spellStart"/>
      <w:r w:rsidR="001E1BC0" w:rsidRPr="00C579AA">
        <w:t>RLAN</w:t>
      </w:r>
      <w:proofErr w:type="spellEnd"/>
      <w:r w:rsidR="001E1BC0" w:rsidRPr="00C579AA">
        <w:t xml:space="preserve"> APs per household:</w:t>
      </w:r>
      <w:r w:rsidR="001E1BC0" w:rsidRPr="00DB251D">
        <w:rPr>
          <w:rStyle w:val="Hyperlink"/>
          <w:rFonts w:asciiTheme="majorBidi" w:hAnsiTheme="majorBidi" w:cstheme="majorBidi"/>
          <w:szCs w:val="28"/>
          <w:lang w:val="en-US"/>
        </w:rPr>
        <w:t xml:space="preserve"> </w:t>
      </w:r>
      <w:hyperlink r:id="rId34" w:history="1">
        <w:r w:rsidR="001E1BC0" w:rsidRPr="00DB251D">
          <w:rPr>
            <w:rStyle w:val="Hyperlink"/>
            <w:rFonts w:asciiTheme="majorBidi" w:hAnsiTheme="majorBidi" w:cstheme="majorBidi"/>
            <w:szCs w:val="28"/>
            <w:lang w:val="en-US"/>
          </w:rPr>
          <w:t>http://www.cept.org/Documents/se-24/25805/</w:t>
        </w:r>
        <w:proofErr w:type="gramStart"/>
        <w:r w:rsidR="001E1BC0" w:rsidRPr="00DB251D">
          <w:rPr>
            <w:rStyle w:val="Hyperlink"/>
            <w:rFonts w:asciiTheme="majorBidi" w:hAnsiTheme="majorBidi" w:cstheme="majorBidi"/>
            <w:szCs w:val="28"/>
            <w:lang w:val="en-US"/>
          </w:rPr>
          <w:t>SE24(</w:t>
        </w:r>
        <w:proofErr w:type="gramEnd"/>
        <w:r w:rsidR="001E1BC0" w:rsidRPr="00DB251D">
          <w:rPr>
            <w:rStyle w:val="Hyperlink"/>
            <w:rFonts w:asciiTheme="majorBidi" w:hAnsiTheme="majorBidi" w:cstheme="majorBidi"/>
            <w:szCs w:val="28"/>
            <w:lang w:val="en-US"/>
          </w:rPr>
          <w:t>15)089R0_WI52_Further-considerations-on-WLAN-indoor-coverage</w:t>
        </w:r>
      </w:hyperlink>
      <w:bookmarkEnd w:id="63"/>
    </w:p>
    <w:p w:rsidR="002176F6" w:rsidRPr="00DB251D" w:rsidRDefault="00E85E05" w:rsidP="003F642F">
      <w:pPr>
        <w:pStyle w:val="Reftext"/>
        <w:rPr>
          <w:rStyle w:val="Hyperlink"/>
          <w:rFonts w:asciiTheme="majorBidi" w:hAnsiTheme="majorBidi" w:cstheme="majorBidi"/>
          <w:szCs w:val="28"/>
          <w:lang w:val="en-US"/>
        </w:rPr>
      </w:pPr>
      <w:bookmarkStart w:id="64" w:name="_Ref441666798"/>
      <w:r>
        <w:rPr>
          <w:lang w:val="en-US"/>
        </w:rPr>
        <w:t>[</w:t>
      </w:r>
      <w:r w:rsidR="003F642F">
        <w:rPr>
          <w:lang w:val="en-US"/>
        </w:rPr>
        <w:t>46</w:t>
      </w:r>
      <w:r>
        <w:rPr>
          <w:lang w:val="en-US"/>
        </w:rPr>
        <w:t>]</w:t>
      </w:r>
      <w:r>
        <w:rPr>
          <w:lang w:val="en-US"/>
        </w:rPr>
        <w:tab/>
      </w:r>
      <w:proofErr w:type="spellStart"/>
      <w:r w:rsidR="001E1BC0" w:rsidRPr="00C579AA">
        <w:t>JRC</w:t>
      </w:r>
      <w:proofErr w:type="spellEnd"/>
      <w:r w:rsidR="001E1BC0" w:rsidRPr="00C579AA">
        <w:t xml:space="preserve"> measurements of </w:t>
      </w:r>
      <w:proofErr w:type="spellStart"/>
      <w:r w:rsidR="001E1BC0" w:rsidRPr="00C579AA">
        <w:t>802.11ac</w:t>
      </w:r>
      <w:proofErr w:type="spellEnd"/>
      <w:r w:rsidR="001E1BC0" w:rsidRPr="00C579AA">
        <w:t xml:space="preserve"> </w:t>
      </w:r>
      <w:proofErr w:type="spellStart"/>
      <w:r w:rsidR="001E1BC0" w:rsidRPr="00C579AA">
        <w:t>RLAN</w:t>
      </w:r>
      <w:proofErr w:type="spellEnd"/>
      <w:r w:rsidR="001E1BC0" w:rsidRPr="00C579AA">
        <w:t xml:space="preserve"> APs operating in the 5 GHz band:</w:t>
      </w:r>
      <w:r w:rsidR="001E1BC0" w:rsidRPr="00DB251D">
        <w:rPr>
          <w:rStyle w:val="Hyperlink"/>
          <w:rFonts w:asciiTheme="majorBidi" w:hAnsiTheme="majorBidi" w:cstheme="majorBidi"/>
          <w:szCs w:val="28"/>
          <w:lang w:val="en-US"/>
        </w:rPr>
        <w:t xml:space="preserve"> </w:t>
      </w:r>
      <w:hyperlink r:id="rId35" w:history="1">
        <w:r w:rsidR="001E1BC0" w:rsidRPr="00DB251D">
          <w:rPr>
            <w:rStyle w:val="Hyperlink"/>
            <w:rFonts w:asciiTheme="majorBidi" w:hAnsiTheme="majorBidi" w:cstheme="majorBidi"/>
            <w:szCs w:val="28"/>
            <w:lang w:val="en-US"/>
          </w:rPr>
          <w:t>http://www.cept.org/Documents/se-24/24051/</w:t>
        </w:r>
        <w:proofErr w:type="gramStart"/>
        <w:r w:rsidR="001E1BC0" w:rsidRPr="00DB251D">
          <w:rPr>
            <w:rStyle w:val="Hyperlink"/>
            <w:rFonts w:asciiTheme="majorBidi" w:hAnsiTheme="majorBidi" w:cstheme="majorBidi"/>
            <w:szCs w:val="28"/>
            <w:lang w:val="en-US"/>
          </w:rPr>
          <w:t>SE24(</w:t>
        </w:r>
        <w:proofErr w:type="gramEnd"/>
        <w:r w:rsidR="001E1BC0" w:rsidRPr="00DB251D">
          <w:rPr>
            <w:rStyle w:val="Hyperlink"/>
            <w:rFonts w:asciiTheme="majorBidi" w:hAnsiTheme="majorBidi" w:cstheme="majorBidi"/>
            <w:szCs w:val="28"/>
            <w:lang w:val="en-US"/>
          </w:rPr>
          <w:t>15)042R0_WI52_JRC_5GHZ_RLAN-_measurements</w:t>
        </w:r>
      </w:hyperlink>
      <w:bookmarkEnd w:id="64"/>
    </w:p>
    <w:p w:rsidR="002176F6" w:rsidRPr="00DB251D" w:rsidRDefault="00E85E05" w:rsidP="003F642F">
      <w:pPr>
        <w:pStyle w:val="Reftext"/>
        <w:rPr>
          <w:color w:val="0000FF" w:themeColor="hyperlink"/>
          <w:u w:val="single"/>
          <w:lang w:val="en-US"/>
        </w:rPr>
      </w:pPr>
      <w:bookmarkStart w:id="65" w:name="_Ref466489120"/>
      <w:r>
        <w:rPr>
          <w:lang w:val="en-US"/>
        </w:rPr>
        <w:t>[</w:t>
      </w:r>
      <w:r w:rsidR="003F642F">
        <w:rPr>
          <w:lang w:val="en-US"/>
        </w:rPr>
        <w:t>47</w:t>
      </w:r>
      <w:r>
        <w:rPr>
          <w:lang w:val="en-US"/>
        </w:rPr>
        <w:t>]</w:t>
      </w:r>
      <w:r>
        <w:rPr>
          <w:lang w:val="en-US"/>
        </w:rPr>
        <w:tab/>
      </w:r>
      <w:proofErr w:type="spellStart"/>
      <w:r w:rsidR="001E1BC0" w:rsidRPr="00DB251D">
        <w:rPr>
          <w:rStyle w:val="Hyperlink"/>
          <w:rFonts w:asciiTheme="majorBidi" w:hAnsiTheme="majorBidi" w:cstheme="majorBidi"/>
          <w:szCs w:val="28"/>
          <w:lang w:val="en-US"/>
        </w:rPr>
        <w:t>ECC</w:t>
      </w:r>
      <w:proofErr w:type="spellEnd"/>
      <w:r w:rsidR="001E1BC0" w:rsidRPr="00DB251D">
        <w:rPr>
          <w:rStyle w:val="Hyperlink"/>
          <w:rFonts w:asciiTheme="majorBidi" w:hAnsiTheme="majorBidi" w:cstheme="majorBidi"/>
          <w:szCs w:val="28"/>
          <w:lang w:val="en-US"/>
        </w:rPr>
        <w:t xml:space="preserve"> Report 244</w:t>
      </w:r>
      <w:r w:rsidR="001E1BC0" w:rsidRPr="003F642F">
        <w:t xml:space="preserve"> “</w:t>
      </w:r>
      <w:r w:rsidR="001E1BC0" w:rsidRPr="00DB251D">
        <w:rPr>
          <w:lang w:val="en-US"/>
        </w:rPr>
        <w:t xml:space="preserve">Compatibility studies related to </w:t>
      </w:r>
      <w:proofErr w:type="spellStart"/>
      <w:r w:rsidR="001E1BC0" w:rsidRPr="00DB251D">
        <w:rPr>
          <w:lang w:val="en-US"/>
        </w:rPr>
        <w:t>RLANs</w:t>
      </w:r>
      <w:proofErr w:type="spellEnd"/>
      <w:r w:rsidR="001E1BC0" w:rsidRPr="00DB251D">
        <w:rPr>
          <w:lang w:val="en-US"/>
        </w:rPr>
        <w:t xml:space="preserve"> in the 5 725-5 925 MHz band”</w:t>
      </w:r>
      <w:bookmarkEnd w:id="65"/>
    </w:p>
    <w:p w:rsidR="002176F6" w:rsidRPr="00DB251D" w:rsidRDefault="002176F6">
      <w:pPr>
        <w:rPr>
          <w:lang w:val="en-US"/>
        </w:rPr>
      </w:pPr>
    </w:p>
    <w:sectPr w:rsidR="002176F6" w:rsidRPr="00DB251D" w:rsidSect="00237057">
      <w:headerReference w:type="default" r:id="rId36"/>
      <w:footerReference w:type="default" r:id="rId37"/>
      <w:footerReference w:type="first" r:id="rId38"/>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C6" w:rsidRDefault="00E65EC6">
      <w:r>
        <w:separator/>
      </w:r>
    </w:p>
  </w:endnote>
  <w:endnote w:type="continuationSeparator" w:id="0">
    <w:p w:rsidR="00E65EC6" w:rsidRDefault="00E6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C6" w:rsidRPr="00237057" w:rsidRDefault="00237057" w:rsidP="00237057">
    <w:pPr>
      <w:pStyle w:val="Footer"/>
    </w:pPr>
    <w:r>
      <w:rPr>
        <w:noProof w:val="0"/>
        <w:sz w:val="24"/>
      </w:rPr>
      <w:fldChar w:fldCharType="begin"/>
    </w:r>
    <w:r>
      <w:instrText xml:space="preserve"> FILENAME \p  \* MERGEFORMAT </w:instrText>
    </w:r>
    <w:r>
      <w:rPr>
        <w:noProof w:val="0"/>
        <w:sz w:val="24"/>
      </w:rPr>
      <w:fldChar w:fldCharType="separate"/>
    </w:r>
    <w:r>
      <w:t>M:\BRSGD\TEXT2017\SG05\WP5A\600\650\650N27e.docx</w:t>
    </w:r>
    <w:r>
      <w:fldChar w:fldCharType="end"/>
    </w:r>
    <w:r>
      <w:tab/>
    </w:r>
    <w:r>
      <w:fldChar w:fldCharType="begin"/>
    </w:r>
    <w:r>
      <w:instrText xml:space="preserve"> SAVEDATE \@ DD.MM.YY </w:instrText>
    </w:r>
    <w:r>
      <w:fldChar w:fldCharType="separate"/>
    </w:r>
    <w:r>
      <w:t>21.11.17</w:t>
    </w:r>
    <w:r>
      <w:fldChar w:fldCharType="end"/>
    </w:r>
    <w:r>
      <w:tab/>
    </w:r>
    <w:r>
      <w:fldChar w:fldCharType="begin"/>
    </w:r>
    <w:r>
      <w:instrText xml:space="preserve"> PRINTDATE \@ DD.MM.YY </w:instrText>
    </w:r>
    <w:r>
      <w:fldChar w:fldCharType="separate"/>
    </w:r>
    <w:r>
      <w:t>15.11.17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C6" w:rsidRDefault="00237057" w:rsidP="00237057">
    <w:pPr>
      <w:pStyle w:val="Footer"/>
    </w:pPr>
    <w:fldSimple w:instr=" FILENAME \p  \* MERGEFORMAT ">
      <w:r>
        <w:t>M:\BRSGD\TEXT2017\SG05\WP5A\600\650\650N27e.docx</w:t>
      </w:r>
    </w:fldSimple>
    <w:r>
      <w:tab/>
    </w:r>
    <w:r>
      <w:fldChar w:fldCharType="begin"/>
    </w:r>
    <w:r>
      <w:instrText xml:space="preserve"> SAVEDATE \@ DD.MM.YY </w:instrText>
    </w:r>
    <w:r>
      <w:fldChar w:fldCharType="separate"/>
    </w:r>
    <w:r>
      <w:t>21.11.17</w:t>
    </w:r>
    <w:r>
      <w:fldChar w:fldCharType="end"/>
    </w:r>
    <w:r>
      <w:tab/>
    </w:r>
    <w:r>
      <w:fldChar w:fldCharType="begin"/>
    </w:r>
    <w:r>
      <w:instrText xml:space="preserve"> PRINTDATE \@ DD.MM.YY </w:instrText>
    </w:r>
    <w:r>
      <w:fldChar w:fldCharType="separate"/>
    </w:r>
    <w:r>
      <w:t>15.11.17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C6" w:rsidRDefault="00E65EC6">
      <w:r>
        <w:t>____________________</w:t>
      </w:r>
    </w:p>
  </w:footnote>
  <w:footnote w:type="continuationSeparator" w:id="0">
    <w:p w:rsidR="00E65EC6" w:rsidRDefault="00E6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C6" w:rsidRDefault="00E65EC6" w:rsidP="00B75BC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37057">
      <w:rPr>
        <w:rStyle w:val="PageNumber"/>
        <w:noProof/>
      </w:rPr>
      <w:t>15</w:t>
    </w:r>
    <w:r>
      <w:rPr>
        <w:rStyle w:val="PageNumber"/>
      </w:rPr>
      <w:fldChar w:fldCharType="end"/>
    </w:r>
    <w:r>
      <w:rPr>
        <w:rStyle w:val="PageNumber"/>
      </w:rPr>
      <w:t xml:space="preserve"> -</w:t>
    </w:r>
  </w:p>
  <w:p w:rsidR="00E65EC6" w:rsidRPr="002E7775" w:rsidRDefault="00E65EC6" w:rsidP="002E7775">
    <w:pPr>
      <w:pStyle w:val="Header"/>
    </w:pPr>
    <w:proofErr w:type="spellStart"/>
    <w:r>
      <w:rPr>
        <w:lang w:val="en-US"/>
      </w:rPr>
      <w:t>5A</w:t>
    </w:r>
    <w:proofErr w:type="spellEnd"/>
    <w:r>
      <w:rPr>
        <w:lang w:val="en-US"/>
      </w:rPr>
      <w:t>/650 (Annex 27)-E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5A1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202F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966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FCD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21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B0E7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4E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EA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F27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849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C4CB7"/>
    <w:multiLevelType w:val="hybridMultilevel"/>
    <w:tmpl w:val="E004A6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05D02"/>
    <w:multiLevelType w:val="hybridMultilevel"/>
    <w:tmpl w:val="C06207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C26D24"/>
    <w:multiLevelType w:val="hybridMultilevel"/>
    <w:tmpl w:val="78F2577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E42123"/>
    <w:multiLevelType w:val="hybridMultilevel"/>
    <w:tmpl w:val="D6284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2F4188"/>
    <w:multiLevelType w:val="multilevel"/>
    <w:tmpl w:val="D7AC90AE"/>
    <w:lvl w:ilvl="0">
      <w:start w:val="3"/>
      <w:numFmt w:val="decimal"/>
      <w:suff w:val="space"/>
      <w:lvlText w:val="ANNEX %1:"/>
      <w:lvlJc w:val="left"/>
      <w:pPr>
        <w:ind w:left="36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936" w:hanging="576"/>
      </w:pPr>
      <w:rPr>
        <w:rFonts w:hint="default"/>
      </w:rPr>
    </w:lvl>
    <w:lvl w:ilvl="2">
      <w:start w:val="1"/>
      <w:numFmt w:val="decimal"/>
      <w:lvlText w:val="A%1.%2.%3"/>
      <w:lvlJc w:val="left"/>
      <w:pPr>
        <w:tabs>
          <w:tab w:val="num" w:pos="1080"/>
        </w:tabs>
        <w:ind w:left="1080" w:hanging="720"/>
      </w:pPr>
      <w:rPr>
        <w:rFonts w:hint="default"/>
      </w:rPr>
    </w:lvl>
    <w:lvl w:ilvl="3">
      <w:start w:val="1"/>
      <w:numFmt w:val="decimal"/>
      <w:lvlText w:val="A%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273961CF"/>
    <w:multiLevelType w:val="hybridMultilevel"/>
    <w:tmpl w:val="1CB4866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A0A7C33"/>
    <w:multiLevelType w:val="hybridMultilevel"/>
    <w:tmpl w:val="E8BE53D8"/>
    <w:lvl w:ilvl="0" w:tplc="18D2B546">
      <w:start w:val="1"/>
      <w:numFmt w:val="decimal"/>
      <w:lvlText w:val="Editor's Note %1:"/>
      <w:lvlJc w:val="left"/>
      <w:pPr>
        <w:tabs>
          <w:tab w:val="num" w:pos="2835"/>
        </w:tabs>
        <w:ind w:left="2835" w:hanging="155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21"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15:restartNumberingAfterBreak="0">
    <w:nsid w:val="33DB0C3E"/>
    <w:multiLevelType w:val="hybridMultilevel"/>
    <w:tmpl w:val="42AC0D96"/>
    <w:lvl w:ilvl="0" w:tplc="40DEDFAC">
      <w:start w:val="20"/>
      <w:numFmt w:val="bullet"/>
      <w:lvlText w:val=""/>
      <w:lvlJc w:val="left"/>
      <w:pPr>
        <w:ind w:left="1500" w:hanging="360"/>
      </w:pPr>
      <w:rPr>
        <w:rFonts w:ascii="Symbol" w:eastAsia="Times New Roman" w:hAnsi="Symbol"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3" w15:restartNumberingAfterBreak="0">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362E4567"/>
    <w:multiLevelType w:val="hybridMultilevel"/>
    <w:tmpl w:val="1CEAB700"/>
    <w:lvl w:ilvl="0" w:tplc="4342BF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5208CA"/>
    <w:multiLevelType w:val="multilevel"/>
    <w:tmpl w:val="97C26E88"/>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s-ES"/>
      </w:rPr>
    </w:lvl>
    <w:lvl w:ilvl="1">
      <w:start w:val="1"/>
      <w:numFmt w:val="bullet"/>
      <w:lvlText w:val="-"/>
      <w:lvlJc w:val="left"/>
      <w:rPr>
        <w:rFonts w:ascii="Times New Roman" w:eastAsia="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B33B2F"/>
    <w:multiLevelType w:val="hybridMultilevel"/>
    <w:tmpl w:val="6D7A62DC"/>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B3E0609"/>
    <w:multiLevelType w:val="hybridMultilevel"/>
    <w:tmpl w:val="6AB4D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035BE"/>
    <w:multiLevelType w:val="hybridMultilevel"/>
    <w:tmpl w:val="FE324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D163F7A"/>
    <w:multiLevelType w:val="multilevel"/>
    <w:tmpl w:val="8482096A"/>
    <w:lvl w:ilvl="0">
      <w:start w:val="1"/>
      <w:numFmt w:val="decimal"/>
      <w:lvlText w:val="%1"/>
      <w:lvlJc w:val="left"/>
      <w:pPr>
        <w:ind w:left="360" w:hanging="360"/>
      </w:pPr>
      <w:rPr>
        <w:rFonts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081501B"/>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2" w15:restartNumberingAfterBreak="0">
    <w:nsid w:val="413011FD"/>
    <w:multiLevelType w:val="hybridMultilevel"/>
    <w:tmpl w:val="6584DDA4"/>
    <w:lvl w:ilvl="0" w:tplc="23C800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1FC1A75"/>
    <w:multiLevelType w:val="hybridMultilevel"/>
    <w:tmpl w:val="F24AB5F6"/>
    <w:lvl w:ilvl="0" w:tplc="1BEED2F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6E2769"/>
    <w:multiLevelType w:val="hybridMultilevel"/>
    <w:tmpl w:val="558650E6"/>
    <w:lvl w:ilvl="0" w:tplc="F31C1FA4">
      <w:start w:val="1"/>
      <w:numFmt w:val="bullet"/>
      <w:lvlText w:val="-"/>
      <w:lvlJc w:val="left"/>
      <w:pPr>
        <w:ind w:left="1488" w:hanging="360"/>
      </w:pPr>
      <w:rPr>
        <w:rFonts w:ascii="Times New Roman" w:eastAsia="Times New Roman" w:hAnsi="Times New Roman" w:cs="Times New Roman"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35" w15:restartNumberingAfterBreak="0">
    <w:nsid w:val="43D61834"/>
    <w:multiLevelType w:val="hybridMultilevel"/>
    <w:tmpl w:val="435A63E4"/>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45580402"/>
    <w:multiLevelType w:val="hybridMultilevel"/>
    <w:tmpl w:val="CA72F424"/>
    <w:lvl w:ilvl="0" w:tplc="65CCB8C4">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6E6242A"/>
    <w:multiLevelType w:val="hybridMultilevel"/>
    <w:tmpl w:val="9146C086"/>
    <w:lvl w:ilvl="0" w:tplc="5D1C976A">
      <w:start w:val="1"/>
      <w:numFmt w:val="decimal"/>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DBC5826"/>
    <w:multiLevelType w:val="hybridMultilevel"/>
    <w:tmpl w:val="E506D8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F64C27"/>
    <w:multiLevelType w:val="hybridMultilevel"/>
    <w:tmpl w:val="CA72F424"/>
    <w:lvl w:ilvl="0" w:tplc="65CCB8C4">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06E488F"/>
    <w:multiLevelType w:val="hybridMultilevel"/>
    <w:tmpl w:val="F9525CFA"/>
    <w:lvl w:ilvl="0" w:tplc="6B6EBF56">
      <w:start w:val="2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50267E"/>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4" w15:restartNumberingAfterBreak="0">
    <w:nsid w:val="543A782C"/>
    <w:multiLevelType w:val="hybridMultilevel"/>
    <w:tmpl w:val="7B529120"/>
    <w:lvl w:ilvl="0" w:tplc="345E5A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6555230"/>
    <w:multiLevelType w:val="hybridMultilevel"/>
    <w:tmpl w:val="F4A86514"/>
    <w:lvl w:ilvl="0" w:tplc="32E62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81D12DC"/>
    <w:multiLevelType w:val="hybridMultilevel"/>
    <w:tmpl w:val="EC6C97D6"/>
    <w:lvl w:ilvl="0" w:tplc="88720D98">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8B8C57F"/>
    <w:multiLevelType w:val="singleLevel"/>
    <w:tmpl w:val="58B8C57F"/>
    <w:lvl w:ilvl="0">
      <w:start w:val="1"/>
      <w:numFmt w:val="bullet"/>
      <w:lvlText w:val=""/>
      <w:lvlJc w:val="left"/>
      <w:pPr>
        <w:ind w:left="420" w:hanging="420"/>
      </w:pPr>
      <w:rPr>
        <w:rFonts w:ascii="Wingdings" w:hAnsi="Wingdings" w:hint="default"/>
      </w:rPr>
    </w:lvl>
  </w:abstractNum>
  <w:abstractNum w:abstractNumId="49"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607B19F4"/>
    <w:multiLevelType w:val="hybridMultilevel"/>
    <w:tmpl w:val="64569922"/>
    <w:lvl w:ilvl="0" w:tplc="4D44B31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1182925"/>
    <w:multiLevelType w:val="singleLevel"/>
    <w:tmpl w:val="61182925"/>
    <w:lvl w:ilvl="0">
      <w:start w:val="1"/>
      <w:numFmt w:val="decimal"/>
      <w:lvlText w:val="%1."/>
      <w:lvlJc w:val="left"/>
      <w:pPr>
        <w:tabs>
          <w:tab w:val="left" w:pos="1080"/>
        </w:tabs>
        <w:ind w:left="0" w:firstLine="720"/>
      </w:pPr>
    </w:lvl>
  </w:abstractNum>
  <w:abstractNum w:abstractNumId="52" w15:restartNumberingAfterBreak="0">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07767BF"/>
    <w:multiLevelType w:val="multilevel"/>
    <w:tmpl w:val="7D5256B2"/>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75534135"/>
    <w:multiLevelType w:val="hybridMultilevel"/>
    <w:tmpl w:val="9C063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F335A5"/>
    <w:multiLevelType w:val="hybridMultilevel"/>
    <w:tmpl w:val="CA72F424"/>
    <w:lvl w:ilvl="0" w:tplc="65CCB8C4">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9981E01"/>
    <w:multiLevelType w:val="hybridMultilevel"/>
    <w:tmpl w:val="12B029A8"/>
    <w:lvl w:ilvl="0" w:tplc="A126AC64">
      <w:start w:val="16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E90B4C"/>
    <w:multiLevelType w:val="hybridMultilevel"/>
    <w:tmpl w:val="CA72F424"/>
    <w:lvl w:ilvl="0" w:tplc="65CCB8C4">
      <w:start w:val="1"/>
      <w:numFmt w:val="decimal"/>
      <w:lvlText w:val="%1"/>
      <w:lvlJc w:val="left"/>
      <w:pPr>
        <w:ind w:left="1488" w:hanging="112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D01E32"/>
    <w:multiLevelType w:val="hybridMultilevel"/>
    <w:tmpl w:val="AEE87260"/>
    <w:lvl w:ilvl="0" w:tplc="77080CC2">
      <w:start w:val="2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595C89"/>
    <w:multiLevelType w:val="hybridMultilevel"/>
    <w:tmpl w:val="01C8C4DC"/>
    <w:lvl w:ilvl="0" w:tplc="AE36D77A">
      <w:numFmt w:val="bullet"/>
      <w:lvlText w:val="-"/>
      <w:lvlJc w:val="left"/>
      <w:pPr>
        <w:ind w:left="720" w:hanging="360"/>
      </w:pPr>
      <w:rPr>
        <w:rFonts w:ascii="Helvetica" w:eastAsia="Times New Roman"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FE54208"/>
    <w:multiLevelType w:val="hybridMultilevel"/>
    <w:tmpl w:val="EC0A03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40"/>
  </w:num>
  <w:num w:numId="15">
    <w:abstractNumId w:val="11"/>
  </w:num>
  <w:num w:numId="16">
    <w:abstractNumId w:val="54"/>
  </w:num>
  <w:num w:numId="17">
    <w:abstractNumId w:val="16"/>
  </w:num>
  <w:num w:numId="18">
    <w:abstractNumId w:val="37"/>
  </w:num>
  <w:num w:numId="19">
    <w:abstractNumId w:val="30"/>
  </w:num>
  <w:num w:numId="20">
    <w:abstractNumId w:val="13"/>
  </w:num>
  <w:num w:numId="21">
    <w:abstractNumId w:val="38"/>
  </w:num>
  <w:num w:numId="22">
    <w:abstractNumId w:val="18"/>
  </w:num>
  <w:num w:numId="23">
    <w:abstractNumId w:val="60"/>
  </w:num>
  <w:num w:numId="24">
    <w:abstractNumId w:val="29"/>
  </w:num>
  <w:num w:numId="25">
    <w:abstractNumId w:val="26"/>
  </w:num>
  <w:num w:numId="26">
    <w:abstractNumId w:val="2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34"/>
  </w:num>
  <w:num w:numId="30">
    <w:abstractNumId w:val="49"/>
  </w:num>
  <w:num w:numId="31">
    <w:abstractNumId w:val="12"/>
  </w:num>
  <w:num w:numId="32">
    <w:abstractNumId w:val="53"/>
  </w:num>
  <w:num w:numId="33">
    <w:abstractNumId w:val="52"/>
  </w:num>
  <w:num w:numId="34">
    <w:abstractNumId w:val="20"/>
  </w:num>
  <w:num w:numId="35">
    <w:abstractNumId w:val="39"/>
  </w:num>
  <w:num w:numId="36">
    <w:abstractNumId w:val="24"/>
  </w:num>
  <w:num w:numId="37">
    <w:abstractNumId w:val="45"/>
  </w:num>
  <w:num w:numId="38">
    <w:abstractNumId w:val="23"/>
  </w:num>
  <w:num w:numId="39">
    <w:abstractNumId w:val="19"/>
  </w:num>
  <w:num w:numId="40">
    <w:abstractNumId w:val="59"/>
  </w:num>
  <w:num w:numId="41">
    <w:abstractNumId w:val="32"/>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3"/>
  </w:num>
  <w:num w:numId="48">
    <w:abstractNumId w:val="43"/>
  </w:num>
  <w:num w:numId="49">
    <w:abstractNumId w:val="31"/>
  </w:num>
  <w:num w:numId="50">
    <w:abstractNumId w:val="17"/>
  </w:num>
  <w:num w:numId="51">
    <w:abstractNumId w:val="58"/>
  </w:num>
  <w:num w:numId="52">
    <w:abstractNumId w:val="25"/>
  </w:num>
  <w:num w:numId="53">
    <w:abstractNumId w:val="15"/>
  </w:num>
  <w:num w:numId="54">
    <w:abstractNumId w:val="46"/>
  </w:num>
  <w:num w:numId="55">
    <w:abstractNumId w:val="44"/>
  </w:num>
  <w:num w:numId="56">
    <w:abstractNumId w:val="55"/>
  </w:num>
  <w:num w:numId="57">
    <w:abstractNumId w:val="41"/>
  </w:num>
  <w:num w:numId="58">
    <w:abstractNumId w:val="36"/>
  </w:num>
  <w:num w:numId="59">
    <w:abstractNumId w:val="57"/>
  </w:num>
  <w:num w:numId="60">
    <w:abstractNumId w:val="47"/>
  </w:num>
  <w:num w:numId="61">
    <w:abstractNumId w:val="50"/>
  </w:num>
  <w:num w:numId="62">
    <w:abstractNumId w:val="51"/>
  </w:num>
  <w:num w:numId="63">
    <w:abstractNumId w:val="48"/>
  </w:num>
  <w:num w:numId="64">
    <w:abstractNumId w:val="28"/>
  </w:num>
  <w:num w:numId="65">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bordersDoNotSurroundHeader/>
  <w:bordersDoNotSurroundFooter/>
  <w:hideSpellingErrors/>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en-AU" w:vendorID="64" w:dllVersion="0" w:nlCheck="1" w:checkStyle="1"/>
  <w:activeWritingStyle w:appName="MSWord" w:lang="fr-FR" w:vendorID="64" w:dllVersion="0" w:nlCheck="1" w:checkStyle="0"/>
  <w:activeWritingStyle w:appName="MSWord" w:lang="zh-CN" w:vendorID="64" w:dllVersion="0" w:nlCheck="1" w:checkStyle="1"/>
  <w:activeWritingStyle w:appName="MSWord" w:lang="en-CA" w:vendorID="64" w:dllVersion="0" w:nlCheck="1" w:checkStyle="1"/>
  <w:activeWritingStyle w:appName="MSWord" w:lang="es-ES_tradnl" w:vendorID="64" w:dllVersion="0" w:nlCheck="1" w:checkStyle="1"/>
  <w:activeWritingStyle w:appName="MSWord" w:lang="ar-SA" w:vendorID="64" w:dllVersion="0" w:nlCheck="1" w:checkStyle="0"/>
  <w:activeWritingStyle w:appName="MSWord" w:lang="es-ES" w:vendorID="64" w:dllVersion="0" w:nlCheck="1" w:checkStyle="1"/>
  <w:activeWritingStyle w:appName="MSWord" w:lang="pt-BR"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F6"/>
    <w:rsid w:val="00004D76"/>
    <w:rsid w:val="00181CD9"/>
    <w:rsid w:val="001E1BC0"/>
    <w:rsid w:val="002176F6"/>
    <w:rsid w:val="00237057"/>
    <w:rsid w:val="00243E37"/>
    <w:rsid w:val="002E7775"/>
    <w:rsid w:val="00394075"/>
    <w:rsid w:val="003F642F"/>
    <w:rsid w:val="00402307"/>
    <w:rsid w:val="005045C2"/>
    <w:rsid w:val="006A6CD7"/>
    <w:rsid w:val="00765178"/>
    <w:rsid w:val="00854A11"/>
    <w:rsid w:val="008E0827"/>
    <w:rsid w:val="00952138"/>
    <w:rsid w:val="00B75BC6"/>
    <w:rsid w:val="00C579AA"/>
    <w:rsid w:val="00CB1236"/>
    <w:rsid w:val="00DB251D"/>
    <w:rsid w:val="00E65EC6"/>
    <w:rsid w:val="00E85E05"/>
    <w:rsid w:val="00ED0542"/>
    <w:rsid w:val="00F220E4"/>
    <w:rsid w:val="00F31C1C"/>
    <w:rsid w:val="00FA01C3"/>
    <w:rsid w:val="00FC0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47D972-3CC2-4884-A9BE-1252E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Tablelegend">
    <w:name w:val="Table_legend"/>
    <w:basedOn w:val="Normal"/>
    <w:rsid w:val="008E0827"/>
    <w:pPr>
      <w:tabs>
        <w:tab w:val="left" w:pos="284"/>
      </w:tabs>
      <w:spacing w:before="40" w:after="40"/>
    </w:pPr>
    <w:rPr>
      <w:rFonts w:eastAsia="Times New Roman"/>
      <w:sz w:val="18"/>
    </w:rPr>
  </w:style>
  <w:style w:type="paragraph" w:customStyle="1" w:styleId="Tablefin">
    <w:name w:val="Table_fin"/>
    <w:basedOn w:val="Normal"/>
    <w:rsid w:val="00394075"/>
    <w:pPr>
      <w:spacing w:before="0"/>
    </w:pPr>
    <w:rPr>
      <w:rFonts w:eastAsia="MS Mincho"/>
      <w:kern w:val="2"/>
      <w:sz w:val="20"/>
      <w:szCs w:val="24"/>
      <w:lang w:eastAsia="ja-JP"/>
    </w:rPr>
  </w:style>
  <w:style w:type="paragraph" w:customStyle="1" w:styleId="Reftext">
    <w:name w:val="Ref_text"/>
    <w:basedOn w:val="Normal"/>
    <w:rsid w:val="00E85E05"/>
    <w:pPr>
      <w:ind w:left="1134" w:hanging="1134"/>
    </w:pPr>
    <w:rPr>
      <w:rFonts w:eastAsia="Times New Roman"/>
    </w:rPr>
  </w:style>
  <w:style w:type="paragraph" w:customStyle="1" w:styleId="Title1">
    <w:name w:val="Title 1"/>
    <w:basedOn w:val="RepNo"/>
    <w:rsid w:val="00CB1236"/>
    <w:pPr>
      <w:framePr w:hSpace="180" w:wrap="around" w:hAnchor="margin" w:y="-687"/>
    </w:pPr>
    <w:rPr>
      <w:lang w:val="en-US" w:eastAsia="zh-CN"/>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Tabletext">
    <w:name w:val="Table_text"/>
    <w:basedOn w:val="Normal"/>
    <w:link w:val="TabletextChar"/>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aliases w:val="ECC Footnote number,Footnote symbol,Appel note de bas de p,Appel note de bas de p + (Asian) Batang,Black,Footnote Reference/,(NECG) Footnote Reference,Nota,Footnote"/>
    <w:basedOn w:val="DefaultParagraphFont"/>
    <w:rPr>
      <w:position w:val="6"/>
      <w:sz w:val="18"/>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
    <w:basedOn w:val="Normal"/>
    <w:link w:val="FootnoteTextChar"/>
    <w:qFormat/>
    <w:pPr>
      <w:keepLines/>
      <w:tabs>
        <w:tab w:val="left" w:pos="255"/>
      </w:tabs>
    </w:pPr>
  </w:style>
  <w:style w:type="paragraph" w:styleId="Header">
    <w:name w:val="header"/>
    <w:basedOn w:val="Normal"/>
    <w:link w:val="HeaderChar"/>
    <w:uiPriority w:val="99"/>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ftitle">
    <w:name w:val="Ref_title"/>
    <w:basedOn w:val="Normal"/>
    <w:next w:val="Normal"/>
    <w:pPr>
      <w:spacing w:before="480"/>
      <w:jc w:val="center"/>
    </w:pPr>
    <w:rPr>
      <w:caps/>
    </w:rPr>
  </w:style>
  <w:style w:type="paragraph" w:customStyle="1" w:styleId="RepNo">
    <w:name w:val="Rep_No"/>
    <w:basedOn w:val="Normal"/>
    <w:next w:val="Reptitle"/>
    <w:rsid w:val="00952138"/>
    <w:pPr>
      <w:keepNext/>
      <w:keepLines/>
      <w:spacing w:before="480"/>
      <w:jc w:val="center"/>
    </w:pPr>
    <w:rPr>
      <w:caps/>
      <w:sz w:val="28"/>
    </w:rPr>
  </w:style>
  <w:style w:type="paragraph" w:customStyle="1" w:styleId="Reptitle">
    <w:name w:val="Rep_title"/>
    <w:basedOn w:val="Normal"/>
    <w:next w:val="Normal"/>
    <w:rsid w:val="00952138"/>
    <w:pPr>
      <w:keepNext/>
      <w:keepLines/>
      <w:spacing w:before="240"/>
      <w:jc w:val="center"/>
    </w:pPr>
    <w:rPr>
      <w:rFonts w:ascii="Times New Roman Bold" w:hAnsi="Times New Roman Bold"/>
      <w:b/>
      <w:sz w:val="28"/>
    </w:rPr>
  </w:style>
  <w:style w:type="paragraph" w:customStyle="1" w:styleId="Source">
    <w:name w:val="Source"/>
    <w:basedOn w:val="Normal"/>
    <w:next w:val="Normal"/>
    <w:link w:val="SourceChar"/>
    <w:pPr>
      <w:spacing w:before="840"/>
      <w:jc w:val="center"/>
    </w:pPr>
    <w:rPr>
      <w:b/>
      <w:sz w:val="28"/>
    </w:rPr>
  </w:style>
  <w:style w:type="paragraph" w:customStyle="1" w:styleId="Tablehead">
    <w:name w:val="Table_head"/>
    <w:basedOn w:val="Normal"/>
    <w:link w:val="TableheadChar"/>
    <w:pPr>
      <w:keepNext/>
      <w:spacing w:before="80" w:after="80"/>
      <w:jc w:val="center"/>
    </w:pPr>
    <w:rPr>
      <w:rFonts w:ascii="Times New Roman Bold" w:hAnsi="Times New Roman Bold" w:cs="Times New Roman Bold"/>
      <w:b/>
      <w:sz w:val="20"/>
    </w:rPr>
  </w:style>
  <w:style w:type="paragraph" w:customStyle="1" w:styleId="TableNo">
    <w:name w:val="Table_No"/>
    <w:basedOn w:val="Normal"/>
    <w:next w:val="Normal"/>
    <w:pPr>
      <w:keepNext/>
      <w:spacing w:before="560" w:after="120"/>
      <w:jc w:val="center"/>
    </w:pPr>
    <w:rPr>
      <w:caps/>
      <w:sz w:val="20"/>
    </w:rPr>
  </w:style>
  <w:style w:type="paragraph" w:customStyle="1" w:styleId="Tabletitle">
    <w:name w:val="Table_title"/>
    <w:basedOn w:val="Normal"/>
    <w:next w:val="Tabletext"/>
    <w:link w:val="TabletitleChar"/>
    <w:pPr>
      <w:keepNext/>
      <w:keepLines/>
      <w:spacing w:before="0" w:after="120"/>
      <w:jc w:val="center"/>
    </w:pPr>
    <w:rPr>
      <w:rFonts w:ascii="Times New Roman Bold" w:hAnsi="Times New Roman Bold"/>
      <w:b/>
      <w:sz w:val="20"/>
    </w:rPr>
  </w:style>
  <w:style w:type="paragraph" w:styleId="TOC1">
    <w:name w:val="toc 1"/>
    <w:aliases w:val="ECC Index 1"/>
    <w:basedOn w:val="Normal"/>
    <w:link w:val="TOC1Char"/>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aliases w:val="ECC Index 2"/>
    <w:basedOn w:val="TOC1"/>
    <w:pPr>
      <w:spacing w:before="120"/>
    </w:pPr>
  </w:style>
  <w:style w:type="paragraph" w:styleId="TOC3">
    <w:name w:val="toc 3"/>
    <w:aliases w:val="ECC Index 3"/>
    <w:basedOn w:val="TOC2"/>
  </w:style>
  <w:style w:type="paragraph" w:styleId="TOC4">
    <w:name w:val="toc 4"/>
    <w:aliases w:val="ECC Index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Headingb">
    <w:name w:val="Heading_b"/>
    <w:basedOn w:val="Normal"/>
    <w:next w:val="Normal"/>
    <w:qFormat/>
    <w:rsid w:val="005045C2"/>
    <w:pPr>
      <w:keepNext/>
      <w:keepLines/>
      <w:spacing w:before="160"/>
    </w:pPr>
    <w:rPr>
      <w:rFonts w:ascii="Times New Roman Bold" w:hAnsi="Times New Roman Bold" w:cs="Times New Roman Bold"/>
      <w:b/>
      <w:lang w:val="fr-CH"/>
    </w:rPr>
  </w:style>
  <w:style w:type="character" w:styleId="PageNumber">
    <w:name w:val="page number"/>
    <w:basedOn w:val="DefaultParagraphFont"/>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 Char"/>
    <w:basedOn w:val="DefaultParagraphFont"/>
    <w:link w:val="FootnoteText"/>
    <w:rPr>
      <w:rFonts w:ascii="Times New Roman" w:hAnsi="Times New Roman"/>
      <w:sz w:val="24"/>
      <w:lang w:val="en-GB" w:eastAsia="en-US"/>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character" w:customStyle="1" w:styleId="Heading1Char">
    <w:name w:val="Heading 1 Char"/>
    <w:basedOn w:val="DefaultParagraphFont"/>
    <w:link w:val="Heading1"/>
    <w:rPr>
      <w:rFonts w:ascii="Times New Roman" w:hAnsi="Times New Roman"/>
      <w:b/>
      <w:sz w:val="28"/>
      <w:lang w:val="en-GB" w:eastAsia="en-US"/>
    </w:rPr>
  </w:style>
  <w:style w:type="character" w:customStyle="1" w:styleId="Heading2Char">
    <w:name w:val="Heading 2 Char"/>
    <w:basedOn w:val="DefaultParagraphFont"/>
    <w:link w:val="Heading2"/>
    <w:rPr>
      <w:rFonts w:ascii="Times New Roman" w:hAnsi="Times New Roman"/>
      <w:b/>
      <w:sz w:val="24"/>
      <w:lang w:val="en-GB" w:eastAsia="en-US"/>
    </w:rPr>
  </w:style>
  <w:style w:type="paragraph" w:styleId="BalloonText">
    <w:name w:val="Balloon Text"/>
    <w:basedOn w:val="Normal"/>
    <w:link w:val="BalloonTextChar"/>
    <w:semiHidden/>
    <w:unhideWhenUsed/>
    <w:pPr>
      <w:spacing w:before="0"/>
    </w:pPr>
    <w:rPr>
      <w:sz w:val="18"/>
      <w:szCs w:val="18"/>
    </w:rPr>
  </w:style>
  <w:style w:type="character" w:customStyle="1" w:styleId="BalloonTextChar">
    <w:name w:val="Balloon Text Char"/>
    <w:basedOn w:val="DefaultParagraphFont"/>
    <w:link w:val="BalloonText"/>
    <w:semiHidden/>
    <w:rPr>
      <w:rFonts w:ascii="Times New Roman" w:hAnsi="Times New Roman"/>
      <w:sz w:val="18"/>
      <w:szCs w:val="18"/>
      <w:lang w:val="en-GB" w:eastAsia="en-U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styleId="Hyperlink">
    <w:name w:val="Hyperlink"/>
    <w:basedOn w:val="DefaultParagraphFont"/>
    <w:unhideWhenUsed/>
    <w:rPr>
      <w:color w:val="0000FF" w:themeColor="hyperlink"/>
      <w:u w:val="single"/>
    </w:rPr>
  </w:style>
  <w:style w:type="character" w:customStyle="1" w:styleId="enumlev1Char">
    <w:name w:val="enumlev1 Char"/>
    <w:basedOn w:val="DefaultParagraphFont"/>
    <w:link w:val="enumlev1"/>
    <w:qFormat/>
    <w:locked/>
    <w:rPr>
      <w:rFonts w:ascii="Times New Roman" w:hAnsi="Times New Roman"/>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TableheadChar">
    <w:name w:val="Table_head Char"/>
    <w:basedOn w:val="DefaultParagraphFont"/>
    <w:link w:val="Tablehead"/>
    <w:locked/>
    <w:rPr>
      <w:rFonts w:ascii="Times New Roman Bold" w:hAnsi="Times New Roman Bold" w:cs="Times New Roman Bold"/>
      <w:b/>
      <w:lang w:val="en-GB" w:eastAsia="en-US"/>
    </w:rPr>
  </w:style>
  <w:style w:type="character" w:customStyle="1" w:styleId="Heading4Char">
    <w:name w:val="Heading 4 Char"/>
    <w:basedOn w:val="DefaultParagraphFont"/>
    <w:link w:val="Heading4"/>
    <w:rPr>
      <w:rFonts w:ascii="Times New Roman" w:hAnsi="Times New Roman"/>
      <w:b/>
      <w:sz w:val="24"/>
      <w:lang w:val="en-GB" w:eastAsia="en-US"/>
    </w:rPr>
  </w:style>
  <w:style w:type="character" w:customStyle="1" w:styleId="Heading5Char">
    <w:name w:val="Heading 5 Char"/>
    <w:basedOn w:val="DefaultParagraphFont"/>
    <w:link w:val="Heading5"/>
    <w:rPr>
      <w:rFonts w:ascii="Times New Roman" w:hAnsi="Times New Roman"/>
      <w:b/>
      <w:sz w:val="24"/>
      <w:lang w:val="en-GB" w:eastAsia="en-US"/>
    </w:rPr>
  </w:style>
  <w:style w:type="character" w:customStyle="1" w:styleId="Heading6Char">
    <w:name w:val="Heading 6 Char"/>
    <w:basedOn w:val="DefaultParagraphFont"/>
    <w:link w:val="Heading6"/>
    <w:rPr>
      <w:rFonts w:ascii="Times New Roman" w:hAnsi="Times New Roman"/>
      <w:b/>
      <w:sz w:val="24"/>
      <w:lang w:val="en-GB" w:eastAsia="en-US"/>
    </w:rPr>
  </w:style>
  <w:style w:type="character" w:customStyle="1" w:styleId="Heading7Char">
    <w:name w:val="Heading 7 Char"/>
    <w:basedOn w:val="DefaultParagraphFont"/>
    <w:link w:val="Heading7"/>
    <w:rPr>
      <w:rFonts w:ascii="Times New Roman" w:hAnsi="Times New Roman"/>
      <w:b/>
      <w:sz w:val="24"/>
      <w:lang w:val="en-GB" w:eastAsia="en-US"/>
    </w:rPr>
  </w:style>
  <w:style w:type="character" w:customStyle="1" w:styleId="Heading8Char">
    <w:name w:val="Heading 8 Char"/>
    <w:basedOn w:val="DefaultParagraphFont"/>
    <w:link w:val="Heading8"/>
    <w:rPr>
      <w:rFonts w:ascii="Times New Roman" w:hAnsi="Times New Roman"/>
      <w:b/>
      <w:sz w:val="24"/>
      <w:lang w:val="en-GB" w:eastAsia="en-US"/>
    </w:rPr>
  </w:style>
  <w:style w:type="character" w:customStyle="1" w:styleId="Heading9Char">
    <w:name w:val="Heading 9 Char"/>
    <w:basedOn w:val="DefaultParagraphFont"/>
    <w:link w:val="Heading9"/>
    <w:rPr>
      <w:rFonts w:ascii="Times New Roman" w:hAnsi="Times New Roman"/>
      <w:b/>
      <w:sz w:val="24"/>
      <w:lang w:val="en-GB" w:eastAsia="en-US"/>
    </w:rPr>
  </w:style>
  <w:style w:type="character" w:customStyle="1" w:styleId="SourceChar">
    <w:name w:val="Source Char"/>
    <w:basedOn w:val="DefaultParagraphFont"/>
    <w:link w:val="Source"/>
    <w:locked/>
    <w:rPr>
      <w:rFonts w:ascii="Times New Roman" w:hAnsi="Times New Roman"/>
      <w:b/>
      <w:sz w:val="28"/>
      <w:lang w:val="en-GB" w:eastAsia="en-US"/>
    </w:rPr>
  </w:style>
  <w:style w:type="table" w:styleId="TableGrid">
    <w:name w:val="Table Grid"/>
    <w:basedOn w:val="TableNormal"/>
    <w:uiPriority w:val="59"/>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sz w:val="22"/>
      <w:lang w:val="ru-RU"/>
    </w:rPr>
  </w:style>
  <w:style w:type="character" w:customStyle="1" w:styleId="TOC1Char">
    <w:name w:val="TOC 1 Char"/>
    <w:aliases w:val="ECC Index 1 Char"/>
    <w:basedOn w:val="DefaultParagraphFont"/>
    <w:link w:val="TOC1"/>
    <w:uiPriority w:val="39"/>
    <w:rPr>
      <w:rFonts w:ascii="Times New Roman" w:hAnsi="Times New Roman"/>
      <w:sz w:val="24"/>
      <w:lang w:val="en-GB" w:eastAsia="en-US"/>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rPr>
      <w:rFonts w:eastAsia="Times New Roman"/>
      <w:sz w:val="20"/>
    </w:rPr>
  </w:style>
  <w:style w:type="character" w:customStyle="1" w:styleId="CommentTextChar">
    <w:name w:val="Comment Text Char"/>
    <w:basedOn w:val="DefaultParagraphFont"/>
    <w:link w:val="CommentText"/>
    <w:semiHidden/>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b/>
      <w:bCs/>
      <w:lang w:val="en-GB" w:eastAsia="en-US"/>
    </w:rPr>
  </w:style>
  <w:style w:type="paragraph" w:styleId="Revision">
    <w:name w:val="Revision"/>
    <w:hidden/>
    <w:uiPriority w:val="99"/>
    <w:semiHidden/>
    <w:rPr>
      <w:rFonts w:ascii="Times New Roman" w:eastAsia="Times New Roman" w:hAnsi="Times New Roman"/>
      <w:sz w:val="24"/>
      <w:lang w:val="en-GB" w:eastAsia="en-US"/>
    </w:rPr>
  </w:style>
  <w:style w:type="paragraph" w:styleId="Caption">
    <w:name w:val="caption"/>
    <w:aliases w:val="ECC Caption,Ca,Figure Lable,cap,cap1,cap2,cap3,cap4,cap5,cap6,cap7,cap8,cap9,cap10,cap11,cap21,cap31,cap41,cap51,cap61,cap71,cap81,cap91,cap101,cap12,cap22,cap32,cap42,cap52,cap62,cap72,cap82,cap92,cap102,cap13,cap23,cap33,cap43,cap53,cap63"/>
    <w:next w:val="Normal"/>
    <w:qFormat/>
    <w:pPr>
      <w:keepLines/>
      <w:tabs>
        <w:tab w:val="left" w:pos="0"/>
        <w:tab w:val="center" w:pos="4820"/>
        <w:tab w:val="right" w:pos="9639"/>
      </w:tabs>
      <w:spacing w:before="240" w:after="240"/>
      <w:contextualSpacing/>
      <w:jc w:val="center"/>
    </w:pPr>
    <w:rPr>
      <w:rFonts w:ascii="Arial" w:eastAsia="Times New Roman" w:hAnsi="Arial"/>
      <w:b/>
      <w:bCs/>
      <w:color w:val="D2232A"/>
      <w:lang w:val="da-DK" w:eastAsia="en-US"/>
    </w:rPr>
  </w:style>
  <w:style w:type="character" w:styleId="Strong">
    <w:name w:val="Strong"/>
    <w:basedOn w:val="DefaultParagraphFont"/>
    <w:qFormat/>
    <w:rPr>
      <w:b/>
      <w:bCs/>
    </w:rPr>
  </w:style>
  <w:style w:type="character" w:customStyle="1" w:styleId="SignatureChar">
    <w:name w:val="Signature Char"/>
    <w:basedOn w:val="DefaultParagraphFont"/>
    <w:link w:val="Signature"/>
    <w:uiPriority w:val="99"/>
    <w:semiHidden/>
    <w:rPr>
      <w:rFonts w:ascii="Arial" w:eastAsia="Calibri" w:hAnsi="Arial"/>
    </w:rPr>
  </w:style>
  <w:style w:type="paragraph" w:styleId="Signature">
    <w:name w:val="Signature"/>
    <w:basedOn w:val="Normal"/>
    <w:link w:val="SignatureChar"/>
    <w:uiPriority w:val="99"/>
    <w:semiHidden/>
    <w:pPr>
      <w:tabs>
        <w:tab w:val="clear" w:pos="1134"/>
        <w:tab w:val="clear" w:pos="1871"/>
        <w:tab w:val="clear" w:pos="2268"/>
      </w:tabs>
      <w:overflowPunct/>
      <w:autoSpaceDE/>
      <w:autoSpaceDN/>
      <w:adjustRightInd/>
      <w:spacing w:before="0"/>
      <w:ind w:left="4252"/>
      <w:jc w:val="both"/>
      <w:textAlignment w:val="auto"/>
    </w:pPr>
    <w:rPr>
      <w:rFonts w:ascii="Arial" w:eastAsia="Calibri" w:hAnsi="Arial"/>
      <w:sz w:val="20"/>
      <w:lang w:val="en-US" w:eastAsia="zh-CN"/>
    </w:rPr>
  </w:style>
  <w:style w:type="character" w:styleId="IntenseReference">
    <w:name w:val="Intense Reference"/>
    <w:aliases w:val="cover page 'Report No',alinea"/>
    <w:basedOn w:val="DefaultParagraphFont"/>
    <w:uiPriority w:val="32"/>
    <w:qFormat/>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Pr>
      <w:i/>
    </w:rPr>
  </w:style>
  <w:style w:type="paragraph" w:styleId="TOCHeading">
    <w:name w:val="TOC Heading"/>
    <w:basedOn w:val="Heading1"/>
    <w:next w:val="Normal"/>
    <w:uiPriority w:val="39"/>
    <w:semiHidden/>
    <w:qFormat/>
    <w:pPr>
      <w:pageBreakBefore/>
      <w:tabs>
        <w:tab w:val="clear" w:pos="1134"/>
        <w:tab w:val="clear" w:pos="1871"/>
        <w:tab w:val="clear" w:pos="2268"/>
      </w:tabs>
      <w:overflowPunct/>
      <w:autoSpaceDE/>
      <w:autoSpaceDN/>
      <w:adjustRightInd/>
      <w:spacing w:before="480"/>
      <w:ind w:left="0" w:firstLine="0"/>
      <w:jc w:val="both"/>
      <w:textAlignment w:val="auto"/>
      <w:outlineLvl w:val="9"/>
    </w:pPr>
    <w:rPr>
      <w:rFonts w:asciiTheme="majorHAnsi" w:eastAsiaTheme="majorEastAsia" w:hAnsiTheme="majorHAnsi" w:cstheme="majorBidi"/>
      <w:bCs/>
      <w:color w:val="365F91" w:themeColor="accent1" w:themeShade="BF"/>
      <w:szCs w:val="28"/>
    </w:rPr>
  </w:style>
  <w:style w:type="paragraph" w:styleId="TOC9">
    <w:name w:val="toc 9"/>
    <w:basedOn w:val="Normal"/>
    <w:next w:val="Normal"/>
    <w:autoRedefine/>
    <w:uiPriority w:val="39"/>
    <w:pPr>
      <w:tabs>
        <w:tab w:val="clear" w:pos="1134"/>
        <w:tab w:val="clear" w:pos="1871"/>
        <w:tab w:val="clear" w:pos="2268"/>
      </w:tabs>
      <w:overflowPunct/>
      <w:autoSpaceDE/>
      <w:autoSpaceDN/>
      <w:adjustRightInd/>
      <w:spacing w:before="0"/>
      <w:ind w:left="1400"/>
      <w:jc w:val="both"/>
      <w:textAlignment w:val="auto"/>
    </w:pPr>
    <w:rPr>
      <w:rFonts w:asciiTheme="minorHAnsi" w:eastAsia="Calibri" w:hAnsiTheme="minorHAnsi"/>
      <w:sz w:val="20"/>
    </w:rPr>
  </w:style>
  <w:style w:type="character" w:customStyle="1" w:styleId="BodyTextChar">
    <w:name w:val="Body Text Char"/>
    <w:basedOn w:val="DefaultParagraphFont"/>
    <w:link w:val="BodyText"/>
    <w:uiPriority w:val="99"/>
    <w:semiHidden/>
    <w:rPr>
      <w:rFonts w:ascii="Arial" w:eastAsia="Calibri" w:hAnsi="Arial"/>
    </w:rPr>
  </w:style>
  <w:style w:type="paragraph" w:styleId="BodyText">
    <w:name w:val="Body Text"/>
    <w:basedOn w:val="Normal"/>
    <w:link w:val="BodyTextChar"/>
    <w:uiPriority w:val="99"/>
    <w:semiHidden/>
    <w:pPr>
      <w:tabs>
        <w:tab w:val="clear" w:pos="1134"/>
        <w:tab w:val="clear" w:pos="1871"/>
        <w:tab w:val="clear" w:pos="2268"/>
      </w:tabs>
      <w:overflowPunct/>
      <w:autoSpaceDE/>
      <w:autoSpaceDN/>
      <w:adjustRightInd/>
      <w:spacing w:before="240" w:after="120"/>
      <w:jc w:val="both"/>
      <w:textAlignment w:val="auto"/>
    </w:pPr>
    <w:rPr>
      <w:rFonts w:ascii="Arial" w:eastAsia="Calibri" w:hAnsi="Arial"/>
      <w:sz w:val="20"/>
      <w:lang w:val="en-US" w:eastAsia="zh-CN"/>
    </w:rPr>
  </w:style>
  <w:style w:type="paragraph" w:styleId="NoSpacing">
    <w:name w:val="No Spacing"/>
    <w:uiPriority w:val="1"/>
    <w:qFormat/>
    <w:pPr>
      <w:jc w:val="both"/>
    </w:pPr>
    <w:rPr>
      <w:rFonts w:ascii="Arial" w:eastAsia="Calibri" w:hAnsi="Arial"/>
      <w:szCs w:val="22"/>
      <w:lang w:val="en-GB" w:eastAsia="en-US"/>
    </w:rPr>
  </w:style>
  <w:style w:type="paragraph" w:styleId="List">
    <w:name w:val="List"/>
    <w:basedOn w:val="Normal"/>
    <w:pPr>
      <w:tabs>
        <w:tab w:val="clear" w:pos="1134"/>
        <w:tab w:val="clear" w:pos="1871"/>
        <w:tab w:val="clear" w:pos="2268"/>
        <w:tab w:val="left" w:pos="1418"/>
      </w:tabs>
      <w:overflowPunct/>
      <w:autoSpaceDE/>
      <w:autoSpaceDN/>
      <w:adjustRightInd/>
      <w:spacing w:before="0" w:after="120"/>
      <w:ind w:left="1418" w:hanging="567"/>
      <w:jc w:val="both"/>
      <w:textAlignment w:val="auto"/>
    </w:pPr>
    <w:rPr>
      <w:rFonts w:ascii="Arial" w:eastAsia="Times New Roman" w:hAnsi="Arial"/>
      <w:sz w:val="22"/>
      <w:lang w:val="nb-NO" w:eastAsia="de-DE"/>
    </w:rPr>
  </w:style>
  <w:style w:type="paragraph" w:styleId="DocumentMap">
    <w:name w:val="Document Map"/>
    <w:basedOn w:val="Normal"/>
    <w:link w:val="DocumentMapChar"/>
    <w:semiHidden/>
    <w:pPr>
      <w:shd w:val="clear" w:color="auto" w:fill="000080"/>
      <w:tabs>
        <w:tab w:val="clear" w:pos="1134"/>
        <w:tab w:val="clear" w:pos="1871"/>
        <w:tab w:val="clear" w:pos="2268"/>
      </w:tabs>
      <w:overflowPunct/>
      <w:autoSpaceDE/>
      <w:autoSpaceDN/>
      <w:adjustRightInd/>
      <w:spacing w:before="0" w:after="120"/>
      <w:jc w:val="both"/>
      <w:textAlignment w:val="auto"/>
    </w:pPr>
    <w:rPr>
      <w:rFonts w:ascii="Tahoma" w:eastAsia="Times New Roman" w:hAnsi="Tahoma"/>
      <w:sz w:val="22"/>
      <w:lang w:val="nb-NO" w:eastAsia="de-DE"/>
    </w:rPr>
  </w:style>
  <w:style w:type="character" w:customStyle="1" w:styleId="DocumentMapChar">
    <w:name w:val="Document Map Char"/>
    <w:basedOn w:val="DefaultParagraphFont"/>
    <w:link w:val="DocumentMap"/>
    <w:semiHidden/>
    <w:rPr>
      <w:rFonts w:ascii="Tahoma" w:eastAsia="Times New Roman" w:hAnsi="Tahoma"/>
      <w:sz w:val="22"/>
      <w:shd w:val="clear" w:color="auto" w:fill="000080"/>
      <w:lang w:val="nb-NO" w:eastAsia="de-DE"/>
    </w:rPr>
  </w:style>
  <w:style w:type="paragraph" w:styleId="TableofFigures">
    <w:name w:val="table of figures"/>
    <w:basedOn w:val="Normal"/>
    <w:next w:val="Normal"/>
    <w:semiHidden/>
    <w:pPr>
      <w:tabs>
        <w:tab w:val="clear" w:pos="1134"/>
        <w:tab w:val="clear" w:pos="1871"/>
        <w:tab w:val="clear" w:pos="2268"/>
      </w:tabs>
      <w:overflowPunct/>
      <w:autoSpaceDE/>
      <w:autoSpaceDN/>
      <w:adjustRightInd/>
      <w:spacing w:before="0" w:after="120"/>
      <w:ind w:left="400" w:hanging="400"/>
      <w:jc w:val="both"/>
      <w:textAlignment w:val="auto"/>
    </w:pPr>
    <w:rPr>
      <w:rFonts w:ascii="Arial" w:eastAsia="Times New Roman" w:hAnsi="Arial"/>
      <w:sz w:val="20"/>
      <w:lang w:val="de-DE" w:eastAsia="de-DE"/>
    </w:rPr>
  </w:style>
  <w:style w:type="paragraph" w:styleId="Title">
    <w:name w:val="Title"/>
    <w:basedOn w:val="Normal"/>
    <w:link w:val="TitleChar"/>
    <w:qFormat/>
    <w:pPr>
      <w:tabs>
        <w:tab w:val="clear" w:pos="1134"/>
        <w:tab w:val="clear" w:pos="1871"/>
        <w:tab w:val="clear" w:pos="2268"/>
      </w:tabs>
      <w:overflowPunct/>
      <w:autoSpaceDE/>
      <w:autoSpaceDN/>
      <w:adjustRightInd/>
      <w:spacing w:before="0" w:after="120"/>
      <w:jc w:val="center"/>
      <w:textAlignment w:val="auto"/>
    </w:pPr>
    <w:rPr>
      <w:rFonts w:ascii="Arial" w:eastAsia="Times New Roman" w:hAnsi="Arial"/>
      <w:b/>
      <w:sz w:val="28"/>
      <w:lang w:val="de-DE" w:eastAsia="de-DE"/>
    </w:rPr>
  </w:style>
  <w:style w:type="character" w:customStyle="1" w:styleId="TitleChar">
    <w:name w:val="Title Char"/>
    <w:basedOn w:val="DefaultParagraphFont"/>
    <w:link w:val="Title"/>
    <w:rPr>
      <w:rFonts w:ascii="Arial" w:eastAsia="Times New Roman" w:hAnsi="Arial"/>
      <w:b/>
      <w:sz w:val="28"/>
      <w:lang w:val="de-DE" w:eastAsia="de-DE"/>
    </w:rPr>
  </w:style>
  <w:style w:type="paragraph" w:styleId="HTMLPreformatted">
    <w:name w:val="HTML Preformatted"/>
    <w:basedOn w:val="Normal"/>
    <w:link w:val="HTMLPreformattedChar"/>
    <w:uiPriority w:val="99"/>
    <w:semiHidden/>
    <w:unhideWhenUse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lang w:val="fr-FR" w:eastAsia="fr-FR"/>
    </w:rPr>
  </w:style>
  <w:style w:type="character" w:styleId="PlaceholderText">
    <w:name w:val="Placeholder Text"/>
    <w:basedOn w:val="DefaultParagraphFont"/>
    <w:uiPriority w:val="99"/>
    <w:semiHidden/>
    <w:rPr>
      <w:color w:val="808080"/>
    </w:rPr>
  </w:style>
  <w:style w:type="character" w:customStyle="1" w:styleId="TabletitleChar">
    <w:name w:val="Table_title Char"/>
    <w:link w:val="Tabletitle"/>
    <w:locked/>
    <w:rPr>
      <w:rFonts w:ascii="Times New Roman Bold" w:hAnsi="Times New Roman Bold"/>
      <w:b/>
      <w:lang w:val="en-GB" w:eastAsia="en-US"/>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45713">
      <w:bodyDiv w:val="1"/>
      <w:marLeft w:val="0"/>
      <w:marRight w:val="0"/>
      <w:marTop w:val="0"/>
      <w:marBottom w:val="0"/>
      <w:divBdr>
        <w:top w:val="none" w:sz="0" w:space="0" w:color="auto"/>
        <w:left w:val="none" w:sz="0" w:space="0" w:color="auto"/>
        <w:bottom w:val="none" w:sz="0" w:space="0" w:color="auto"/>
        <w:right w:val="none" w:sz="0" w:space="0" w:color="auto"/>
      </w:divBdr>
    </w:div>
    <w:div w:id="969630446">
      <w:bodyDiv w:val="1"/>
      <w:marLeft w:val="0"/>
      <w:marRight w:val="0"/>
      <w:marTop w:val="0"/>
      <w:marBottom w:val="0"/>
      <w:divBdr>
        <w:top w:val="none" w:sz="0" w:space="0" w:color="auto"/>
        <w:left w:val="none" w:sz="0" w:space="0" w:color="auto"/>
        <w:bottom w:val="none" w:sz="0" w:space="0" w:color="auto"/>
        <w:right w:val="none" w:sz="0" w:space="0" w:color="auto"/>
      </w:divBdr>
    </w:div>
    <w:div w:id="1338922389">
      <w:bodyDiv w:val="1"/>
      <w:marLeft w:val="0"/>
      <w:marRight w:val="0"/>
      <w:marTop w:val="0"/>
      <w:marBottom w:val="0"/>
      <w:divBdr>
        <w:top w:val="none" w:sz="0" w:space="0" w:color="auto"/>
        <w:left w:val="none" w:sz="0" w:space="0" w:color="auto"/>
        <w:bottom w:val="none" w:sz="0" w:space="0" w:color="auto"/>
        <w:right w:val="none" w:sz="0" w:space="0" w:color="auto"/>
      </w:divBdr>
    </w:div>
    <w:div w:id="20718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5-WP5A-C-0246/en" TargetMode="External"/><Relationship Id="rId18" Type="http://schemas.openxmlformats.org/officeDocument/2006/relationships/hyperlink" Target="https://www.itu.int/md/R15-WP5A-C-0181/en" TargetMode="External"/><Relationship Id="rId26" Type="http://schemas.openxmlformats.org/officeDocument/2006/relationships/hyperlink" Target="http://www.itu.int/pub/R-REP-S.2367"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R15-WP5A-C-0421/en" TargetMode="External"/><Relationship Id="rId34" Type="http://schemas.openxmlformats.org/officeDocument/2006/relationships/hyperlink" Target="http://www.cept.org/Documents/se-24/25805/SE24(15)089R0_WI52_Further-considerations-on-WLAN-indoor-coverage" TargetMode="External"/><Relationship Id="rId7" Type="http://schemas.openxmlformats.org/officeDocument/2006/relationships/settings" Target="settings.xml"/><Relationship Id="rId12" Type="http://schemas.openxmlformats.org/officeDocument/2006/relationships/hyperlink" Target="https://www.itu.int/md/R15-WP5A-C-0196/en" TargetMode="External"/><Relationship Id="rId17" Type="http://schemas.openxmlformats.org/officeDocument/2006/relationships/hyperlink" Target="http://www.itu.int/md/R12-JTG4567-C-0715/en" TargetMode="External"/><Relationship Id="rId25" Type="http://schemas.openxmlformats.org/officeDocument/2006/relationships/hyperlink" Target="http://www.itu.int/md/R15-WP5A-C-0091/en" TargetMode="External"/><Relationship Id="rId33" Type="http://schemas.openxmlformats.org/officeDocument/2006/relationships/hyperlink" Target="http://www.cept.org/Documents/se-24/25709/SE24(15)070R0_WI52_number-of-RLAN-JR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R15-WP5A-C-0097/en" TargetMode="External"/><Relationship Id="rId20" Type="http://schemas.openxmlformats.org/officeDocument/2006/relationships/hyperlink" Target="https://www.itu.int/md/R15-WP5A-C-0264/en" TargetMode="External"/><Relationship Id="rId29" Type="http://schemas.openxmlformats.org/officeDocument/2006/relationships/hyperlink" Target="https://www.ssb.no/en/befolkning/statistikker/familie/aar/2014-12-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itu.int/md/R15-WP5A-C-0442/en" TargetMode="External"/><Relationship Id="rId32" Type="http://schemas.openxmlformats.org/officeDocument/2006/relationships/hyperlink" Target="http://www.3gpp.org/DynaReport/36889.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WP5A-C-0096/en" TargetMode="External"/><Relationship Id="rId23" Type="http://schemas.openxmlformats.org/officeDocument/2006/relationships/hyperlink" Target="https://www.itu.int/md/R15-WP5A-C-0264/en" TargetMode="External"/><Relationship Id="rId28" Type="http://schemas.openxmlformats.org/officeDocument/2006/relationships/hyperlink" Target="http://appsso.eurostat.ec.europa.eu/nui/show.do?dataset=lfst_hhnhtych&amp;lang=e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md/R15-WP5A-C-0462/en" TargetMode="External"/><Relationship Id="rId31" Type="http://schemas.openxmlformats.org/officeDocument/2006/relationships/hyperlink" Target="http://appsso.eurostat.ec.europa.eu/nui/show.do?dataset=bd_9ac_l_form_r2&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5-WP5A-C-0096/en" TargetMode="External"/><Relationship Id="rId22" Type="http://schemas.openxmlformats.org/officeDocument/2006/relationships/hyperlink" Target="https://www.itu.int/md/R15-WP5A-C-0449/en" TargetMode="External"/><Relationship Id="rId27" Type="http://schemas.openxmlformats.org/officeDocument/2006/relationships/hyperlink" Target="http://www.statistiques-mondiales.com/union_europeenne.htm" TargetMode="External"/><Relationship Id="rId30" Type="http://schemas.openxmlformats.org/officeDocument/2006/relationships/hyperlink" Target="http://www.bfs.admin.ch/" TargetMode="External"/><Relationship Id="rId35" Type="http://schemas.openxmlformats.org/officeDocument/2006/relationships/hyperlink" Target="http://www.cept.org/Documents/se-24/24051/SE24(15)042R0_WI52_JRC_5GHZ_RLAN-_measu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B62A-0634-4E42-A008-09B146C14C58}">
  <ds:schemaRefs>
    <ds:schemaRef ds:uri="4c6a61cb-1973-4fc6-92ae-f4d7a4471404"/>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C4A4F6-511A-46D2-8A61-ACA889ED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D975E-43DA-4D7C-8BDD-46D3EC7B7553}">
  <ds:schemaRefs>
    <ds:schemaRef ds:uri="http://schemas.microsoft.com/sharepoint/v3/contenttype/forms"/>
  </ds:schemaRefs>
</ds:datastoreItem>
</file>

<file path=customXml/itemProps4.xml><?xml version="1.0" encoding="utf-8"?>
<ds:datastoreItem xmlns:ds="http://schemas.openxmlformats.org/officeDocument/2006/customXml" ds:itemID="{B72C43A5-EC99-4682-8AC1-B53EE4D4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PE_BR110.dotm</Template>
  <TotalTime>87</TotalTime>
  <Pages>15</Pages>
  <Words>5371</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keywords>CTPClassification=CTP_PUBLIC:VisualMarkings=</cp:keywords>
  <cp:lastModifiedBy>^_^</cp:lastModifiedBy>
  <cp:revision>6</cp:revision>
  <cp:lastPrinted>2017-11-15T07:17:00Z</cp:lastPrinted>
  <dcterms:created xsi:type="dcterms:W3CDTF">2017-11-21T08:20:00Z</dcterms:created>
  <dcterms:modified xsi:type="dcterms:W3CDTF">2017-11-21T09:49:00Z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_NewReviewCycle">
    <vt:lpwstr/>
  </property>
  <property fmtid="{D5CDD505-2E9C-101B-9397-08002B2CF9AE}" pid="7" name="TitusGUID">
    <vt:lpwstr>64affeb2-8a0f-4130-8282-0f2c2e01ee06</vt:lpwstr>
  </property>
  <property fmtid="{D5CDD505-2E9C-101B-9397-08002B2CF9AE}" pid="8" name="CTP_TimeStamp">
    <vt:lpwstr>2017-11-14 20:09:54Z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CTP_PUBLIC</vt:lpwstr>
  </property>
</Properties>
</file>